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Times New Roman" w:cs="Times New Roman" w:eastAsia="Times New Roman" w:hAnsi="Times New Roman"/>
          <w:sz w:val="21"/>
          <w:szCs w:val="21"/>
          <w:b w:val="1"/>
          <w:bCs w:val="1"/>
          <w:color w:val="auto"/>
        </w:rPr>
        <w:t>As filed with the Securities and Exchange Commission on June 24, 2026</w:t>
      </w:r>
    </w:p>
    <w:p>
      <w:pPr>
        <w:spacing w:after="0" w:line="4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1"/>
          <w:szCs w:val="2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35560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5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2896235</wp:posOffset>
            </wp:positionH>
            <wp:positionV relativeFrom="paragraph">
              <wp:posOffset>113665</wp:posOffset>
            </wp:positionV>
            <wp:extent cx="79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34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1"/>
          <w:szCs w:val="21"/>
          <w:b w:val="1"/>
          <w:bCs w:val="1"/>
          <w:color w:val="auto"/>
        </w:rPr>
        <w:t>FORM S-8</w:t>
      </w:r>
    </w:p>
    <w:p>
      <w:pPr>
        <w:spacing w:after="0" w:line="3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6"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UNDER</w:t>
      </w:r>
    </w:p>
    <w:p>
      <w:pPr>
        <w:spacing w:after="0" w:line="7"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2910205</wp:posOffset>
            </wp:positionH>
            <wp:positionV relativeFrom="paragraph">
              <wp:posOffset>114300</wp:posOffset>
            </wp:positionV>
            <wp:extent cx="763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376"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8"/>
          <w:szCs w:val="28"/>
          <w:b w:val="1"/>
          <w:bCs w:val="1"/>
          <w:color w:val="auto"/>
        </w:rPr>
        <w:t>Molecular Partners AG</w:t>
      </w:r>
    </w:p>
    <w:p>
      <w:pPr>
        <w:spacing w:after="0" w:line="56"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820" w:type="dxa"/>
            <w:vAlign w:val="bottom"/>
          </w:tcPr>
          <w:p>
            <w:pPr>
              <w:jc w:val="center"/>
              <w:ind w:right="1491"/>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4160" w:type="dxa"/>
            <w:vAlign w:val="bottom"/>
            <w:vMerge w:val="restart"/>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67"/>
        </w:trPr>
        <w:tc>
          <w:tcPr>
            <w:tcW w:w="5820" w:type="dxa"/>
            <w:vAlign w:val="bottom"/>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5820" w:type="dxa"/>
            <w:vAlign w:val="bottom"/>
          </w:tcPr>
          <w:p>
            <w:pPr>
              <w:jc w:val="center"/>
              <w:ind w:right="149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160" w:type="dxa"/>
            <w:vAlign w:val="bottom"/>
            <w:vMerge w:val="restart"/>
          </w:tcPr>
          <w:p>
            <w:pPr>
              <w:jc w:val="center"/>
              <w:ind w:left="149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c>
          <w:tcPr>
            <w:tcW w:w="0" w:type="dxa"/>
            <w:vAlign w:val="bottom"/>
          </w:tcPr>
          <w:p>
            <w:pPr>
              <w:spacing w:after="0"/>
              <w:rPr>
                <w:sz w:val="1"/>
                <w:szCs w:val="1"/>
                <w:color w:val="auto"/>
              </w:rPr>
            </w:pPr>
          </w:p>
        </w:tc>
      </w:tr>
      <w:tr>
        <w:trPr>
          <w:trHeight w:val="67"/>
        </w:trPr>
        <w:tc>
          <w:tcPr>
            <w:tcW w:w="5820" w:type="dxa"/>
            <w:vAlign w:val="bottom"/>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Wagistrasse 14</w:t>
      </w:r>
    </w:p>
    <w:p>
      <w:pPr>
        <w:spacing w:after="0" w:line="23"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8952 Zurich-Schlieren</w:t>
      </w:r>
    </w:p>
    <w:p>
      <w:pPr>
        <w:spacing w:after="0" w:line="3"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Switzerland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2896235</wp:posOffset>
            </wp:positionH>
            <wp:positionV relativeFrom="paragraph">
              <wp:posOffset>114300</wp:posOffset>
            </wp:positionV>
            <wp:extent cx="79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395"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0" w:lineRule="exact"/>
        <w:rPr>
          <w:sz w:val="24"/>
          <w:szCs w:val="24"/>
          <w:color w:val="auto"/>
        </w:rPr>
      </w:pPr>
    </w:p>
    <w:p>
      <w:pPr>
        <w:spacing w:after="0" w:line="265"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Performance Share Plan 2026 – Employees</w:t>
      </w:r>
    </w:p>
    <w:p>
      <w:pPr>
        <w:spacing w:after="0" w:line="3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Performance Share Plan 2026 – Management Board</w:t>
      </w:r>
    </w:p>
    <w:p>
      <w:pPr>
        <w:spacing w:after="0" w:line="7"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Restricted Share Plan 2026</w:t>
      </w:r>
    </w:p>
    <w:p>
      <w:pPr>
        <w:spacing w:after="0" w:line="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0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16"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Molecular Partners Inc.</w:t>
      </w:r>
    </w:p>
    <w:p>
      <w:pPr>
        <w:spacing w:after="0" w:line="3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245 Main Street</w:t>
      </w:r>
    </w:p>
    <w:p>
      <w:pPr>
        <w:spacing w:after="0" w:line="7"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Cambridge, Massachusetts 02142</w:t>
      </w:r>
    </w:p>
    <w:p>
      <w:pPr>
        <w:spacing w:after="0" w:line="7"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(781) 420 2361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2896235</wp:posOffset>
            </wp:positionH>
            <wp:positionV relativeFrom="paragraph">
              <wp:posOffset>114300</wp:posOffset>
            </wp:positionV>
            <wp:extent cx="79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39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color w:val="auto"/>
        </w:rPr>
        <w:t>(Name, address, including zip code, and telephone number of agent for service)</w:t>
      </w:r>
    </w:p>
    <w:p>
      <w:pPr>
        <w:spacing w:after="0" w:line="216" w:lineRule="exact"/>
        <w:rPr>
          <w:sz w:val="24"/>
          <w:szCs w:val="24"/>
          <w:color w:val="auto"/>
        </w:rPr>
      </w:pPr>
    </w:p>
    <w:tbl>
      <w:tblPr>
        <w:tblLayout w:type="fixed"/>
        <w:tblInd w:w="1240" w:type="dxa"/>
        <w:tblCellMar>
          <w:top w:w="0" w:type="dxa"/>
          <w:left w:w="0" w:type="dxa"/>
          <w:bottom w:w="0" w:type="dxa"/>
          <w:right w:w="0" w:type="dxa"/>
        </w:tblCellMar>
      </w:tblPr>
      <w:tr>
        <w:trPr>
          <w:trHeight w:val="237"/>
        </w:trPr>
        <w:tc>
          <w:tcPr>
            <w:tcW w:w="2720" w:type="dxa"/>
            <w:vAlign w:val="bottom"/>
          </w:tcPr>
          <w:p>
            <w:pPr>
              <w:spacing w:after="0"/>
              <w:rPr>
                <w:sz w:val="20"/>
                <w:szCs w:val="20"/>
                <w:color w:val="auto"/>
              </w:rPr>
            </w:pPr>
          </w:p>
        </w:tc>
        <w:tc>
          <w:tcPr>
            <w:tcW w:w="49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Copies to:</w:t>
            </w:r>
          </w:p>
        </w:tc>
      </w:tr>
      <w:tr>
        <w:trPr>
          <w:trHeight w:val="502"/>
        </w:trPr>
        <w:tc>
          <w:tcPr>
            <w:tcW w:w="2720" w:type="dxa"/>
            <w:vAlign w:val="bottom"/>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Divakar Gupta</w:t>
            </w:r>
          </w:p>
        </w:tc>
        <w:tc>
          <w:tcPr>
            <w:tcW w:w="4920" w:type="dxa"/>
            <w:vAlign w:val="bottom"/>
          </w:tcPr>
          <w:p>
            <w:pPr>
              <w:jc w:val="center"/>
              <w:ind w:left="2619"/>
              <w:spacing w:after="0"/>
              <w:rPr>
                <w:sz w:val="20"/>
                <w:szCs w:val="20"/>
                <w:color w:val="auto"/>
              </w:rPr>
            </w:pPr>
            <w:r>
              <w:rPr>
                <w:rFonts w:ascii="Times New Roman" w:cs="Times New Roman" w:eastAsia="Times New Roman" w:hAnsi="Times New Roman"/>
                <w:sz w:val="16"/>
                <w:szCs w:val="16"/>
                <w:b w:val="1"/>
                <w:bCs w:val="1"/>
                <w:color w:val="auto"/>
              </w:rPr>
              <w:t>Dieter Gericke</w:t>
            </w:r>
          </w:p>
        </w:tc>
      </w:tr>
      <w:tr>
        <w:trPr>
          <w:trHeight w:val="240"/>
        </w:trPr>
        <w:tc>
          <w:tcPr>
            <w:tcW w:w="2720" w:type="dxa"/>
            <w:vAlign w:val="bottom"/>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Brandon Fenn</w:t>
            </w:r>
          </w:p>
        </w:tc>
        <w:tc>
          <w:tcPr>
            <w:tcW w:w="4920" w:type="dxa"/>
            <w:vAlign w:val="bottom"/>
          </w:tcPr>
          <w:p>
            <w:pPr>
              <w:jc w:val="center"/>
              <w:ind w:left="2619"/>
              <w:spacing w:after="0"/>
              <w:rPr>
                <w:sz w:val="20"/>
                <w:szCs w:val="20"/>
                <w:color w:val="auto"/>
              </w:rPr>
            </w:pPr>
            <w:r>
              <w:rPr>
                <w:rFonts w:ascii="Times New Roman" w:cs="Times New Roman" w:eastAsia="Times New Roman" w:hAnsi="Times New Roman"/>
                <w:sz w:val="16"/>
                <w:szCs w:val="16"/>
                <w:b w:val="1"/>
                <w:bCs w:val="1"/>
                <w:color w:val="auto"/>
                <w:w w:val="99"/>
              </w:rPr>
              <w:t>Karin Mattle</w:t>
            </w:r>
          </w:p>
        </w:tc>
      </w:tr>
      <w:tr>
        <w:trPr>
          <w:trHeight w:val="240"/>
        </w:trPr>
        <w:tc>
          <w:tcPr>
            <w:tcW w:w="2720" w:type="dxa"/>
            <w:vAlign w:val="bottom"/>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9"/>
              </w:rPr>
              <w:t>Minkyu Park</w:t>
            </w:r>
          </w:p>
        </w:tc>
        <w:tc>
          <w:tcPr>
            <w:tcW w:w="4920" w:type="dxa"/>
            <w:vAlign w:val="bottom"/>
          </w:tcPr>
          <w:p>
            <w:pPr>
              <w:jc w:val="center"/>
              <w:ind w:left="2619"/>
              <w:spacing w:after="0"/>
              <w:rPr>
                <w:sz w:val="20"/>
                <w:szCs w:val="20"/>
                <w:color w:val="auto"/>
              </w:rPr>
            </w:pPr>
            <w:r>
              <w:rPr>
                <w:rFonts w:ascii="Times New Roman" w:cs="Times New Roman" w:eastAsia="Times New Roman" w:hAnsi="Times New Roman"/>
                <w:sz w:val="16"/>
                <w:szCs w:val="16"/>
                <w:b w:val="1"/>
                <w:bCs w:val="1"/>
                <w:color w:val="auto"/>
              </w:rPr>
              <w:t>Homburger AG</w:t>
            </w:r>
          </w:p>
        </w:tc>
      </w:tr>
      <w:tr>
        <w:trPr>
          <w:trHeight w:val="217"/>
        </w:trPr>
        <w:tc>
          <w:tcPr>
            <w:tcW w:w="272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Cooley LLP</w:t>
            </w:r>
          </w:p>
        </w:tc>
        <w:tc>
          <w:tcPr>
            <w:tcW w:w="4920" w:type="dxa"/>
            <w:vAlign w:val="bottom"/>
          </w:tcPr>
          <w:p>
            <w:pPr>
              <w:jc w:val="center"/>
              <w:ind w:left="2619"/>
              <w:spacing w:after="0"/>
              <w:rPr>
                <w:sz w:val="20"/>
                <w:szCs w:val="20"/>
                <w:color w:val="auto"/>
              </w:rPr>
            </w:pPr>
            <w:r>
              <w:rPr>
                <w:rFonts w:ascii="Times New Roman" w:cs="Times New Roman" w:eastAsia="Times New Roman" w:hAnsi="Times New Roman"/>
                <w:sz w:val="16"/>
                <w:szCs w:val="16"/>
                <w:b w:val="1"/>
                <w:bCs w:val="1"/>
                <w:color w:val="auto"/>
                <w:w w:val="99"/>
              </w:rPr>
              <w:t>Prime Tower</w:t>
            </w:r>
          </w:p>
        </w:tc>
      </w:tr>
      <w:tr>
        <w:trPr>
          <w:trHeight w:val="200"/>
        </w:trPr>
        <w:tc>
          <w:tcPr>
            <w:tcW w:w="272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55 Hudson Yards</w:t>
            </w:r>
          </w:p>
        </w:tc>
        <w:tc>
          <w:tcPr>
            <w:tcW w:w="4920" w:type="dxa"/>
            <w:vAlign w:val="bottom"/>
          </w:tcPr>
          <w:p>
            <w:pPr>
              <w:jc w:val="center"/>
              <w:ind w:left="2619"/>
              <w:spacing w:after="0"/>
              <w:rPr>
                <w:sz w:val="20"/>
                <w:szCs w:val="20"/>
                <w:color w:val="auto"/>
              </w:rPr>
            </w:pPr>
            <w:r>
              <w:rPr>
                <w:rFonts w:ascii="Times New Roman" w:cs="Times New Roman" w:eastAsia="Times New Roman" w:hAnsi="Times New Roman"/>
                <w:sz w:val="16"/>
                <w:szCs w:val="16"/>
                <w:b w:val="1"/>
                <w:bCs w:val="1"/>
                <w:color w:val="auto"/>
                <w:w w:val="99"/>
              </w:rPr>
              <w:t>Hardstrasse 201CH-8005 Zurich</w:t>
            </w:r>
          </w:p>
        </w:tc>
      </w:tr>
      <w:tr>
        <w:trPr>
          <w:trHeight w:val="187"/>
        </w:trPr>
        <w:tc>
          <w:tcPr>
            <w:tcW w:w="2720" w:type="dxa"/>
            <w:vAlign w:val="bottom"/>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8"/>
              </w:rPr>
              <w:t>New York, New York 10001</w:t>
            </w:r>
          </w:p>
        </w:tc>
        <w:tc>
          <w:tcPr>
            <w:tcW w:w="4920" w:type="dxa"/>
            <w:vAlign w:val="bottom"/>
          </w:tcPr>
          <w:p>
            <w:pPr>
              <w:jc w:val="center"/>
              <w:ind w:left="2619"/>
              <w:spacing w:after="0"/>
              <w:rPr>
                <w:sz w:val="20"/>
                <w:szCs w:val="20"/>
                <w:color w:val="auto"/>
              </w:rPr>
            </w:pPr>
            <w:r>
              <w:rPr>
                <w:rFonts w:ascii="Times New Roman" w:cs="Times New Roman" w:eastAsia="Times New Roman" w:hAnsi="Times New Roman"/>
                <w:sz w:val="16"/>
                <w:szCs w:val="16"/>
                <w:b w:val="1"/>
                <w:bCs w:val="1"/>
                <w:color w:val="auto"/>
              </w:rPr>
              <w:t>Switzerland</w:t>
            </w:r>
          </w:p>
        </w:tc>
      </w:tr>
      <w:tr>
        <w:trPr>
          <w:trHeight w:val="211"/>
        </w:trPr>
        <w:tc>
          <w:tcPr>
            <w:tcW w:w="272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(212) 479 6000</w:t>
            </w:r>
          </w:p>
        </w:tc>
        <w:tc>
          <w:tcPr>
            <w:tcW w:w="4920" w:type="dxa"/>
            <w:vAlign w:val="bottom"/>
          </w:tcPr>
          <w:p>
            <w:pPr>
              <w:jc w:val="center"/>
              <w:ind w:left="2619"/>
              <w:spacing w:after="0"/>
              <w:rPr>
                <w:sz w:val="20"/>
                <w:szCs w:val="20"/>
                <w:color w:val="auto"/>
              </w:rPr>
            </w:pPr>
            <w:r>
              <w:rPr>
                <w:rFonts w:ascii="Times New Roman" w:cs="Times New Roman" w:eastAsia="Times New Roman" w:hAnsi="Times New Roman"/>
                <w:sz w:val="16"/>
                <w:szCs w:val="16"/>
                <w:b w:val="1"/>
                <w:bCs w:val="1"/>
                <w:color w:val="auto"/>
              </w:rPr>
              <w:t>+41 43 222 16 59</w:t>
            </w:r>
          </w:p>
        </w:tc>
      </w:tr>
    </w:tbl>
    <w:p>
      <w:pPr>
        <w:sectPr>
          <w:pgSz w:w="11900" w:h="16838" w:orient="portrait"/>
          <w:cols w:equalWidth="0" w:num="1">
            <w:col w:w="10740"/>
          </w:cols>
          <w:pgMar w:left="760" w:top="976" w:right="399" w:bottom="1440" w:gutter="0" w:footer="0" w:header="0"/>
        </w:sectPr>
      </w:pPr>
    </w:p>
    <w:bookmarkStart w:id="1" w:name="page2"/>
    <w:bookmarkEnd w:id="1"/>
    <w:p>
      <w:pPr>
        <w:ind w:right="56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62"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Wingdings" w:cs="Wingdings" w:eastAsia="Wingdings" w:hAnsi="Wingdings"/>
          <w:sz w:val="21"/>
          <w:szCs w:val="21"/>
          <w:b w:val="1"/>
          <w:bCs w:val="1"/>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Wingdings" w:cs="Wingdings" w:eastAsia="Wingdings" w:hAnsi="Wingdings"/>
          <w:sz w:val="20"/>
          <w:szCs w:val="20"/>
          <w:b w:val="1"/>
          <w:bCs w:val="1"/>
          <w:color w:val="auto"/>
        </w:rPr>
        <w:t>o</w:t>
      </w:r>
    </w:p>
    <w:p>
      <w:pPr>
        <w:spacing w:after="0" w:line="211" w:lineRule="exact"/>
        <w:rPr>
          <w:sz w:val="20"/>
          <w:szCs w:val="20"/>
          <w:color w:val="auto"/>
        </w:rPr>
      </w:pPr>
    </w:p>
    <w:p>
      <w:pPr>
        <w:sectPr>
          <w:pgSz w:w="11900" w:h="16838" w:orient="portrait"/>
          <w:cols w:equalWidth="0" w:num="4">
            <w:col w:w="2040" w:space="720"/>
            <w:col w:w="3280" w:space="720"/>
            <w:col w:w="2680" w:space="720"/>
            <w:col w:w="1080"/>
          </w:cols>
          <w:pgMar w:left="320" w:top="762" w:right="339" w:bottom="1440" w:gutter="0" w:footer="0" w:header="0"/>
          <w:type w:val="continuous"/>
        </w:sectPr>
      </w:pP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Wingdings" w:cs="Wingdings" w:eastAsia="Wingdings" w:hAnsi="Wingdings"/>
          <w:sz w:val="20"/>
          <w:szCs w:val="20"/>
          <w:b w:val="1"/>
          <w:bCs w:val="1"/>
          <w:color w:val="auto"/>
        </w:rPr>
        <w:t>o</w:t>
      </w:r>
    </w:p>
    <w:p>
      <w:pPr>
        <w:spacing w:after="0" w:line="200" w:lineRule="exact"/>
        <w:rPr>
          <w:sz w:val="20"/>
          <w:szCs w:val="20"/>
          <w:color w:val="auto"/>
        </w:rPr>
      </w:pPr>
    </w:p>
    <w:p>
      <w:pPr>
        <w:sectPr>
          <w:pgSz w:w="11900" w:h="16838" w:orient="portrait"/>
          <w:cols w:equalWidth="0" w:num="3">
            <w:col w:w="6040" w:space="720"/>
            <w:col w:w="2680" w:space="720"/>
            <w:col w:w="1080"/>
          </w:cols>
          <w:pgMar w:left="320" w:top="762" w:right="339"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Emerging growth company</w:t>
      </w:r>
    </w:p>
    <w:p>
      <w:pPr>
        <w:sectPr>
          <w:pgSz w:w="11900" w:h="16838" w:orient="portrait"/>
          <w:cols w:equalWidth="0" w:num="1">
            <w:col w:w="11240"/>
          </w:cols>
          <w:pgMar w:left="320" w:top="762"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21"/>
          <w:szCs w:val="21"/>
          <w:b w:val="1"/>
          <w:bCs w:val="1"/>
          <w:color w:val="auto"/>
        </w:rPr>
        <w:t>o</w:t>
      </w:r>
    </w:p>
    <w:p>
      <w:pPr>
        <w:sectPr>
          <w:pgSz w:w="11900" w:h="16838" w:orient="portrait"/>
          <w:cols w:equalWidth="0" w:num="1">
            <w:col w:w="11240"/>
          </w:cols>
          <w:pgMar w:left="320" w:top="762" w:right="339" w:bottom="1440" w:gutter="0" w:footer="0" w:header="0"/>
          <w:type w:val="continuous"/>
        </w:sectPr>
      </w:pPr>
    </w:p>
    <w:bookmarkStart w:id="2" w:name="page3"/>
    <w:bookmarkEnd w:id="2"/>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 in the plans covered by this Registration Statement as specified by Rule 428(b)(1) under the Securities Act.</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7" w:lineRule="exact"/>
        <w:rPr>
          <w:sz w:val="20"/>
          <w:szCs w:val="20"/>
          <w:color w:val="auto"/>
        </w:rPr>
      </w:pPr>
    </w:p>
    <w:p>
      <w:pPr>
        <w:ind w:right="2860" w:firstLine="2851"/>
        <w:spacing w:after="0" w:line="282" w:lineRule="auto"/>
        <w:rPr>
          <w:sz w:val="20"/>
          <w:szCs w:val="20"/>
          <w:color w:val="auto"/>
        </w:rPr>
      </w:pPr>
      <w:r>
        <w:rPr>
          <w:rFonts w:ascii="Times New Roman" w:cs="Times New Roman" w:eastAsia="Times New Roman" w:hAnsi="Times New Roman"/>
          <w:sz w:val="18"/>
          <w:szCs w:val="18"/>
          <w:b w:val="1"/>
          <w:bCs w:val="1"/>
          <w:color w:val="auto"/>
        </w:rPr>
        <w:t>INFORMATION REQUIRED IN THE REGISTRATION STATEMENT Item 3. Incorporation of Documents By Reference.</w:t>
      </w:r>
    </w:p>
    <w:p>
      <w:pPr>
        <w:spacing w:after="0" w:line="15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The following documents, which have been filed with the U.S. Securities and Exchange Commission (the “Commission”) by Molecular Partners AG (the “Registrant”), are hereby incorporated by reference into this Registration Statement:</w:t>
      </w:r>
    </w:p>
    <w:p>
      <w:pPr>
        <w:spacing w:after="0" w:line="190" w:lineRule="exact"/>
        <w:rPr>
          <w:sz w:val="20"/>
          <w:szCs w:val="20"/>
          <w:color w:val="auto"/>
        </w:rPr>
      </w:pPr>
    </w:p>
    <w:p>
      <w:pPr>
        <w:ind w:left="640" w:hanging="313"/>
        <w:spacing w:after="0" w:line="277" w:lineRule="auto"/>
        <w:tabs>
          <w:tab w:leader="none" w:pos="56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20-F (File No. 001-40488) for the fiscal year ended December 31, 2025, filed with the Commission on March 12, 2026; and</w:t>
      </w:r>
    </w:p>
    <w:p>
      <w:pPr>
        <w:spacing w:after="0" w:line="190" w:lineRule="exact"/>
        <w:rPr>
          <w:rFonts w:ascii="Times New Roman" w:cs="Times New Roman" w:eastAsia="Times New Roman" w:hAnsi="Times New Roman"/>
          <w:sz w:val="18"/>
          <w:szCs w:val="18"/>
          <w:color w:val="auto"/>
        </w:rPr>
      </w:pPr>
    </w:p>
    <w:p>
      <w:pPr>
        <w:ind w:left="640" w:right="160" w:hanging="313"/>
        <w:spacing w:after="0" w:line="262" w:lineRule="auto"/>
        <w:tabs>
          <w:tab w:leader="none" w:pos="57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Reports of Foreign Private Issuer on Form 6-K, furnished to the SEC on March 30, 2026 (including the information contained in Exhibit 99.1) and May 12, 2026 (including the information contained in Exhibits 99.1 and 99.2 thereto, but excluding quotes of our management); and</w:t>
      </w:r>
    </w:p>
    <w:p>
      <w:pPr>
        <w:spacing w:after="0" w:line="177" w:lineRule="exact"/>
        <w:rPr>
          <w:rFonts w:ascii="Times New Roman" w:cs="Times New Roman" w:eastAsia="Times New Roman" w:hAnsi="Times New Roman"/>
          <w:sz w:val="18"/>
          <w:szCs w:val="18"/>
          <w:color w:val="auto"/>
        </w:rPr>
      </w:pPr>
    </w:p>
    <w:p>
      <w:pPr>
        <w:ind w:left="640" w:hanging="313"/>
        <w:spacing w:after="0" w:line="262" w:lineRule="auto"/>
        <w:tabs>
          <w:tab w:leader="none" w:pos="56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descriptions of the Registrant’s American Depositary Shares and Ordinary Shares contained in the Registrant’s Registration Statement on Form 8-A filed with the Commission on June 11, 2021 (File No. 001-40488) under the Securities Exchange Act of 1934, as amended (the “Exchange Act”), including any amendment or report filed for the purpose of updating such description.</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on or after the date of this Registration Statement and prior to the filing of a post-effective amendment to this Registration Statement which indicates that all securities offered hereby have been sold or which deregisters all such securities then remaining unsold, shall be deemed to be incorporated by reference herein and to be a part hereof from the date of filing of such documents. Notwithstanding the foregoing, the Registrant is not incorporating by reference any documents, portions of documents, exhibits or other information that is deemed to have been furnished to, rather than filed with, the Commission. Under no circumstances shall any information subsequently furnished on Form 6-K be deemed incorporated herein by reference unless such Form 6-K expressly provides to the contrary.</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Any statement contained in this Registration Statement, in an amendment hereto or in a document incorporated or deemed to be incorporated by reference herein shall be deemed to be modified or superseded for purposes of this Registration Statement to the extent that a statement contained herein or in any subsequently filed amendment to this Registration Statement or in any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Swiss law, subject to certain limitations, a corporation may indemnify and hold harmless directors and other persons entrusted with its management out of the assets of the corporation from and against actions, costs, charges, losses, damages and expenses which they or any of them may incur or sustain by or by reason of any act done, concurred in or omitted, in connection with the execution of their statutory duties, provided that such indemnity (if any) shall not extend to any matter in which any of said persons is found to have committed an intentional or grossly negligent breach of his or her duties.</w:t>
      </w:r>
    </w:p>
    <w:p>
      <w:pPr>
        <w:spacing w:after="0" w:line="20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necessarily incurred by such employee in the proper execution of his or her duties under the employment agreement with the registrant.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member of its board of directors and of its executive committee. 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w:t>
      </w:r>
    </w:p>
    <w:p>
      <w:pPr>
        <w:sectPr>
          <w:pgSz w:w="11900" w:h="16838" w:orient="portrait"/>
          <w:cols w:equalWidth="0" w:num="1">
            <w:col w:w="11240"/>
          </w:cols>
          <w:pgMar w:left="320" w:top="1440" w:right="339" w:bottom="1440" w:gutter="0" w:footer="0" w:header="0"/>
        </w:sectPr>
      </w:pPr>
    </w:p>
    <w:p>
      <w:pPr>
        <w:spacing w:after="0" w:line="2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1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9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5060" w:type="dxa"/>
            <w:vAlign w:val="bottom"/>
            <w:gridSpan w:val="9"/>
          </w:tcPr>
          <w:p>
            <w:pPr>
              <w:spacing w:after="0"/>
              <w:rPr>
                <w:rFonts w:ascii="Times New Roman" w:cs="Times New Roman" w:eastAsia="Times New Roman" w:hAnsi="Times New Roman"/>
                <w:sz w:val="18"/>
                <w:szCs w:val="18"/>
                <w:color w:val="auto"/>
              </w:rPr>
            </w:pPr>
            <w:hyperlink r:id="rId13">
              <w:r>
                <w:rPr>
                  <w:rFonts w:ascii="Times New Roman" w:cs="Times New Roman" w:eastAsia="Times New Roman" w:hAnsi="Times New Roman"/>
                  <w:sz w:val="18"/>
                  <w:szCs w:val="18"/>
                  <w:color w:val="auto"/>
                </w:rPr>
                <w:t>Articles of Incorporation of the Registrant (as currently in effect)</w:t>
              </w:r>
            </w:hyperlink>
          </w:p>
        </w:tc>
        <w:tc>
          <w:tcPr>
            <w:tcW w:w="0" w:type="dxa"/>
            <w:vAlign w:val="bottom"/>
          </w:tcPr>
          <w:p>
            <w:pPr>
              <w:spacing w:after="0"/>
              <w:rPr>
                <w:sz w:val="1"/>
                <w:szCs w:val="1"/>
                <w:color w:val="auto"/>
              </w:rPr>
            </w:pPr>
          </w:p>
        </w:tc>
      </w:tr>
      <w:tr>
        <w:trPr>
          <w:trHeight w:val="27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3"/>
                <w:szCs w:val="23"/>
                <w:color w:val="auto"/>
              </w:rPr>
            </w:pPr>
          </w:p>
        </w:tc>
        <w:tc>
          <w:tcPr>
            <w:tcW w:w="4620" w:type="dxa"/>
            <w:vAlign w:val="bottom"/>
            <w:tcBorders>
              <w:top w:val="single" w:sz="8" w:color="auto"/>
            </w:tcBorders>
            <w:gridSpan w:val="7"/>
            <w:vMerge w:val="restart"/>
          </w:tcPr>
          <w:p>
            <w:pPr>
              <w:spacing w:after="0"/>
              <w:rPr>
                <w:rFonts w:ascii="Times New Roman" w:cs="Times New Roman" w:eastAsia="Times New Roman" w:hAnsi="Times New Roman"/>
                <w:sz w:val="18"/>
                <w:szCs w:val="18"/>
                <w:color w:val="auto"/>
              </w:rPr>
            </w:pPr>
            <w:hyperlink r:id="rId14">
              <w:r>
                <w:rPr>
                  <w:rFonts w:ascii="Times New Roman" w:cs="Times New Roman" w:eastAsia="Times New Roman" w:hAnsi="Times New Roman"/>
                  <w:sz w:val="18"/>
                  <w:szCs w:val="18"/>
                  <w:color w:val="auto"/>
                </w:rPr>
                <w:t>Deposit Agreement</w:t>
              </w:r>
            </w:hyperlink>
          </w:p>
        </w:tc>
        <w:tc>
          <w:tcPr>
            <w:tcW w:w="440" w:type="dxa"/>
            <w:vAlign w:val="bottom"/>
            <w:gridSpan w:val="2"/>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gridSpan w:val="7"/>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6"/>
            <w:vMerge w:val="restart"/>
          </w:tcPr>
          <w:p>
            <w:pPr>
              <w:spacing w:after="0"/>
              <w:rPr>
                <w:rFonts w:ascii="Times New Roman" w:cs="Times New Roman" w:eastAsia="Times New Roman" w:hAnsi="Times New Roman"/>
                <w:sz w:val="18"/>
                <w:szCs w:val="18"/>
                <w:color w:val="auto"/>
                <w:w w:val="98"/>
              </w:rPr>
            </w:pPr>
            <w:hyperlink r:id="rId15">
              <w:r>
                <w:rPr>
                  <w:rFonts w:ascii="Times New Roman" w:cs="Times New Roman" w:eastAsia="Times New Roman" w:hAnsi="Times New Roman"/>
                  <w:sz w:val="18"/>
                  <w:szCs w:val="18"/>
                  <w:color w:val="auto"/>
                  <w:w w:val="98"/>
                </w:rPr>
                <w:t>Form of American Depositary Receipt (included in Exhibit 4.2)</w:t>
              </w:r>
            </w:hyperlink>
          </w:p>
        </w:tc>
        <w:tc>
          <w:tcPr>
            <w:tcW w:w="5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540" w:type="dxa"/>
            <w:vAlign w:val="bottom"/>
            <w:tcBorders>
              <w:bottom w:val="single" w:sz="8" w:color="auto"/>
            </w:tcBorders>
            <w:gridSpan w:val="6"/>
            <w:vMerge w:val="continue"/>
          </w:tcPr>
          <w:p>
            <w:pPr>
              <w:spacing w:after="0"/>
              <w:rPr>
                <w:sz w:val="2"/>
                <w:szCs w:val="2"/>
                <w:color w:val="auto"/>
              </w:rPr>
            </w:pPr>
          </w:p>
        </w:tc>
        <w:tc>
          <w:tcPr>
            <w:tcW w:w="5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4"/>
                <w:szCs w:val="24"/>
                <w:color w:val="auto"/>
              </w:rPr>
            </w:pPr>
          </w:p>
        </w:tc>
        <w:tc>
          <w:tcPr>
            <w:tcW w:w="50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Description of Securities</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60" w:type="dxa"/>
            <w:vAlign w:val="bottom"/>
            <w:gridSpan w:val="9"/>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97"/>
              </w:rPr>
              <w:t>Opinion of Homburger AG</w:t>
            </w:r>
          </w:p>
        </w:tc>
        <w:tc>
          <w:tcPr>
            <w:tcW w:w="312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Borders>
              <w:bottom w:val="single" w:sz="8" w:color="auto"/>
            </w:tcBorders>
            <w:gridSpan w:val="4"/>
            <w:vMerge w:val="continue"/>
          </w:tcPr>
          <w:p>
            <w:pPr>
              <w:spacing w:after="0"/>
              <w:rPr>
                <w:sz w:val="2"/>
                <w:szCs w:val="2"/>
                <w:color w:val="auto"/>
              </w:rPr>
            </w:pPr>
          </w:p>
        </w:tc>
        <w:tc>
          <w:tcPr>
            <w:tcW w:w="312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4"/>
                <w:szCs w:val="24"/>
                <w:color w:val="auto"/>
              </w:rPr>
            </w:pPr>
          </w:p>
        </w:tc>
        <w:tc>
          <w:tcPr>
            <w:tcW w:w="50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Consent of KPMG AG, independent registered public accounting firm.</w:t>
            </w:r>
          </w:p>
        </w:tc>
        <w:tc>
          <w:tcPr>
            <w:tcW w:w="0" w:type="dxa"/>
            <w:vAlign w:val="bottom"/>
          </w:tcPr>
          <w:p>
            <w:pPr>
              <w:spacing w:after="0"/>
              <w:rPr>
                <w:sz w:val="1"/>
                <w:szCs w:val="1"/>
                <w:color w:val="auto"/>
              </w:rPr>
            </w:pPr>
          </w:p>
        </w:tc>
      </w:tr>
      <w:tr>
        <w:trPr>
          <w:trHeight w:val="27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23"/>
                <w:szCs w:val="23"/>
                <w:color w:val="auto"/>
              </w:rPr>
            </w:pPr>
          </w:p>
        </w:tc>
        <w:tc>
          <w:tcPr>
            <w:tcW w:w="3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8"/>
              </w:rPr>
              <w:t>Consent of Homburger AG (included in Exhibit 5.1).</w:t>
            </w:r>
          </w:p>
        </w:tc>
        <w:tc>
          <w:tcPr>
            <w:tcW w:w="1280" w:type="dxa"/>
            <w:vAlign w:val="bottom"/>
            <w:gridSpan w:val="4"/>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tcBorders>
              <w:bottom w:val="single" w:sz="8" w:color="auto"/>
            </w:tcBorders>
            <w:gridSpan w:val="5"/>
            <w:vMerge w:val="continue"/>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24"/>
                <w:szCs w:val="24"/>
                <w:color w:val="auto"/>
              </w:rPr>
            </w:pPr>
          </w:p>
        </w:tc>
        <w:tc>
          <w:tcPr>
            <w:tcW w:w="50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 of this Form S-8).</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60" w:type="dxa"/>
            <w:vAlign w:val="bottom"/>
            <w:gridSpan w:val="9"/>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0" w:type="dxa"/>
            <w:vAlign w:val="bottom"/>
          </w:tcPr>
          <w:p>
            <w:pPr>
              <w:spacing w:after="0"/>
              <w:rPr>
                <w:sz w:val="24"/>
                <w:szCs w:val="24"/>
                <w:color w:val="auto"/>
              </w:rPr>
            </w:pPr>
          </w:p>
        </w:tc>
        <w:tc>
          <w:tcPr>
            <w:tcW w:w="492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Performance Share Plan 2026 – Employees</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tcPr>
          <w:p>
            <w:pPr>
              <w:spacing w:after="0"/>
              <w:rPr>
                <w:sz w:val="19"/>
                <w:szCs w:val="19"/>
                <w:color w:val="auto"/>
              </w:rPr>
            </w:pPr>
          </w:p>
        </w:tc>
        <w:tc>
          <w:tcPr>
            <w:tcW w:w="5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Performance Share Plan 2026 – Management</w:t>
            </w:r>
          </w:p>
        </w:tc>
        <w:tc>
          <w:tcPr>
            <w:tcW w:w="0" w:type="dxa"/>
            <w:vAlign w:val="bottom"/>
          </w:tcPr>
          <w:p>
            <w:pPr>
              <w:spacing w:after="0"/>
              <w:rPr>
                <w:sz w:val="1"/>
                <w:szCs w:val="1"/>
                <w:color w:val="auto"/>
              </w:rPr>
            </w:pPr>
          </w:p>
        </w:tc>
      </w:tr>
      <w:tr>
        <w:trPr>
          <w:trHeight w:val="22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20" w:type="dxa"/>
            <w:vAlign w:val="bottom"/>
          </w:tcPr>
          <w:p>
            <w:pPr>
              <w:spacing w:after="0"/>
              <w:rPr>
                <w:sz w:val="19"/>
                <w:szCs w:val="19"/>
                <w:color w:val="auto"/>
              </w:rPr>
            </w:pPr>
          </w:p>
        </w:tc>
        <w:tc>
          <w:tcPr>
            <w:tcW w:w="5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Restricted Share Plan 2026</w:t>
            </w:r>
          </w:p>
        </w:tc>
        <w:tc>
          <w:tcPr>
            <w:tcW w:w="0" w:type="dxa"/>
            <w:vAlign w:val="bottom"/>
          </w:tcPr>
          <w:p>
            <w:pPr>
              <w:spacing w:after="0"/>
              <w:rPr>
                <w:sz w:val="1"/>
                <w:szCs w:val="1"/>
                <w:color w:val="auto"/>
              </w:rPr>
            </w:pPr>
          </w:p>
        </w:tc>
      </w:tr>
      <w:tr>
        <w:trPr>
          <w:trHeight w:val="23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0"/>
                <w:szCs w:val="20"/>
                <w:color w:val="auto"/>
              </w:rPr>
            </w:pPr>
          </w:p>
        </w:tc>
        <w:tc>
          <w:tcPr>
            <w:tcW w:w="50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60" w:type="dxa"/>
            <w:vAlign w:val="bottom"/>
            <w:gridSpan w:val="9"/>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237"/>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3"/>
        </w:trPr>
        <w:tc>
          <w:tcPr>
            <w:tcW w:w="9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6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001-40488</w:t>
            </w:r>
          </w:p>
        </w:tc>
        <w:tc>
          <w:tcPr>
            <w:tcW w:w="9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1.1</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12, 2026</w:t>
            </w:r>
          </w:p>
        </w:tc>
      </w:tr>
      <w:tr>
        <w:trPr>
          <w:trHeight w:val="23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001-40488</w:t>
            </w:r>
          </w:p>
        </w:tc>
        <w:tc>
          <w:tcPr>
            <w:tcW w:w="9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2.1</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9, 2023</w:t>
            </w:r>
          </w:p>
        </w:tc>
      </w:tr>
      <w:tr>
        <w:trPr>
          <w:trHeight w:val="347"/>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001-40488</w:t>
            </w:r>
          </w:p>
        </w:tc>
        <w:tc>
          <w:tcPr>
            <w:tcW w:w="9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2.2</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9,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001-40488</w:t>
            </w: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4.15</w:t>
            </w:r>
          </w:p>
        </w:tc>
        <w:tc>
          <w:tcPr>
            <w:tcW w:w="13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March 12, 2026</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001-40488</w:t>
            </w: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4.16</w:t>
            </w:r>
          </w:p>
        </w:tc>
        <w:tc>
          <w:tcPr>
            <w:tcW w:w="13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March 12, 2026</w:t>
            </w:r>
          </w:p>
        </w:tc>
      </w:tr>
      <w:tr>
        <w:trPr>
          <w:trHeight w:val="23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001-40488</w:t>
            </w: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4.20</w:t>
            </w:r>
          </w:p>
        </w:tc>
        <w:tc>
          <w:tcPr>
            <w:tcW w:w="13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March 12, 2026</w:t>
            </w:r>
          </w:p>
        </w:tc>
      </w:tr>
    </w:tbl>
    <w:p>
      <w:pPr>
        <w:sectPr>
          <w:pgSz w:w="11900" w:h="16838" w:orient="portrait"/>
          <w:cols w:equalWidth="0" w:num="2">
            <w:col w:w="6060" w:space="580"/>
            <w:col w:w="4600"/>
          </w:cols>
          <w:pgMar w:left="320" w:top="1440" w:right="339" w:bottom="1440" w:gutter="0" w:footer="0" w:header="0"/>
          <w:type w:val="continuous"/>
        </w:sectPr>
      </w:pPr>
    </w:p>
    <w:bookmarkStart w:id="5" w:name="page6"/>
    <w:bookmarkEnd w:id="5"/>
    <w:p>
      <w:pPr>
        <w:spacing w:after="0" w:line="2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4" w:lineRule="exact"/>
        <w:rPr>
          <w:sz w:val="20"/>
          <w:szCs w:val="20"/>
          <w:color w:val="auto"/>
        </w:rPr>
      </w:pPr>
    </w:p>
    <w:p>
      <w:pPr>
        <w:ind w:left="420" w:hanging="413"/>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1080" w:hanging="432"/>
        <w:spacing w:after="0"/>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1680" w:hanging="391"/>
        <w:spacing w:after="0"/>
        <w:tabs>
          <w:tab w:leader="none" w:pos="16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ind w:left="1940" w:hanging="651"/>
        <w:spacing w:after="0" w:line="252" w:lineRule="auto"/>
        <w:tabs>
          <w:tab w:leader="none" w:pos="175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940" w:hanging="651"/>
        <w:spacing w:after="0" w:line="277" w:lineRule="auto"/>
        <w:tabs>
          <w:tab w:leader="none" w:pos="179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periodic reports filed with or furnished to the Commission by the Registrant pursuant to Section 13 or Section 15(d) of the Exchange Act that are incorporated by reference in the Registration Statement.</w:t>
      </w:r>
    </w:p>
    <w:p>
      <w:pPr>
        <w:spacing w:after="0" w:line="176" w:lineRule="exact"/>
        <w:rPr>
          <w:sz w:val="20"/>
          <w:szCs w:val="20"/>
          <w:color w:val="auto"/>
        </w:rPr>
      </w:pPr>
    </w:p>
    <w:p>
      <w:pPr>
        <w:ind w:left="1280" w:hanging="632"/>
        <w:spacing w:after="0" w:line="262" w:lineRule="auto"/>
        <w:tabs>
          <w:tab w:leader="none" w:pos="109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7" w:lineRule="exact"/>
        <w:rPr>
          <w:rFonts w:ascii="Times New Roman" w:cs="Times New Roman" w:eastAsia="Times New Roman" w:hAnsi="Times New Roman"/>
          <w:sz w:val="18"/>
          <w:szCs w:val="18"/>
          <w:color w:val="auto"/>
        </w:rPr>
      </w:pPr>
    </w:p>
    <w:p>
      <w:pPr>
        <w:ind w:left="1280" w:hanging="632"/>
        <w:spacing w:after="0" w:line="277" w:lineRule="auto"/>
        <w:tabs>
          <w:tab w:leader="none" w:pos="118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jc w:val="both"/>
        <w:ind w:firstLine="7"/>
        <w:spacing w:after="0" w:line="277" w:lineRule="auto"/>
        <w:tabs>
          <w:tab w:leader="none" w:pos="47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Times New Roman" w:cs="Times New Roman" w:eastAsia="Times New Roman" w:hAnsi="Times New Roman"/>
          <w:sz w:val="17"/>
          <w:szCs w:val="17"/>
          <w:color w:val="auto"/>
        </w:rPr>
      </w:pPr>
    </w:p>
    <w:p>
      <w:pPr>
        <w:jc w:val="both"/>
        <w:ind w:firstLine="7"/>
        <w:spacing w:after="0" w:line="252" w:lineRule="auto"/>
        <w:tabs>
          <w:tab w:leader="none" w:pos="5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Zurich, Switzerland, on the 24th day of June, 2026.</w:t>
      </w:r>
    </w:p>
    <w:p>
      <w:pPr>
        <w:spacing w:after="0" w:line="2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MOLECULAR PARTNERS AG</w:t>
      </w: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Patrick Amstutz</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Patrick Amstutz</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KNOW ALL BY THESE PRESENTS, that each person whose signature appears below hereby constitutes and appoints Patrick Amstutz and Robert Hendriks,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60" w:type="dxa"/>
            <w:vAlign w:val="bottom"/>
          </w:tcPr>
          <w:p>
            <w:pPr>
              <w:spacing w:after="0"/>
              <w:rPr>
                <w:sz w:val="18"/>
                <w:szCs w:val="18"/>
                <w:color w:val="auto"/>
              </w:rPr>
            </w:pPr>
          </w:p>
        </w:tc>
        <w:tc>
          <w:tcPr>
            <w:tcW w:w="43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6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DATE</w:t>
            </w:r>
          </w:p>
        </w:tc>
      </w:tr>
      <w:tr>
        <w:trPr>
          <w:trHeight w:val="437"/>
        </w:trPr>
        <w:tc>
          <w:tcPr>
            <w:tcW w:w="20" w:type="dxa"/>
            <w:vAlign w:val="bottom"/>
          </w:tcPr>
          <w:p>
            <w:pPr>
              <w:spacing w:after="0"/>
              <w:rPr>
                <w:sz w:val="24"/>
                <w:szCs w:val="24"/>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7"/>
              </w:rPr>
              <w:t>/s/ Patrick Amstutz</w:t>
            </w:r>
          </w:p>
        </w:tc>
        <w:tc>
          <w:tcPr>
            <w:tcW w:w="3020" w:type="dxa"/>
            <w:vAlign w:val="bottom"/>
            <w:gridSpan w:val="6"/>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Chief Executive Officer </w:t>
            </w:r>
            <w:r>
              <w:rPr>
                <w:rFonts w:ascii="Times New Roman" w:cs="Times New Roman" w:eastAsia="Times New Roman" w:hAnsi="Times New Roman"/>
                <w:sz w:val="16"/>
                <w:szCs w:val="16"/>
                <w:i w:val="1"/>
                <w:iCs w:val="1"/>
                <w:color w:val="auto"/>
              </w:rPr>
              <w:t>(Principal Executive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2026</w:t>
            </w:r>
          </w:p>
        </w:tc>
      </w:tr>
      <w:tr>
        <w:trPr>
          <w:trHeight w:val="202"/>
        </w:trPr>
        <w:tc>
          <w:tcPr>
            <w:tcW w:w="20" w:type="dxa"/>
            <w:vAlign w:val="bottom"/>
          </w:tcPr>
          <w:p>
            <w:pPr>
              <w:spacing w:after="0"/>
              <w:rPr>
                <w:sz w:val="17"/>
                <w:szCs w:val="17"/>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Patrick Amstutz, Ph.D.</w:t>
            </w: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99"/>
        </w:trPr>
        <w:tc>
          <w:tcPr>
            <w:tcW w:w="2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/s/ Robert Hendriks</w:t>
            </w: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SVP Finance </w:t>
            </w:r>
            <w:r>
              <w:rPr>
                <w:rFonts w:ascii="Times New Roman" w:cs="Times New Roman" w:eastAsia="Times New Roman" w:hAnsi="Times New Roman"/>
                <w:sz w:val="16"/>
                <w:szCs w:val="16"/>
                <w:i w:val="1"/>
                <w:iCs w:val="1"/>
                <w:color w:val="auto"/>
              </w:rPr>
              <w:t>(Principal Financial Officer and Principal</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2026</w:t>
            </w:r>
          </w:p>
        </w:tc>
      </w:tr>
      <w:tr>
        <w:trPr>
          <w:trHeight w:val="202"/>
        </w:trPr>
        <w:tc>
          <w:tcPr>
            <w:tcW w:w="20" w:type="dxa"/>
            <w:vAlign w:val="bottom"/>
          </w:tcPr>
          <w:p>
            <w:pPr>
              <w:spacing w:after="0"/>
              <w:rPr>
                <w:sz w:val="17"/>
                <w:szCs w:val="17"/>
                <w:color w:val="auto"/>
              </w:rPr>
            </w:pPr>
          </w:p>
        </w:tc>
        <w:tc>
          <w:tcPr>
            <w:tcW w:w="1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Robert Hendriks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gridSpan w:val="2"/>
          </w:tcPr>
          <w:p>
            <w:pPr>
              <w:spacing w:after="0"/>
              <w:rPr>
                <w:sz w:val="17"/>
                <w:szCs w:val="17"/>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Accounting Officer)</w:t>
            </w:r>
          </w:p>
        </w:tc>
        <w:tc>
          <w:tcPr>
            <w:tcW w:w="2260" w:type="dxa"/>
            <w:vAlign w:val="bottom"/>
          </w:tcPr>
          <w:p>
            <w:pPr>
              <w:spacing w:after="0"/>
              <w:rPr>
                <w:sz w:val="17"/>
                <w:szCs w:val="17"/>
                <w:color w:val="auto"/>
              </w:rPr>
            </w:pPr>
          </w:p>
        </w:tc>
      </w:tr>
      <w:tr>
        <w:trPr>
          <w:trHeight w:val="499"/>
        </w:trPr>
        <w:tc>
          <w:tcPr>
            <w:tcW w:w="2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/s/ William Burns</w:t>
            </w: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2026</w:t>
            </w:r>
          </w:p>
        </w:tc>
      </w:tr>
      <w:tr>
        <w:trPr>
          <w:trHeight w:val="202"/>
        </w:trPr>
        <w:tc>
          <w:tcPr>
            <w:tcW w:w="20" w:type="dxa"/>
            <w:vAlign w:val="bottom"/>
          </w:tcPr>
          <w:p>
            <w:pPr>
              <w:spacing w:after="0"/>
              <w:rPr>
                <w:sz w:val="17"/>
                <w:szCs w:val="17"/>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5"/>
              </w:rPr>
              <w:t>William M. Burns</w:t>
            </w:r>
          </w:p>
        </w:tc>
        <w:tc>
          <w:tcPr>
            <w:tcW w:w="1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gridSpan w:val="2"/>
          </w:tcPr>
          <w:p>
            <w:pPr>
              <w:spacing w:after="0"/>
              <w:rPr>
                <w:sz w:val="17"/>
                <w:szCs w:val="17"/>
                <w:color w:val="auto"/>
              </w:rPr>
            </w:pP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99"/>
        </w:trPr>
        <w:tc>
          <w:tcPr>
            <w:tcW w:w="2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/s/ Clare Fisher</w:t>
            </w: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2026</w:t>
            </w:r>
          </w:p>
        </w:tc>
      </w:tr>
      <w:tr>
        <w:trPr>
          <w:trHeight w:val="202"/>
        </w:trPr>
        <w:tc>
          <w:tcPr>
            <w:tcW w:w="20" w:type="dxa"/>
            <w:vAlign w:val="bottom"/>
          </w:tcPr>
          <w:p>
            <w:pPr>
              <w:spacing w:after="0"/>
              <w:rPr>
                <w:sz w:val="17"/>
                <w:szCs w:val="17"/>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Clare Fisher.</w:t>
            </w:r>
          </w:p>
        </w:tc>
        <w:tc>
          <w:tcPr>
            <w:tcW w:w="26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gridSpan w:val="2"/>
          </w:tcPr>
          <w:p>
            <w:pPr>
              <w:spacing w:after="0"/>
              <w:rPr>
                <w:sz w:val="17"/>
                <w:szCs w:val="17"/>
                <w:color w:val="auto"/>
              </w:rPr>
            </w:pP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99"/>
        </w:trPr>
        <w:tc>
          <w:tcPr>
            <w:tcW w:w="20" w:type="dxa"/>
            <w:vAlign w:val="bottom"/>
          </w:tcPr>
          <w:p>
            <w:pPr>
              <w:spacing w:after="0"/>
              <w:rPr>
                <w:sz w:val="24"/>
                <w:szCs w:val="24"/>
                <w:color w:val="auto"/>
              </w:rPr>
            </w:pPr>
          </w:p>
        </w:tc>
        <w:tc>
          <w:tcPr>
            <w:tcW w:w="14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/s/ Agnete Fredriksen</w:t>
            </w:r>
          </w:p>
        </w:tc>
        <w:tc>
          <w:tcPr>
            <w:tcW w:w="2860" w:type="dxa"/>
            <w:vAlign w:val="bottom"/>
            <w:gridSpan w:val="3"/>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2026</w:t>
            </w:r>
          </w:p>
        </w:tc>
      </w:tr>
      <w:tr>
        <w:trPr>
          <w:trHeight w:val="202"/>
        </w:trPr>
        <w:tc>
          <w:tcPr>
            <w:tcW w:w="20" w:type="dxa"/>
            <w:vAlign w:val="bottom"/>
          </w:tcPr>
          <w:p>
            <w:pPr>
              <w:spacing w:after="0"/>
              <w:rPr>
                <w:sz w:val="17"/>
                <w:szCs w:val="17"/>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Agnete Fredriksen, Ph.D.</w:t>
            </w: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86"/>
        </w:trPr>
        <w:tc>
          <w:tcPr>
            <w:tcW w:w="2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/s/ Dominik Höchli</w:t>
            </w: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2026</w:t>
            </w:r>
          </w:p>
        </w:tc>
      </w:tr>
      <w:tr>
        <w:trPr>
          <w:trHeight w:val="20"/>
        </w:trPr>
        <w:tc>
          <w:tcPr>
            <w:tcW w:w="20" w:type="dxa"/>
            <w:vAlign w:val="bottom"/>
          </w:tcPr>
          <w:p>
            <w:pPr>
              <w:spacing w:after="0" w:line="20" w:lineRule="exact"/>
              <w:rPr>
                <w:sz w:val="1"/>
                <w:szCs w:val="1"/>
                <w:color w:val="auto"/>
              </w:rPr>
            </w:pPr>
          </w:p>
        </w:tc>
        <w:tc>
          <w:tcPr>
            <w:tcW w:w="124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Dominik Höchli, M.D.</w:t>
            </w: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59"/>
        </w:trPr>
        <w:tc>
          <w:tcPr>
            <w:tcW w:w="2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/s/ Sandip Kapadia</w:t>
            </w: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2026</w:t>
            </w:r>
          </w:p>
        </w:tc>
      </w:tr>
      <w:tr>
        <w:trPr>
          <w:trHeight w:val="202"/>
        </w:trPr>
        <w:tc>
          <w:tcPr>
            <w:tcW w:w="20" w:type="dxa"/>
            <w:vAlign w:val="bottom"/>
          </w:tcPr>
          <w:p>
            <w:pPr>
              <w:spacing w:after="0"/>
              <w:rPr>
                <w:sz w:val="17"/>
                <w:szCs w:val="17"/>
                <w:color w:val="auto"/>
              </w:rPr>
            </w:pPr>
          </w:p>
        </w:tc>
        <w:tc>
          <w:tcPr>
            <w:tcW w:w="1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Sandip Kapadia</w:t>
            </w:r>
          </w:p>
        </w:tc>
        <w:tc>
          <w:tcPr>
            <w:tcW w:w="14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2680" w:type="dxa"/>
            <w:vAlign w:val="bottom"/>
            <w:gridSpan w:val="2"/>
          </w:tcPr>
          <w:p>
            <w:pPr>
              <w:spacing w:after="0"/>
              <w:rPr>
                <w:sz w:val="17"/>
                <w:szCs w:val="17"/>
                <w:color w:val="auto"/>
              </w:rPr>
            </w:pP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99"/>
        </w:trPr>
        <w:tc>
          <w:tcPr>
            <w:tcW w:w="20" w:type="dxa"/>
            <w:vAlign w:val="bottom"/>
          </w:tcPr>
          <w:p>
            <w:pPr>
              <w:spacing w:after="0"/>
              <w:rPr>
                <w:sz w:val="24"/>
                <w:szCs w:val="24"/>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w w:val="98"/>
              </w:rPr>
              <w:t>/s/ Vito J. Palombella</w:t>
            </w:r>
          </w:p>
        </w:tc>
        <w:tc>
          <w:tcPr>
            <w:tcW w:w="2880" w:type="dxa"/>
            <w:vAlign w:val="bottom"/>
            <w:gridSpan w:val="4"/>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2026</w:t>
            </w:r>
          </w:p>
        </w:tc>
      </w:tr>
      <w:tr>
        <w:trPr>
          <w:trHeight w:val="202"/>
        </w:trPr>
        <w:tc>
          <w:tcPr>
            <w:tcW w:w="20" w:type="dxa"/>
            <w:vAlign w:val="bottom"/>
          </w:tcPr>
          <w:p>
            <w:pPr>
              <w:spacing w:after="0"/>
              <w:rPr>
                <w:sz w:val="17"/>
                <w:szCs w:val="17"/>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Vito J. Palombella, Ph.D.</w:t>
            </w: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99"/>
        </w:trPr>
        <w:tc>
          <w:tcPr>
            <w:tcW w:w="2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/s/ Michael Vasconcelles</w:t>
            </w: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2026</w:t>
            </w:r>
          </w:p>
        </w:tc>
      </w:tr>
      <w:tr>
        <w:trPr>
          <w:trHeight w:val="20"/>
        </w:trPr>
        <w:tc>
          <w:tcPr>
            <w:tcW w:w="20" w:type="dxa"/>
            <w:vAlign w:val="bottom"/>
          </w:tcPr>
          <w:p>
            <w:pPr>
              <w:spacing w:after="0" w:line="20" w:lineRule="exact"/>
              <w:rPr>
                <w:sz w:val="1"/>
                <w:szCs w:val="1"/>
                <w:color w:val="auto"/>
              </w:rPr>
            </w:pPr>
          </w:p>
        </w:tc>
        <w:tc>
          <w:tcPr>
            <w:tcW w:w="1580" w:type="dxa"/>
            <w:vAlign w:val="bottom"/>
            <w:gridSpan w:val="7"/>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Michael Vasconcelles, M.D.</w:t>
            </w: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THE AUTHORIZED U.S. REPRESENTATIVE OF REGISTRANT</w:t>
      </w:r>
    </w:p>
    <w:p>
      <w:pPr>
        <w:spacing w:after="0" w:line="2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Molecular Partners AG has signed this registration statement on Form S-8 on this 24th day of June, 2026.</w:t>
      </w:r>
    </w:p>
    <w:p>
      <w:pPr>
        <w:spacing w:after="0" w:line="1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MOLECULAR PARTNERS INC.</w:t>
      </w: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-8890</wp:posOffset>
            </wp:positionV>
            <wp:extent cx="1287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Patrick Amstutz</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1440" w:right="339" w:bottom="1440" w:gutter="0" w:footer="0" w:header="0"/>
        </w:sectPr>
      </w:pPr>
    </w:p>
    <w:bookmarkStart w:id="9" w:name="page10"/>
    <w:bookmarkEnd w:id="9"/>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MOLECULAR PARTNERS AG</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60" w:type="dxa"/>
            <w:vAlign w:val="bottom"/>
            <w:tcBorders>
              <w:right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5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5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5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5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4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1"/>
        </w:trPr>
        <w:tc>
          <w:tcPr>
            <w:tcW w:w="5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ADR</w:t>
            </w:r>
          </w:p>
        </w:tc>
        <w:tc>
          <w:tcPr>
            <w:tcW w:w="20" w:type="dxa"/>
            <w:vAlign w:val="bottom"/>
          </w:tcPr>
          <w:p>
            <w:pPr>
              <w:spacing w:after="0"/>
              <w:rPr>
                <w:sz w:val="24"/>
                <w:szCs w:val="24"/>
                <w:color w:val="auto"/>
              </w:rPr>
            </w:pPr>
          </w:p>
        </w:tc>
        <w:tc>
          <w:tcPr>
            <w:tcW w:w="1200" w:type="dxa"/>
            <w:vAlign w:val="bottom"/>
            <w:shd w:val="clear" w:color="auto" w:fill="E7E7E2"/>
          </w:tcPr>
          <w:p>
            <w:pPr>
              <w:jc w:val="center"/>
              <w:spacing w:after="0"/>
              <w:rPr>
                <w:sz w:val="20"/>
                <w:szCs w:val="20"/>
                <w:color w:val="auto"/>
              </w:rPr>
            </w:pPr>
            <w:r>
              <w:rPr>
                <w:rFonts w:ascii="Arial" w:cs="Arial" w:eastAsia="Arial" w:hAnsi="Arial"/>
                <w:sz w:val="21"/>
                <w:szCs w:val="21"/>
                <w:color w:val="auto"/>
              </w:rPr>
              <w:t>457(a)</w:t>
            </w:r>
          </w:p>
        </w:tc>
        <w:tc>
          <w:tcPr>
            <w:tcW w:w="20" w:type="dxa"/>
            <w:vAlign w:val="bottom"/>
          </w:tcPr>
          <w:p>
            <w:pPr>
              <w:spacing w:after="0"/>
              <w:rPr>
                <w:sz w:val="24"/>
                <w:szCs w:val="24"/>
                <w:color w:val="auto"/>
              </w:rPr>
            </w:pPr>
          </w:p>
        </w:tc>
        <w:tc>
          <w:tcPr>
            <w:tcW w:w="1140" w:type="dxa"/>
            <w:vAlign w:val="bottom"/>
            <w:shd w:val="clear" w:color="auto" w:fill="E7E7E2"/>
          </w:tcPr>
          <w:p>
            <w:pPr>
              <w:jc w:val="right"/>
              <w:spacing w:after="0"/>
              <w:rPr>
                <w:sz w:val="20"/>
                <w:szCs w:val="20"/>
                <w:color w:val="auto"/>
              </w:rPr>
            </w:pPr>
            <w:r>
              <w:rPr>
                <w:rFonts w:ascii="Arial" w:cs="Arial" w:eastAsia="Arial" w:hAnsi="Arial"/>
                <w:sz w:val="21"/>
                <w:szCs w:val="21"/>
                <w:color w:val="auto"/>
              </w:rPr>
              <w:t>3,103,029</w:t>
            </w:r>
          </w:p>
        </w:tc>
        <w:tc>
          <w:tcPr>
            <w:tcW w:w="20" w:type="dxa"/>
            <w:vAlign w:val="bottom"/>
          </w:tcPr>
          <w:p>
            <w:pPr>
              <w:spacing w:after="0"/>
              <w:rPr>
                <w:sz w:val="24"/>
                <w:szCs w:val="24"/>
                <w:color w:val="auto"/>
              </w:rPr>
            </w:pPr>
          </w:p>
        </w:tc>
        <w:tc>
          <w:tcPr>
            <w:tcW w:w="13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$ 3.98</w:t>
            </w:r>
          </w:p>
        </w:tc>
        <w:tc>
          <w:tcPr>
            <w:tcW w:w="40" w:type="dxa"/>
            <w:vAlign w:val="bottom"/>
            <w:vMerge w:val="continue"/>
          </w:tcPr>
          <w:p>
            <w:pPr>
              <w:spacing w:after="0"/>
              <w:rPr>
                <w:sz w:val="24"/>
                <w:szCs w:val="24"/>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4"/>
                <w:szCs w:val="24"/>
                <w:color w:val="auto"/>
              </w:rPr>
            </w:pPr>
          </w:p>
        </w:tc>
        <w:tc>
          <w:tcPr>
            <w:tcW w:w="1040" w:type="dxa"/>
            <w:vAlign w:val="bottom"/>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40" w:type="dxa"/>
            <w:vAlign w:val="bottom"/>
          </w:tcPr>
          <w:p>
            <w:pPr>
              <w:spacing w:after="0"/>
              <w:rPr>
                <w:sz w:val="24"/>
                <w:szCs w:val="24"/>
                <w:color w:val="auto"/>
              </w:rPr>
            </w:pPr>
          </w:p>
        </w:tc>
        <w:tc>
          <w:tcPr>
            <w:tcW w:w="15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$ 1,705.54</w:t>
            </w:r>
          </w:p>
        </w:tc>
        <w:tc>
          <w:tcPr>
            <w:tcW w:w="4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shd w:val="clear" w:color="auto" w:fill="E7E7E2"/>
          </w:tcPr>
          <w:p>
            <w:pPr>
              <w:jc w:val="right"/>
              <w:spacing w:after="0" w:line="187" w:lineRule="exact"/>
              <w:rPr>
                <w:sz w:val="20"/>
                <w:szCs w:val="20"/>
                <w:color w:val="auto"/>
              </w:rPr>
            </w:pPr>
            <w:r>
              <w:rPr>
                <w:rFonts w:ascii="Arial" w:cs="Arial" w:eastAsia="Arial" w:hAnsi="Arial"/>
                <w:sz w:val="21"/>
                <w:szCs w:val="21"/>
                <w:color w:val="auto"/>
              </w:rPr>
              <w:t>12,350,055.42</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$ 1,705.54</w:t>
            </w:r>
          </w:p>
        </w:tc>
        <w:tc>
          <w:tcPr>
            <w:tcW w:w="40" w:type="dxa"/>
            <w:vAlign w:val="bottom"/>
            <w:tcBorders>
              <w:righ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12,350,055.42</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$ 1,705.54</w:t>
            </w:r>
          </w:p>
        </w:tc>
        <w:tc>
          <w:tcPr>
            <w:tcW w:w="4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60" w:type="dxa"/>
            <w:vAlign w:val="bottom"/>
            <w:tcBorders>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2"/>
        </w:trPr>
        <w:tc>
          <w:tcPr>
            <w:tcW w:w="5060" w:type="dxa"/>
            <w:vAlign w:val="bottom"/>
            <w:gridSpan w:val="11"/>
          </w:tcPr>
          <w:p>
            <w:pPr>
              <w:jc w:val="right"/>
              <w:ind w:right="953"/>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3"/>
          </w:tcPr>
          <w:p>
            <w:pPr>
              <w:ind w:left="380"/>
              <w:spacing w:after="0" w:line="242" w:lineRule="exact"/>
              <w:rPr>
                <w:sz w:val="20"/>
                <w:szCs w:val="20"/>
                <w:color w:val="auto"/>
              </w:rPr>
            </w:pPr>
            <w:r>
              <w:rPr>
                <w:rFonts w:ascii="MS PGothic" w:cs="MS PGothic" w:eastAsia="MS PGothic" w:hAnsi="MS PGothic"/>
                <w:sz w:val="21"/>
                <w:szCs w:val="21"/>
                <w:color w:val="auto"/>
                <w:highlight w:val="black"/>
                <w:w w:val="98"/>
              </w:rPr>
              <w:t>☑</w:t>
            </w:r>
            <w:r>
              <w:rPr>
                <w:rFonts w:ascii="Arial" w:cs="Arial" w:eastAsia="Arial" w:hAnsi="Arial"/>
                <w:sz w:val="21"/>
                <w:szCs w:val="21"/>
                <w:b w:val="1"/>
                <w:bCs w:val="1"/>
                <w:color w:val="auto"/>
                <w:w w:val="98"/>
              </w:rPr>
              <w:t>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98360" cy="2464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1440" w:gutter="0" w:footer="0" w:header="0"/>
          <w:type w:val="continuous"/>
        </w:sectPr>
      </w:pPr>
    </w:p>
    <w:bookmarkStart w:id="10" w:name="page11"/>
    <w:bookmarkEnd w:id="10"/>
    <w:p>
      <w:pPr>
        <w:ind w:left="10440"/>
        <w:spacing w:after="0"/>
        <w:rPr>
          <w:sz w:val="20"/>
          <w:szCs w:val="20"/>
          <w:color w:val="auto"/>
        </w:rPr>
      </w:pPr>
      <w:r>
        <w:rPr>
          <w:rFonts w:ascii="Times New Roman" w:cs="Times New Roman" w:eastAsia="Times New Roman" w:hAnsi="Times New Roman"/>
          <w:sz w:val="17"/>
          <w:szCs w:val="17"/>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0"/>
          <w:szCs w:val="20"/>
          <w:color w:val="auto"/>
        </w:rPr>
      </w:pPr>
    </w:p>
    <w:p>
      <w:pPr>
        <w:jc w:val="both"/>
        <w:ind w:firstLine="321"/>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description sets forth certain material terms and provisions of the securities of Molecular Partners AG (“Molecular Partners,” the “Company,” “we,” “us,” and “our”) that are registered under Section 12 of the Securities Exchange Act of 1934, as amended (the “Exchange Act”). This description also summarizes relevant provisions of the laws of Switzerland. The following summary does not purport to be complete and is subject to, and is qualified in its entirety by reference to, the applicable provisions of the laws of Switzerland and our articles of association, a copy of which is filed as an exhibit to the Annual Report on 20-F of which this Exhibit is a part. We encourage you to read our articles of association and the applicable provisions of the laws of Switzerland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Our securities include (a) our ordinary shares, CHF 0.10 nominal value per share, and (b) our American Depositary Shares (the “ADSs”), each representing one ordinary share, CHF 0.10 nominal value per share. Our ordinary shares are registered under the Exchange Act not for trading, but only in connection with the listing of the ADSs on The Nasdaq Global Select Market.</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ADSs are listed on The Nasdaq Global Select Market under the trading symbol “MOLN.”</w:t>
      </w:r>
    </w:p>
    <w:p>
      <w:pPr>
        <w:spacing w:after="0" w:line="220"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following is a description of the rights of (i) the holders of ordinary shares and (ii) ADS holders. Ordinary shares underlying the outstanding ADSs are held by Citibank N.A., as depositary.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the rights of our holders of our ordinary shares as specified in our articles of association.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Each ordinary share has a nominal value of CHF 0.10 per share.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2"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color w:val="auto"/>
        </w:rPr>
        <w:t>As of January 22, 2026, our share capital (</w:t>
      </w:r>
      <w:r>
        <w:rPr>
          <w:rFonts w:ascii="Times New Roman" w:cs="Times New Roman" w:eastAsia="Times New Roman" w:hAnsi="Times New Roman"/>
          <w:sz w:val="18"/>
          <w:szCs w:val="18"/>
          <w:i w:val="1"/>
          <w:iCs w:val="1"/>
          <w:color w:val="auto"/>
        </w:rPr>
        <w:t>Aktienkapital</w:t>
      </w:r>
      <w:r>
        <w:rPr>
          <w:rFonts w:ascii="Times New Roman" w:cs="Times New Roman" w:eastAsia="Times New Roman" w:hAnsi="Times New Roman"/>
          <w:sz w:val="18"/>
          <w:szCs w:val="18"/>
          <w:color w:val="auto"/>
        </w:rPr>
        <w:t>) as recorded in the commercial register of the Canton of Zurich was CHF 4,037,464.10, consisting of 40,374,641 ordinary shares with a nominal value of CHF 0.10 each.</w:t>
      </w:r>
    </w:p>
    <w:p>
      <w:pPr>
        <w:spacing w:after="0" w:line="162"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Under our articles of incorporation, in their current version dated January 9, 2026, our board of directors is authorized, within a capital range ranging from CHF 3,673,165.30 (lower limit) to CHF 5,490,880.15 (upper limit), to increase or decrease our share capital once or several times and in any amounts and to acquire or dispose of shares, directly or indirectly, until April 17, 2029, or until an earlier expiry of the capital range. See “—Articles of Incorporation — Certain Important Provisions of our Articles of Incorporation, Organizational Rules and Swiss Law — Our Capital Range.”</w:t>
      </w:r>
    </w:p>
    <w:p>
      <w:pPr>
        <w:spacing w:after="0" w:line="182"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Our share capital may also be increased by a maximum aggregate amount of CHF 362,264.40 through the issuance of not more than 3,622,644 ordinary shares, which would need to be fully paid-in, with a nominal value of CHF 0.10 each, through the direct or indirect issuance of shares, options or pre-emptive rights thereof granted to employees and members of our board of directors as well as to members of any advisory boards. Shares, options or pre-emptive rights thereof shall be issued in accordance with one or more participation plans and/or policies to be issued by our board of directors and in accordance with our articles of incorporation. See “—Articles of Incorporation— Certain Important Provisions of our Articles of Incorporation, Organizational Rules and Swiss Law— Our Conditional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In addition, our share capital may be increased by a maximum aggregate amount of CHF 226,087 through the issuance of up to 2,260,870 fully paid up shares with a nominal value of CHF 0.10 each through the exercise or mandatory exercise of conversion, exchange, option, warrant or similar rights for the subscription of shares granted to shareholders or third parties alone or in connection with bonds, notes, options, warrants or other securities or contractual obligations by us or any of our group companies. See “—Articles of Incorporation— Certain Important Provisions of our Articles of Incorporation, Organizational Rules and Swiss Law— Our Conditional Share Capital.”</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From January 1, 2022 through January 22, 2026, the number of our issued ordinary shares as recorded in the commercial register of the Canton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Zurich underwent the following changes:</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2022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9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shares recorded on January 1,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32,146,992</w:t>
            </w:r>
          </w:p>
        </w:tc>
      </w:tr>
      <w:tr>
        <w:trPr>
          <w:trHeight w:val="222"/>
        </w:trPr>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Reflecting in commercial register on January 20, 2022 of prior issuance of new shares with a nominal value of CHF 0.10 each issued</w:t>
            </w:r>
          </w:p>
        </w:tc>
        <w:tc>
          <w:tcPr>
            <w:tcW w:w="1280" w:type="dxa"/>
            <w:vAlign w:val="bottom"/>
          </w:tcPr>
          <w:p>
            <w:pPr>
              <w:spacing w:after="0"/>
              <w:rPr>
                <w:sz w:val="19"/>
                <w:szCs w:val="19"/>
                <w:color w:val="auto"/>
              </w:rPr>
            </w:pPr>
          </w:p>
        </w:tc>
      </w:tr>
      <w:tr>
        <w:trPr>
          <w:trHeight w:val="259"/>
        </w:trPr>
        <w:tc>
          <w:tcPr>
            <w:tcW w:w="9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(but not reflected) in the one-year period ended December 31, 2021 out of conditional share capital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145,656</w:t>
            </w:r>
          </w:p>
        </w:tc>
      </w:tr>
      <w:tr>
        <w:trPr>
          <w:trHeight w:val="267"/>
        </w:trPr>
        <w:tc>
          <w:tcPr>
            <w:tcW w:w="9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shares recorded on May 1,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32,292,648</w:t>
            </w:r>
          </w:p>
        </w:tc>
      </w:tr>
      <w:tr>
        <w:trPr>
          <w:trHeight w:val="222"/>
        </w:trPr>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treasury shares for our fully owned subsidiary Molecular Partners Incl. out of the authorized capital to cover future</w:t>
            </w:r>
          </w:p>
        </w:tc>
        <w:tc>
          <w:tcPr>
            <w:tcW w:w="1280" w:type="dxa"/>
            <w:vAlign w:val="bottom"/>
          </w:tcPr>
          <w:p>
            <w:pPr>
              <w:spacing w:after="0"/>
              <w:rPr>
                <w:sz w:val="19"/>
                <w:szCs w:val="19"/>
                <w:color w:val="auto"/>
              </w:rPr>
            </w:pPr>
          </w:p>
        </w:tc>
      </w:tr>
      <w:tr>
        <w:trPr>
          <w:trHeight w:val="214"/>
        </w:trPr>
        <w:tc>
          <w:tcPr>
            <w:tcW w:w="9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fundraisings, including in connection with the Company's at-the-market sales program for American Depositary Shares established</w:t>
            </w:r>
          </w:p>
        </w:tc>
        <w:tc>
          <w:tcPr>
            <w:tcW w:w="1280" w:type="dxa"/>
            <w:vAlign w:val="bottom"/>
          </w:tcPr>
          <w:p>
            <w:pPr>
              <w:spacing w:after="0"/>
              <w:rPr>
                <w:sz w:val="18"/>
                <w:szCs w:val="18"/>
                <w:color w:val="auto"/>
              </w:rPr>
            </w:pPr>
          </w:p>
        </w:tc>
      </w:tr>
      <w:tr>
        <w:trPr>
          <w:trHeight w:val="259"/>
        </w:trPr>
        <w:tc>
          <w:tcPr>
            <w:tcW w:w="9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July 2022, immediately reflected in the commercial register on August 24,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w:t>
            </w:r>
          </w:p>
        </w:tc>
      </w:tr>
      <w:tr>
        <w:trPr>
          <w:trHeight w:val="267"/>
        </w:trPr>
        <w:tc>
          <w:tcPr>
            <w:tcW w:w="9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shares recorded on December 31,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35,792,648</w:t>
            </w:r>
          </w:p>
        </w:tc>
      </w:tr>
      <w:tr>
        <w:trPr>
          <w:trHeight w:val="456"/>
        </w:trPr>
        <w:tc>
          <w:tcPr>
            <w:tcW w:w="9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1280" w:type="dxa"/>
            <w:vAlign w:val="bottom"/>
          </w:tcPr>
          <w:p>
            <w:pPr>
              <w:spacing w:after="0"/>
              <w:rPr>
                <w:sz w:val="24"/>
                <w:szCs w:val="24"/>
                <w:color w:val="auto"/>
              </w:rPr>
            </w:pPr>
          </w:p>
        </w:tc>
      </w:tr>
      <w:tr>
        <w:trPr>
          <w:trHeight w:val="38"/>
        </w:trPr>
        <w:tc>
          <w:tcPr>
            <w:tcW w:w="99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7"/>
        </w:trPr>
        <w:tc>
          <w:tcPr>
            <w:tcW w:w="9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shares recorded on January 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35,792,648</w:t>
            </w:r>
          </w:p>
        </w:tc>
      </w:tr>
      <w:tr>
        <w:trPr>
          <w:trHeight w:val="222"/>
        </w:trPr>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Reflecting in commercial register on January 19, 2023 of prior issuance of new shares with a nominal value of CHF 0.10 each issued</w:t>
            </w:r>
          </w:p>
        </w:tc>
        <w:tc>
          <w:tcPr>
            <w:tcW w:w="1280" w:type="dxa"/>
            <w:vAlign w:val="bottom"/>
          </w:tcPr>
          <w:p>
            <w:pPr>
              <w:spacing w:after="0"/>
              <w:rPr>
                <w:sz w:val="19"/>
                <w:szCs w:val="19"/>
                <w:color w:val="auto"/>
              </w:rPr>
            </w:pPr>
          </w:p>
        </w:tc>
      </w:tr>
      <w:tr>
        <w:trPr>
          <w:trHeight w:val="259"/>
        </w:trPr>
        <w:tc>
          <w:tcPr>
            <w:tcW w:w="9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(but not reflected) in the one-year period ended December 31, 2022 out of conditional share capital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252,058</w:t>
            </w:r>
          </w:p>
        </w:tc>
      </w:tr>
      <w:tr>
        <w:trPr>
          <w:trHeight w:val="267"/>
        </w:trPr>
        <w:tc>
          <w:tcPr>
            <w:tcW w:w="9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shares recorded on December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36,044,706</w:t>
            </w:r>
          </w:p>
        </w:tc>
      </w:tr>
      <w:tr>
        <w:trPr>
          <w:trHeight w:val="456"/>
        </w:trPr>
        <w:tc>
          <w:tcPr>
            <w:tcW w:w="9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2024</w:t>
            </w:r>
          </w:p>
        </w:tc>
        <w:tc>
          <w:tcPr>
            <w:tcW w:w="1280" w:type="dxa"/>
            <w:vAlign w:val="bottom"/>
          </w:tcPr>
          <w:p>
            <w:pPr>
              <w:spacing w:after="0"/>
              <w:rPr>
                <w:sz w:val="24"/>
                <w:szCs w:val="24"/>
                <w:color w:val="auto"/>
              </w:rPr>
            </w:pPr>
          </w:p>
        </w:tc>
      </w:tr>
      <w:tr>
        <w:trPr>
          <w:trHeight w:val="38"/>
        </w:trPr>
        <w:tc>
          <w:tcPr>
            <w:tcW w:w="99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7"/>
        </w:trPr>
        <w:tc>
          <w:tcPr>
            <w:tcW w:w="9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shares recorded on January 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36,044,706</w:t>
            </w:r>
          </w:p>
        </w:tc>
      </w:tr>
      <w:tr>
        <w:trPr>
          <w:trHeight w:val="222"/>
        </w:trPr>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Reflecting in commercial register on January 16, 2024 of prior issuance of new shares with a nominal value of CHF 0.10 each issued</w:t>
            </w:r>
          </w:p>
        </w:tc>
        <w:tc>
          <w:tcPr>
            <w:tcW w:w="1280" w:type="dxa"/>
            <w:vAlign w:val="bottom"/>
          </w:tcPr>
          <w:p>
            <w:pPr>
              <w:spacing w:after="0"/>
              <w:rPr>
                <w:sz w:val="19"/>
                <w:szCs w:val="19"/>
                <w:color w:val="auto"/>
              </w:rPr>
            </w:pPr>
          </w:p>
        </w:tc>
      </w:tr>
      <w:tr>
        <w:trPr>
          <w:trHeight w:val="259"/>
        </w:trPr>
        <w:tc>
          <w:tcPr>
            <w:tcW w:w="9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(but not reflected) in the one-year period ended December 31, 2023 out of conditional share capital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309,591</w:t>
            </w:r>
          </w:p>
        </w:tc>
      </w:tr>
      <w:tr>
        <w:trPr>
          <w:trHeight w:val="267"/>
        </w:trPr>
        <w:tc>
          <w:tcPr>
            <w:tcW w:w="9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shares recorded on June 30,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36,354,297</w:t>
            </w:r>
          </w:p>
        </w:tc>
      </w:tr>
      <w:tr>
        <w:trPr>
          <w:trHeight w:val="222"/>
        </w:trPr>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on October 25, 2024 of new shares with a nominal value of CHF 0.10 each issued at an issue price of CHF 0.10 out of the</w:t>
            </w:r>
          </w:p>
        </w:tc>
        <w:tc>
          <w:tcPr>
            <w:tcW w:w="1280" w:type="dxa"/>
            <w:vAlign w:val="bottom"/>
          </w:tcPr>
          <w:p>
            <w:pPr>
              <w:spacing w:after="0"/>
              <w:rPr>
                <w:sz w:val="19"/>
                <w:szCs w:val="19"/>
                <w:color w:val="auto"/>
              </w:rPr>
            </w:pPr>
          </w:p>
        </w:tc>
      </w:tr>
      <w:tr>
        <w:trPr>
          <w:trHeight w:val="259"/>
        </w:trPr>
        <w:tc>
          <w:tcPr>
            <w:tcW w:w="9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range immediately reflected in the commercial register on October 29, 2025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3,642,988</w:t>
            </w:r>
          </w:p>
        </w:tc>
      </w:tr>
      <w:tr>
        <w:trPr>
          <w:trHeight w:val="267"/>
        </w:trPr>
        <w:tc>
          <w:tcPr>
            <w:tcW w:w="9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shares recorded on December 31,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39,997,285</w:t>
            </w:r>
          </w:p>
        </w:tc>
      </w:tr>
      <w:tr>
        <w:trPr>
          <w:trHeight w:val="456"/>
        </w:trPr>
        <w:tc>
          <w:tcPr>
            <w:tcW w:w="9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2025</w:t>
            </w:r>
          </w:p>
        </w:tc>
        <w:tc>
          <w:tcPr>
            <w:tcW w:w="1280" w:type="dxa"/>
            <w:vAlign w:val="bottom"/>
          </w:tcPr>
          <w:p>
            <w:pPr>
              <w:spacing w:after="0"/>
              <w:rPr>
                <w:sz w:val="24"/>
                <w:szCs w:val="24"/>
                <w:color w:val="auto"/>
              </w:rPr>
            </w:pPr>
          </w:p>
        </w:tc>
      </w:tr>
      <w:tr>
        <w:trPr>
          <w:trHeight w:val="38"/>
        </w:trPr>
        <w:tc>
          <w:tcPr>
            <w:tcW w:w="99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7"/>
        </w:trPr>
        <w:tc>
          <w:tcPr>
            <w:tcW w:w="9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shares recorded on January 1, 2025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39,997,285</w:t>
            </w:r>
          </w:p>
        </w:tc>
      </w:tr>
      <w:tr>
        <w:trPr>
          <w:trHeight w:val="222"/>
        </w:trPr>
        <w:tc>
          <w:tcPr>
            <w:tcW w:w="9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Reflecting in commercial register on January 9, 2025 of prior issuance of new shares with a nominal value of CHF 0.10 each issued</w:t>
            </w:r>
          </w:p>
        </w:tc>
        <w:tc>
          <w:tcPr>
            <w:tcW w:w="1280" w:type="dxa"/>
            <w:vAlign w:val="bottom"/>
          </w:tcPr>
          <w:p>
            <w:pPr>
              <w:spacing w:after="0"/>
              <w:rPr>
                <w:sz w:val="19"/>
                <w:szCs w:val="19"/>
                <w:color w:val="auto"/>
              </w:rPr>
            </w:pPr>
          </w:p>
        </w:tc>
      </w:tr>
      <w:tr>
        <w:trPr>
          <w:trHeight w:val="259"/>
        </w:trPr>
        <w:tc>
          <w:tcPr>
            <w:tcW w:w="9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(but not reflected) in the one-year period ended December 31, 2024 out of conditional capital for employee participation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365,810</w:t>
            </w:r>
          </w:p>
        </w:tc>
      </w:tr>
      <w:tr>
        <w:trPr>
          <w:trHeight w:val="267"/>
        </w:trPr>
        <w:tc>
          <w:tcPr>
            <w:tcW w:w="9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shares recorded on December 31, 2025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40,363,095</w:t>
            </w:r>
          </w:p>
        </w:tc>
      </w:tr>
      <w:tr>
        <w:trPr>
          <w:trHeight w:val="481"/>
        </w:trPr>
        <w:tc>
          <w:tcPr>
            <w:tcW w:w="9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12" w:name="page13"/>
    <w:bookmarkEnd w:id="12"/>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Reflecting in commercial register on January 9, 2026 of prior issuance of new shares with a nominal value of CHF 0.10 each issued</w:t>
            </w:r>
          </w:p>
        </w:tc>
        <w:tc>
          <w:tcPr>
            <w:tcW w:w="1320" w:type="dxa"/>
            <w:vAlign w:val="bottom"/>
          </w:tcPr>
          <w:p>
            <w:pPr>
              <w:spacing w:after="0"/>
              <w:rPr>
                <w:sz w:val="18"/>
                <w:szCs w:val="18"/>
                <w:color w:val="auto"/>
              </w:rPr>
            </w:pPr>
          </w:p>
        </w:tc>
      </w:tr>
      <w:tr>
        <w:trPr>
          <w:trHeight w:val="259"/>
        </w:trPr>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(but not reflected) in the one-year period ended December 31, 2025 out of conditional capital for employee participation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r>
      <w:tr>
        <w:trPr>
          <w:trHeight w:val="267"/>
        </w:trPr>
        <w:tc>
          <w:tcPr>
            <w:tcW w:w="9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shares recorded on January 22, 2026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40,374,641</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22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From January 1, 2022 through January 22, 2026, the events set out above and further described below have changed our issued share capital and, in parallel, the number of our issued ordinary shares, in each case as recorded in the commercial register of the Canton of Zurich.</w:t>
      </w:r>
    </w:p>
    <w:p>
      <w:pPr>
        <w:spacing w:after="0" w:line="150" w:lineRule="exact"/>
        <w:rPr>
          <w:sz w:val="20"/>
          <w:szCs w:val="20"/>
          <w:color w:val="auto"/>
        </w:rPr>
      </w:pPr>
    </w:p>
    <w:p>
      <w:pPr>
        <w:ind w:left="640" w:right="40" w:hanging="313"/>
        <w:spacing w:after="0" w:line="22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20, 2022, our share capital was increased by CHF 14,565.60 through the issuance of 145,656 new shares with a nominal value of CHF 0.10 each. These shares had been issued out of conditional share capital (but were not recorded in the commercial register until January 20, 2022) in the one-year period ended December 31, 2021,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55" w:lineRule="exact"/>
        <w:rPr>
          <w:rFonts w:ascii="Times New Roman" w:cs="Times New Roman" w:eastAsia="Times New Roman" w:hAnsi="Times New Roman"/>
          <w:sz w:val="18"/>
          <w:szCs w:val="18"/>
          <w:color w:val="auto"/>
        </w:rPr>
      </w:pPr>
    </w:p>
    <w:p>
      <w:pPr>
        <w:ind w:left="640" w:right="160" w:hanging="313"/>
        <w:spacing w:after="0" w:line="21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22, 2022, our share capital was increased by CHF 350,000 through the issuance of 3,500,000 new shares with a nominal value of CHF 0.10 each. These shares had been issued out of our authorized share capital to Molecular Partners Inc., a fully owned subsidiary of the Company. The purpose of the share issuance was to replenish the Company’s pool of treasury shares that the Company can use in the future to raise funds, including in connection with the Company’s at-the-market sales program for American Depositary Shares established in July 2022. Our articles of incorporation were amended accordingly to reflect the new share capital.</w:t>
      </w:r>
    </w:p>
    <w:p>
      <w:pPr>
        <w:spacing w:after="0" w:line="168" w:lineRule="exact"/>
        <w:rPr>
          <w:rFonts w:ascii="Times New Roman" w:cs="Times New Roman" w:eastAsia="Times New Roman" w:hAnsi="Times New Roman"/>
          <w:sz w:val="18"/>
          <w:szCs w:val="18"/>
          <w:color w:val="auto"/>
        </w:rPr>
      </w:pPr>
    </w:p>
    <w:p>
      <w:pPr>
        <w:ind w:left="640" w:right="40" w:hanging="313"/>
        <w:spacing w:after="0" w:line="21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2023, our share capital was increased by CHF 25,205.80 through the issuance of 252,058 new shares with a nominal value of CHF 0.10 each. These shares had been issued out of conditional share capital (but were not recorded in the commercial register until January 19, 2023) in the one-year period ended December 31, 2022,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55" w:lineRule="exact"/>
        <w:rPr>
          <w:rFonts w:ascii="Times New Roman" w:cs="Times New Roman" w:eastAsia="Times New Roman" w:hAnsi="Times New Roman"/>
          <w:sz w:val="18"/>
          <w:szCs w:val="18"/>
          <w:color w:val="auto"/>
        </w:rPr>
      </w:pPr>
    </w:p>
    <w:p>
      <w:pPr>
        <w:ind w:left="640" w:right="40" w:hanging="313"/>
        <w:spacing w:after="0" w:line="22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16, 2024, our share capital was increased by CHF 30,959.10 through the issuance of 309,591 new shares with a nominal value of CHF 0.10 each. These shares had been issued out of conditional share capital (but were not recorded in the commercial register until January 16, 2024) in the one-year period ended December 31, 2023,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55" w:lineRule="exact"/>
        <w:rPr>
          <w:rFonts w:ascii="Times New Roman" w:cs="Times New Roman" w:eastAsia="Times New Roman" w:hAnsi="Times New Roman"/>
          <w:sz w:val="18"/>
          <w:szCs w:val="18"/>
          <w:color w:val="auto"/>
        </w:rPr>
      </w:pPr>
    </w:p>
    <w:p>
      <w:pPr>
        <w:ind w:left="640" w:right="60" w:hanging="313"/>
        <w:spacing w:after="0" w:line="22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25, 2024, our share capital was increased by CHF 364,298.80 through the issuance of 3,642,988 new shares with a nominal value of CHF 0.10 each. These shares had been issued out of capital range, based on the resolution of the general meeting of shareholders held on April 17, 2024 resolving on, inter alia, the introduction of a capital range authorizing the board of directors of the Company to increase the share capital up to an upper limit of CHF 5,453,144.55. Our articles of incorporation were amended accordingly to reflect the new share capital.</w:t>
      </w:r>
    </w:p>
    <w:p>
      <w:pPr>
        <w:spacing w:after="0" w:line="155" w:lineRule="exact"/>
        <w:rPr>
          <w:rFonts w:ascii="Times New Roman" w:cs="Times New Roman" w:eastAsia="Times New Roman" w:hAnsi="Times New Roman"/>
          <w:sz w:val="18"/>
          <w:szCs w:val="18"/>
          <w:color w:val="auto"/>
        </w:rPr>
      </w:pPr>
    </w:p>
    <w:p>
      <w:pPr>
        <w:ind w:left="640" w:right="120" w:hanging="313"/>
        <w:spacing w:after="0" w:line="22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2025, our share capital was increased by CHF 36,581 through the issuance of 365,810 new shares with a nominal value of CHF 0.10 each. These shares had been issued out of conditional share capital (but were not recorded in the commercial register until January 9, 2025) in the one-year period ended December 31, 2024, based on the resolution of the general meeting of shareholders held on April 17, 2024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3" w:name="page14"/>
    <w:bookmarkEnd w:id="13"/>
    <w:p>
      <w:pPr>
        <w:ind w:left="640" w:right="80" w:hanging="313"/>
        <w:spacing w:after="0" w:line="21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2026, our share capital was increased by CHF 1,154.60 through the issuance of 11,546 new shares with a nominal value of CHF 0.10 each. These shares had been issued out of conditional share capital (but were not recorded in the commercial register until January 22, 2026) in the one-year period ended December 31, 2025, based on the resolution of the general meeting of shareholders held on April 17, 2024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Important Provisions of our Articles of Incorporation, Organizational Rules and Swiss Law</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of incorporation, organizational rules and certain related provisions of Swiss law. Please note that this is only a summary and as such is not, is not intended to be and does not purport to be exhaustive. For a more complete discussion, please refer to our articles of incorporation and organizational rules.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Capital Range and Conditional Share Capital</w:t>
      </w:r>
    </w:p>
    <w:p>
      <w:pPr>
        <w:spacing w:after="0" w:line="224"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Under Swiss law, we may increase our share capital with a resolution of the general meeting of shareholders (ordinary capital increase) that must be carried out by the board of directors within six months of the respective general meeting in order to become effective. Under our articles of incorporation and Swiss law, in the case of subscription and increase against payment of contributions in cash, a resolution passed by a majority of the shares represented at the general meeting of shareholders is required. In the case of subscription and increase against contributions in kind or to fund acquisitions in kind, when shareholders’ statutory pre-emptive subscription rights or advance subscription rights are limited or withdrawn or where transformation of freely disposable equity into share capital is involved, a resolution passed by two-thirds of the shares represented at a general meeting of shareholders and the majority of the par value of the shares represented is required.</w:t>
      </w:r>
    </w:p>
    <w:p>
      <w:pPr>
        <w:spacing w:after="0" w:line="189"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Under the CO, our shareholders, by a resolution passed by two-thirds of the shares represented at a general meeting of shareholders and the majority of the par value of the shares represented, can:</w:t>
      </w:r>
    </w:p>
    <w:p>
      <w:pPr>
        <w:spacing w:after="0" w:line="148" w:lineRule="exact"/>
        <w:rPr>
          <w:sz w:val="20"/>
          <w:szCs w:val="20"/>
          <w:color w:val="auto"/>
        </w:rPr>
      </w:pPr>
    </w:p>
    <w:p>
      <w:pPr>
        <w:ind w:left="640" w:right="340" w:hanging="313"/>
        <w:spacing w:after="0" w:line="22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conditional share capital (</w:t>
      </w:r>
      <w:r>
        <w:rPr>
          <w:rFonts w:ascii="Times New Roman" w:cs="Times New Roman" w:eastAsia="Times New Roman" w:hAnsi="Times New Roman"/>
          <w:sz w:val="18"/>
          <w:szCs w:val="18"/>
          <w:i w:val="1"/>
          <w:iCs w:val="1"/>
          <w:color w:val="auto"/>
        </w:rPr>
        <w:t>bedingtes Kapital</w:t>
      </w:r>
      <w:r>
        <w:rPr>
          <w:rFonts w:ascii="Times New Roman" w:cs="Times New Roman" w:eastAsia="Times New Roman" w:hAnsi="Times New Roman"/>
          <w:sz w:val="18"/>
          <w:szCs w:val="18"/>
          <w:color w:val="auto"/>
        </w:rPr>
        <w:t>) in the aggregate amount of up to 50% of the share capital for the purpose of issuing shares in connection with, among other things, option and conversion rights granted to shareholders, the creditors of bonds and similar debt instruments, employees, members of the board of directors of the Company or of any group company, or to any third parties; and</w:t>
      </w:r>
    </w:p>
    <w:p>
      <w:pPr>
        <w:spacing w:after="0" w:line="168" w:lineRule="exact"/>
        <w:rPr>
          <w:rFonts w:ascii="Times New Roman" w:cs="Times New Roman" w:eastAsia="Times New Roman" w:hAnsi="Times New Roman"/>
          <w:sz w:val="18"/>
          <w:szCs w:val="18"/>
          <w:color w:val="auto"/>
        </w:rPr>
      </w:pPr>
    </w:p>
    <w:p>
      <w:pPr>
        <w:ind w:left="640" w:right="200" w:hanging="313"/>
        <w:spacing w:after="0" w:line="22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form of capital range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empower our board of directors to increase and/or decrease our share capital by up to 50% of the share capital, by issuing or canceling shares, or by increasing or decreasing the par value of shares, including through the creation of conditional share capital; such capital range is to be utilized by the board of directors within a period determined by the shareholders but not exceeding five years from the date of the shareholder approval.</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Pre-Emptive and Advance Subscription Rights</w:t>
      </w:r>
    </w:p>
    <w:p>
      <w:pPr>
        <w:spacing w:after="0" w:line="222"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8"/>
          <w:szCs w:val="18"/>
          <w:color w:val="auto"/>
        </w:rPr>
        <w:t>Pursuant to the CO, shareholders have pre-emptive subscription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to subscribe for new issuances of shares. With respect to conditional capital, shareholders have (i) pre-emptive subscription rights for the subscription of option rights and (ii)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for the subscription of bonds and similar debt instruments to which option or conversion rights are attached.</w:t>
      </w:r>
    </w:p>
    <w:p>
      <w:pPr>
        <w:spacing w:after="0" w:line="176" w:lineRule="exact"/>
        <w:rPr>
          <w:sz w:val="20"/>
          <w:szCs w:val="20"/>
          <w:color w:val="auto"/>
        </w:rPr>
      </w:pPr>
    </w:p>
    <w:p>
      <w:pPr>
        <w:jc w:val="both"/>
        <w:ind w:firstLine="321"/>
        <w:spacing w:after="0" w:line="308" w:lineRule="auto"/>
        <w:rPr>
          <w:sz w:val="20"/>
          <w:szCs w:val="20"/>
          <w:color w:val="auto"/>
        </w:rPr>
      </w:pPr>
      <w:r>
        <w:rPr>
          <w:rFonts w:ascii="Times New Roman" w:cs="Times New Roman" w:eastAsia="Times New Roman" w:hAnsi="Times New Roman"/>
          <w:sz w:val="17"/>
          <w:szCs w:val="17"/>
          <w:color w:val="auto"/>
        </w:rPr>
        <w:t>A resolution passed at a general meeting of shareholders by two-thirds of the shares represented and the majority of the par value of the shares represented may authorize our board of directors to withdraw or limit preemptive subscription rights or advance subscription rights in certain circumstances.</w:t>
      </w:r>
    </w:p>
    <w:p>
      <w:pPr>
        <w:spacing w:after="0" w:line="139"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board of directors may permit pre-emptive rights that have been granted but not exercised to expire or it may place these rights respectively the shares as to which pre-emptive rights have been granted but not exercised, at market conditions or use them for other purposes in the interest of the Company. Any shares for which the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0" w:right="339" w:bottom="1440" w:gutter="0" w:footer="0" w:header="0"/>
        </w:sectPr>
      </w:pPr>
    </w:p>
    <w:bookmarkStart w:id="14" w:name="page15"/>
    <w:bookmarkEnd w:id="14"/>
    <w:p>
      <w:pPr>
        <w:jc w:val="both"/>
        <w:spacing w:after="0" w:line="277" w:lineRule="auto"/>
        <w:rPr>
          <w:sz w:val="20"/>
          <w:szCs w:val="20"/>
          <w:color w:val="auto"/>
        </w:rPr>
      </w:pPr>
      <w:r>
        <w:rPr>
          <w:rFonts w:ascii="Times New Roman" w:cs="Times New Roman" w:eastAsia="Times New Roman" w:hAnsi="Times New Roman"/>
          <w:sz w:val="18"/>
          <w:szCs w:val="18"/>
          <w:color w:val="auto"/>
        </w:rPr>
        <w:t>preferential subscription rights have not been exercised will be at the disposal of the board of directors, who may sell them at market conditions or use them for other purposes in the interest of the Company.</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Capital Range</w:t>
      </w:r>
    </w:p>
    <w:p>
      <w:pPr>
        <w:spacing w:after="0" w:line="224" w:lineRule="exact"/>
        <w:rPr>
          <w:sz w:val="20"/>
          <w:szCs w:val="20"/>
          <w:color w:val="auto"/>
        </w:rPr>
      </w:pPr>
    </w:p>
    <w:p>
      <w:pPr>
        <w:jc w:val="both"/>
        <w:ind w:firstLine="321"/>
        <w:spacing w:after="0" w:line="271" w:lineRule="auto"/>
        <w:rPr>
          <w:sz w:val="20"/>
          <w:szCs w:val="20"/>
          <w:color w:val="auto"/>
        </w:rPr>
      </w:pPr>
      <w:r>
        <w:rPr>
          <w:rFonts w:ascii="Times New Roman" w:cs="Times New Roman" w:eastAsia="Times New Roman" w:hAnsi="Times New Roman"/>
          <w:sz w:val="17"/>
          <w:szCs w:val="17"/>
          <w:color w:val="auto"/>
        </w:rPr>
        <w:t>Under our articles of incorporation, we have a capital range ranging from CHF 3,673,165.30 (lower limit) to CHF 5,490,880.15 (upper limit). Our board of directors is authorized within the capital range to increase or decrease our share capital once or several times and in any amounts and to acquire or dispose of shares, directly or indirectly, until April 17, 2029, or until an earlier expiry of the capital range. The capital increase or reduction may be effected by issuing fully paid-in registered shares and cancelling registered shares, as applicable, or by increasing or reducing the par value of the existing shares within the limits of the capital range or by simultaneous reduction and re-increase of the share capital. If our share capital increases as a result of a share issue from conditional capital (see next subsection), the upper and lower limits of the capital range will increase in an amount corresponding to such increase.</w:t>
      </w:r>
    </w:p>
    <w:p>
      <w:pPr>
        <w:spacing w:after="0" w:line="172"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the event of a capital increase within the capital range, the board of directors has to determine the type of contributions, the issue price and the date on which the dividend entitlement starts. In the event of a capital reduction within the capital range, the board of directors has to determine the use of the reduction amount, to the extent necessary.</w:t>
      </w:r>
    </w:p>
    <w:p>
      <w:pPr>
        <w:spacing w:after="0" w:line="177"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a capital increase within the capital range, the board of directors is authorized by our articles of incorporation to withdraw or to limit the pre-emptive subscription rights of shareholders, and to allocate them to certain shareholders or third parties, in the event that the newly issued shares are issued under the following circumstances:</w:t>
      </w:r>
    </w:p>
    <w:p>
      <w:pPr>
        <w:spacing w:after="0" w:line="164" w:lineRule="exact"/>
        <w:rPr>
          <w:sz w:val="20"/>
          <w:szCs w:val="20"/>
          <w:color w:val="auto"/>
        </w:rPr>
      </w:pPr>
    </w:p>
    <w:p>
      <w:pPr>
        <w:ind w:left="640" w:right="600" w:hanging="313"/>
        <w:spacing w:after="0" w:line="23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companies, parts of companies or participations, for the acquisition of products, intellectual property or licenses, or for investment projects or for the financing or refinancing of such transactions through a placement of shares; or</w:t>
      </w:r>
    </w:p>
    <w:p>
      <w:pPr>
        <w:spacing w:after="0" w:line="169" w:lineRule="exact"/>
        <w:rPr>
          <w:rFonts w:ascii="Times New Roman" w:cs="Times New Roman" w:eastAsia="Times New Roman" w:hAnsi="Times New Roman"/>
          <w:sz w:val="18"/>
          <w:szCs w:val="18"/>
          <w:color w:val="auto"/>
        </w:rPr>
      </w:pPr>
    </w:p>
    <w:p>
      <w:pPr>
        <w:ind w:left="640" w:right="40" w:hanging="313"/>
        <w:spacing w:after="0" w:line="258"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broadening the shareholder constituency of the Company in certain financial or investor markets, for purposes of the participation of strategic partners including financial investors, or in connection with a listing of new shares on domestic or foreign stock exchanges; or</w:t>
      </w:r>
    </w:p>
    <w:p>
      <w:pPr>
        <w:spacing w:after="0" w:line="140"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Shares is determined by reference to the market price; or</w:t>
      </w:r>
    </w:p>
    <w:p>
      <w:pPr>
        <w:spacing w:after="0" w:line="193" w:lineRule="exact"/>
        <w:rPr>
          <w:rFonts w:ascii="Times New Roman" w:cs="Times New Roman" w:eastAsia="Times New Roman" w:hAnsi="Times New Roman"/>
          <w:sz w:val="18"/>
          <w:szCs w:val="18"/>
          <w:color w:val="auto"/>
        </w:rPr>
      </w:pPr>
    </w:p>
    <w:p>
      <w:pPr>
        <w:ind w:left="640" w:right="320" w:hanging="313"/>
        <w:spacing w:after="0" w:line="23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(Greenshoe) of up to 20% of the total number of Shares in a placement or sale of Shares to the respective initial purchasers or underwriters; or</w:t>
      </w:r>
    </w:p>
    <w:p>
      <w:pPr>
        <w:spacing w:after="0" w:line="155" w:lineRule="exact"/>
        <w:rPr>
          <w:rFonts w:ascii="Times New Roman" w:cs="Times New Roman" w:eastAsia="Times New Roman" w:hAnsi="Times New Roman"/>
          <w:sz w:val="18"/>
          <w:szCs w:val="18"/>
          <w:color w:val="auto"/>
        </w:rPr>
      </w:pPr>
    </w:p>
    <w:p>
      <w:pPr>
        <w:ind w:left="640" w:right="100" w:hanging="313"/>
        <w:spacing w:after="0" w:line="275"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a shareholder or a group of shareholders acting in concert having accumulated shareholdings in excess of 15% of the share capital registered in the commercial register without having submitted to all other shareholders a takeover offer recommended by the board of directors; or</w:t>
      </w:r>
    </w:p>
    <w:p>
      <w:pPr>
        <w:spacing w:after="0" w:line="126" w:lineRule="exact"/>
        <w:rPr>
          <w:rFonts w:ascii="Times New Roman" w:cs="Times New Roman" w:eastAsia="Times New Roman" w:hAnsi="Times New Roman"/>
          <w:sz w:val="17"/>
          <w:szCs w:val="17"/>
          <w:color w:val="auto"/>
        </w:rPr>
      </w:pPr>
    </w:p>
    <w:p>
      <w:pPr>
        <w:ind w:left="640" w:right="140" w:hanging="313"/>
        <w:spacing w:after="0" w:line="229"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155" w:lineRule="exact"/>
        <w:rPr>
          <w:rFonts w:ascii="Times New Roman" w:cs="Times New Roman" w:eastAsia="Times New Roman" w:hAnsi="Times New Roman"/>
          <w:sz w:val="18"/>
          <w:szCs w:val="18"/>
          <w:color w:val="auto"/>
        </w:rPr>
      </w:pPr>
    </w:p>
    <w:p>
      <w:pPr>
        <w:ind w:left="640" w:right="900" w:hanging="313"/>
        <w:spacing w:after="0" w:line="23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equity capital in a fast and flexible manner, which would not be possible, or would only be possible with great difficulty or at significantly less favorable conditions, without the exclusion of the subscription rights of existing shareholders; or</w:t>
      </w:r>
    </w:p>
    <w:p>
      <w:pPr>
        <w:spacing w:after="0" w:line="169" w:lineRule="exact"/>
        <w:rPr>
          <w:rFonts w:ascii="Times New Roman" w:cs="Times New Roman" w:eastAsia="Times New Roman" w:hAnsi="Times New Roman"/>
          <w:sz w:val="18"/>
          <w:szCs w:val="18"/>
          <w:color w:val="auto"/>
        </w:rPr>
      </w:pPr>
    </w:p>
    <w:p>
      <w:pPr>
        <w:ind w:left="640" w:right="520" w:hanging="313"/>
        <w:spacing w:after="0" w:line="23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participation of members of the board of directors, members of the Executive Committee, employees, contractors, consultants or other persons performing services for the benefit of the Company or any of its group companies.</w:t>
      </w:r>
    </w:p>
    <w:p>
      <w:pPr>
        <w:spacing w:after="0" w:line="169"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This authorization to withdraw or to limit the pre-emptive subscription of shareholders is exclusively linked to our capital range. If the capital range lapses for any reasons, such as if an ordinary capital increase is completed,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authorization to withdraw or to limit the pre-emptive subscription rights lapses simultaneously with the capital range.</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Conditional Share Capital</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Conditional Share Capital for Financing, Acquisitions and other Purposes</w:t>
      </w:r>
    </w:p>
    <w:p>
      <w:pPr>
        <w:spacing w:after="0" w:line="222"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Our nominal share capital may be increased in an amount not to exceed CHF 226,087 through the issuance of up to 2,260,870 registered shares, which would have to be fully paid-in, each with a par value of CHF 0.10 per share, through the exercise or mandatory exercise of conversion, exchange, option, warrant or similar rights for the subscription of shares granted to shareholders or third parties alone or in connection with bonds, notes, options, warrants or other securities or contractual obligations by or of the Company or any of its group companies (the "Financial Instruments"). The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of the shareholders shall be excluded in connection with the issuance of shares upon the exercise of any Financial Instruments. The board of directors shall be authorized to withdraw or limit the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xml:space="preserve"> of the shareholders in connection with the issuance by the Company or one of its group companies of Financial Instruments if (1) the issuance is for purposes of financing or refinancing the acquisition of an enterprise, parts of an enterprise, participations or investments or (2) the issuance occurs in national or international capital markets or through a private placement.</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the advance subscription rights are neither granted directly nor indirectly by the board of directors, the following shall apply:</w:t>
      </w:r>
    </w:p>
    <w:p>
      <w:pPr>
        <w:spacing w:after="0" w:line="207"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Instruments shall be issued or entered into at market conditions; and</w:t>
      </w:r>
    </w:p>
    <w:p>
      <w:pPr>
        <w:spacing w:after="0" w:line="180" w:lineRule="exact"/>
        <w:rPr>
          <w:rFonts w:ascii="Times New Roman" w:cs="Times New Roman" w:eastAsia="Times New Roman" w:hAnsi="Times New Roman"/>
          <w:sz w:val="18"/>
          <w:szCs w:val="18"/>
          <w:color w:val="auto"/>
        </w:rPr>
      </w:pPr>
    </w:p>
    <w:p>
      <w:pPr>
        <w:ind w:left="640" w:right="80" w:hanging="313"/>
        <w:spacing w:after="0" w:line="24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exchange or exercise price of the Financial Instruments shall be set with reference to the market conditions prevailing at the date on which the Financial Instruments are issued; and</w:t>
      </w:r>
    </w:p>
    <w:p>
      <w:pPr>
        <w:spacing w:after="0" w:line="150" w:lineRule="exact"/>
        <w:rPr>
          <w:rFonts w:ascii="Times New Roman" w:cs="Times New Roman" w:eastAsia="Times New Roman" w:hAnsi="Times New Roman"/>
          <w:sz w:val="18"/>
          <w:szCs w:val="18"/>
          <w:color w:val="auto"/>
        </w:rPr>
      </w:pPr>
    </w:p>
    <w:p>
      <w:pPr>
        <w:ind w:left="640" w:right="80" w:hanging="313"/>
        <w:spacing w:after="0" w:line="23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Instruments may be converted, exchanged or exercised during a maximum period of 10 years from the date of the relevant issuance or entry.</w:t>
      </w:r>
    </w:p>
    <w:p>
      <w:pPr>
        <w:spacing w:after="0" w:line="180"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Conditional Share Capital for Employee Participation</w:t>
      </w:r>
    </w:p>
    <w:p>
      <w:pPr>
        <w:spacing w:after="0" w:line="220" w:lineRule="exact"/>
        <w:rPr>
          <w:sz w:val="20"/>
          <w:szCs w:val="20"/>
          <w:color w:val="auto"/>
        </w:rPr>
      </w:pPr>
    </w:p>
    <w:p>
      <w:pPr>
        <w:jc w:val="both"/>
        <w:ind w:firstLine="321"/>
        <w:spacing w:after="0" w:line="258" w:lineRule="auto"/>
        <w:rPr>
          <w:sz w:val="20"/>
          <w:szCs w:val="20"/>
          <w:color w:val="auto"/>
        </w:rPr>
      </w:pPr>
      <w:r>
        <w:rPr>
          <w:rFonts w:ascii="Times New Roman" w:cs="Times New Roman" w:eastAsia="Times New Roman" w:hAnsi="Times New Roman"/>
          <w:sz w:val="18"/>
          <w:szCs w:val="18"/>
          <w:color w:val="auto"/>
        </w:rPr>
        <w:t>Our nominal share capital may, to the exclusion of the pre-emptive subscription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and advance subscription rights of shareholders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be increased by an amount not to exceed CHF 362,264.40 through the issuance of not more than 3,622,644 registered shares, which would have to be fully paid-in, each with a par value of CHF 0.10 per share, through the direct or indirect issuance of shares, options or preemptive rights thereof granted to employees and members of the board of directors of the Company or its subsidiaries as well as to members of any advisory boards.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222"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within the meaning of article 973c of the CO) and, when administered by a custodian (</w:t>
      </w:r>
      <w:r>
        <w:rPr>
          <w:rFonts w:ascii="Times New Roman" w:cs="Times New Roman" w:eastAsia="Times New Roman" w:hAnsi="Times New Roman"/>
          <w:sz w:val="18"/>
          <w:szCs w:val="18"/>
          <w:i w:val="1"/>
          <w:iCs w:val="1"/>
          <w:color w:val="auto"/>
        </w:rPr>
        <w:t>Verwahrungsstelle</w:t>
      </w:r>
      <w:r>
        <w:rPr>
          <w:rFonts w:ascii="Times New Roman" w:cs="Times New Roman" w:eastAsia="Times New Roman" w:hAnsi="Times New Roman"/>
          <w:sz w:val="18"/>
          <w:szCs w:val="18"/>
          <w:color w:val="auto"/>
        </w:rPr>
        <w:t>, within the meaning of the Federal Act on Intermediated Securities, or FISA), and credited to one or more securities deposit account (</w:t>
      </w:r>
      <w:r>
        <w:rPr>
          <w:rFonts w:ascii="Times New Roman" w:cs="Times New Roman" w:eastAsia="Times New Roman" w:hAnsi="Times New Roman"/>
          <w:sz w:val="18"/>
          <w:szCs w:val="18"/>
          <w:i w:val="1"/>
          <w:iCs w:val="1"/>
          <w:color w:val="auto"/>
        </w:rPr>
        <w:t>Effektenkonto</w:t>
      </w:r>
      <w:r>
        <w:rPr>
          <w:rFonts w:ascii="Times New Roman" w:cs="Times New Roman" w:eastAsia="Times New Roman" w:hAnsi="Times New Roman"/>
          <w:sz w:val="18"/>
          <w:szCs w:val="18"/>
          <w:color w:val="auto"/>
        </w:rPr>
        <w:t>), qualify as intermediated securities (</w:t>
      </w:r>
      <w:r>
        <w:rPr>
          <w:rFonts w:ascii="Times New Roman" w:cs="Times New Roman" w:eastAsia="Times New Roman" w:hAnsi="Times New Roman"/>
          <w:sz w:val="18"/>
          <w:szCs w:val="18"/>
          <w:i w:val="1"/>
          <w:iCs w:val="1"/>
          <w:color w:val="auto"/>
        </w:rPr>
        <w:t>Bucheffekten</w:t>
      </w:r>
      <w:r>
        <w:rPr>
          <w:rFonts w:ascii="Times New Roman" w:cs="Times New Roman" w:eastAsia="Times New Roman" w:hAnsi="Times New Roman"/>
          <w:sz w:val="18"/>
          <w:szCs w:val="18"/>
          <w:color w:val="auto"/>
        </w:rPr>
        <w:t>, within the meaning of the FISA). In accordance with article 973c of the CO, we maintain a nonpublic register of uncertificated securities (</w:t>
      </w:r>
      <w:r>
        <w:rPr>
          <w:rFonts w:ascii="Times New Roman" w:cs="Times New Roman" w:eastAsia="Times New Roman" w:hAnsi="Times New Roman"/>
          <w:sz w:val="18"/>
          <w:szCs w:val="18"/>
          <w:i w:val="1"/>
          <w:iCs w:val="1"/>
          <w:color w:val="auto"/>
        </w:rPr>
        <w:t>Wertrechtebuch</w:t>
      </w:r>
      <w:r>
        <w:rPr>
          <w:rFonts w:ascii="Times New Roman" w:cs="Times New Roman" w:eastAsia="Times New Roman" w:hAnsi="Times New Roman"/>
          <w:sz w:val="18"/>
          <w:szCs w:val="18"/>
          <w:color w:val="auto"/>
        </w:rPr>
        <w:t>). We may at any time without the approval of our shareholders and at our cost convert shares issued as uncertificated securities into another form (including global certificates) or convert shares issued in one form into another form. Following the entry in the share register, a shareholder may at any time request from us a written confirmation in respect of the shares held by such shareholder. Shareholders are not entitled, however, to request the printing and delivery of certificates or the conversion of the shares in one form into another form. We may print and deliver certificates for shares at any time.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Securities Exercisable for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4" w:right="339"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8"/>
          <w:szCs w:val="18"/>
          <w:i w:val="1"/>
          <w:iCs w:val="1"/>
          <w:color w:val="auto"/>
        </w:rPr>
        <w:t>Equity Incentives</w:t>
      </w:r>
    </w:p>
    <w:p>
      <w:pPr>
        <w:spacing w:after="0" w:line="222"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We believe that our ability to grant incentive awards is a valuable and necessary compensation tool that allows us to attract and retain the best available personnel for positions of substantial responsibility, provides additional incentives to directors, executive officers, and employees and promotes the success of our business. Historically, we have granted several different equity incentive instruments to our directors, employees and other service providers, including:</w:t>
      </w:r>
    </w:p>
    <w:p>
      <w:pPr>
        <w:spacing w:after="0" w:line="169"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or RSUs, granted to our directors;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Units, or PSUs, granted to our executive officers and employees; and</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options granted to employees, directors and selected advisors.</w:t>
      </w:r>
    </w:p>
    <w:p>
      <w:pPr>
        <w:spacing w:after="0" w:line="194"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Our articles of incorporation authorize the board of directors to issue one or more participation plans and/or policies. An amendment or renewal of the relevant provision in our articles of incorporation must be approved by an absolute majority of the votes represented at the general meeting of shareholders. Once our board of directors' authority is approved by our shareholders, the maximum aggregate amounts of the variable compensation elements actually granted to the directors and executive officers must be approved by an absolute majority of the votes represented at the general meeting of shareholders and shall continue for the duration of the current financial year. Compensation may be paid out prior to approval by the general meeting of shareholders subject to subsequent approval. If the general meeting of shareholders does not approve a proposal of the board of directors, the board of directors must newly determine the maximum aggregate amount or maximum partial amounts taking into account all relevant factors and submit such amounts for approval to the same general meeting of shareholders, to an extraordinary general meeting of shareholders or to the next ordinary general meeting of shareholders.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Restricted Share Units (RSUs)</w:t>
      </w:r>
    </w:p>
    <w:p>
      <w:pPr>
        <w:spacing w:after="0" w:line="222"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Under the LTI Plans, described in “-Long-Term Incentive Plans” below, members of our board of directors are eligible to be granted RSUs. RSUs are contingent rights to receive a certain number of our shares at the end of a three-year blocking period. RSUs vest over a one-year period from their date of grant, following the lapse of which they are no longer subject to forfeiture if a member of our board resigns. The number of shares to be received is not variable, i.e., the number of shares does not depend on the achievement of certain pre-defined performance metrics. In certain circumstances, including a change of control, a full or partial early vesting of the RSUs may occur.</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504,543 RSUs were outstanding.</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Performance Share Units (PSUs)</w:t>
      </w:r>
    </w:p>
    <w:p>
      <w:pPr>
        <w:spacing w:after="0" w:line="222"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Under the LTI Plans, described in “-Long-Term Incentive Plans” below, executive officers and employees are eligible to be granted PSUs. PSUs are contingent rights to receive a variable number of our shares either in aggregate at the end of a three-year cliff-vesting period or in annual installments over a three-year vesting period. The number of PSUs granted to a plan participant is calculated by dividing the CHF amount approved for the respective individual by the fair value of each PSU at the grant date based on the average share price in the two months preceding the grant date. While the PSUs are designed to allow the beneficiaries to participate in the longterm share price development, the number of shares to be earned in relation to a PSU depends on (i) the achievement of annual corporate goals for the respective year, (ii) the achievement of long-term value-driving milestones outside of such corporate goals during such year and (iii) the development of the share price of the Company. In accordance with these parameters, the number of shares to be issued based on the PSUs can be between zero and 150%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2"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color w:val="auto"/>
        </w:rPr>
        <w:t>As of December 31, 2025, 2,918,458 PSUs were outstanding.</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Long-Term Incentive Plans</w:t>
      </w:r>
    </w:p>
    <w:p>
      <w:pPr>
        <w:spacing w:after="0" w:line="222"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Our long-term incentive plans established in March of 2015, March of 2016, March of 2017, March of 2018, March of 2019, March of 2020, March of 2021, March of 2022, March of 2023, March of 2024 and March of 2025 respectively, which we collectively refer to as the LTI Plans, are rolled out annually. This allows our board of directors to review and adjust the terms and targets of the LTI Plans on an annual basis. Employees generally receive the grants on April 1 of each calendar year. With respect to members of the Management Board, the annual grants are usually made on April 1 subject to approval of the ordinary shareholders’ meeting at which the necessary amounts for variable compensation are approved by the shareholders. With respect to members of our board of directors, the annual grants are made following the ordinary shareholders’ meeting, at which the necessary amounts for variable compensation are approved by the shareholders.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Ordinary/Extraordinary Meetings, Powers</w:t>
      </w:r>
    </w:p>
    <w:p>
      <w:pPr>
        <w:spacing w:after="0" w:line="222"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general meeting of shareholders is our supreme corporate body. Under Swiss law, an ordinary general meeting of shareholders must be held annually within six months after the end of a corporation’s financial year. In our case, this generally means on or before June 30. In addition, extraordinary general meetings of shareholders may be held.</w:t>
      </w:r>
    </w:p>
    <w:p>
      <w:pPr>
        <w:spacing w:after="0" w:line="177"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A general meeting of shareholders may take place in or outside Switzerland and at different places simultaneously if the votes of the participants are immediately transmitted to all meeting venues (multilocal shareholders’ meeting). The board of directors may allow shareholders that are not present at the meeting venue of the general meeting of shareholders to participate and exercise their rights electronically (“hybrid shareholder meeting”). Our articles of incorporation also allow for general meetings of shareholders without a physical meeting venue but that takes place using electronic means (“virtual shareholder meeting”).</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According to our articles of incorporation, the following powers are vested exclusively in the general meeting of shareholders:</w:t>
      </w:r>
    </w:p>
    <w:p>
      <w:pPr>
        <w:spacing w:after="0" w:line="207"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amending the articles of incorporation;</w:t>
      </w:r>
    </w:p>
    <w:p>
      <w:pPr>
        <w:spacing w:after="0" w:line="180" w:lineRule="exact"/>
        <w:rPr>
          <w:rFonts w:ascii="Times New Roman" w:cs="Times New Roman" w:eastAsia="Times New Roman" w:hAnsi="Times New Roman"/>
          <w:sz w:val="18"/>
          <w:szCs w:val="18"/>
          <w:color w:val="auto"/>
        </w:rPr>
      </w:pPr>
    </w:p>
    <w:p>
      <w:pPr>
        <w:ind w:left="640" w:right="20" w:hanging="313"/>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the members of the board of directors, the chairman of the board of directors, the members of the compensation committee, the independent voting rights representative and the auditors;</w:t>
      </w:r>
    </w:p>
    <w:p>
      <w:pPr>
        <w:spacing w:after="0" w:line="15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management report and the consolidated financial statements;</w:t>
      </w:r>
    </w:p>
    <w:p>
      <w:pPr>
        <w:spacing w:after="0" w:line="180" w:lineRule="exact"/>
        <w:rPr>
          <w:rFonts w:ascii="Times New Roman" w:cs="Times New Roman" w:eastAsia="Times New Roman" w:hAnsi="Times New Roman"/>
          <w:sz w:val="18"/>
          <w:szCs w:val="18"/>
          <w:color w:val="auto"/>
        </w:rPr>
      </w:pPr>
    </w:p>
    <w:p>
      <w:pPr>
        <w:ind w:left="640" w:right="740" w:hanging="313"/>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financial statements and deciding on the allocation of profits shown on the balance sheet, in particular with regard to dividends;</w:t>
      </w:r>
    </w:p>
    <w:p>
      <w:pPr>
        <w:spacing w:after="0" w:line="15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interim dividends and approving the interim financial statements required for this purpose;</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the repayment of the statutory capital reserve;</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compensation of the board of directors and of the executive management pursuant to Article 28 of the articles of incorporation;</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discharge to the members of the board of directors and the persons entrusted with the executive management;</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the Company's equity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4" w:right="339" w:bottom="1440" w:gutter="0" w:footer="0" w:header="0"/>
        </w:sectPr>
      </w:pPr>
    </w:p>
    <w:bookmarkStart w:id="18" w:name="page19"/>
    <w:bookmarkEnd w:id="18"/>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passing resolutions as to all matters reserved by law or under the articles of incorporation to the authority of the general meeting of shareholders.</w:t>
      </w:r>
    </w:p>
    <w:p>
      <w:pPr>
        <w:spacing w:after="0" w:line="194"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board of directors or the general meeting of shareholders or, under certain circumstances, by a company’s auditors, liquidator or the representatives of bondholders, if any. In addition, our articles of incorporation require the board of directors to convene an extraordinary general meeting of shareholders if shareholders representing at least 5% of our share capital or votes request such general meeting of shareholders in writing. A request for an extraordinary general meeting of shareholders must set forth the items to be discussed and the proposals to be acted upon. Further, the board of directors must convene an extraordinary general meeting of shareholders and propose financial restructuring measures if, based on our stand-alone annual statutory balance sheet, half of our share capital and statutory reserves are not covered by our assets and a contemplated restructuring measure falls within the competence of the general meeting of shareholders.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22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Unless otherwise required by law or our articles of incorporation, shareholder resolutions and elections (including elections of members of the board of directors) require the affirmative vote of the majority of shares represented at the general meeting of shareholders.</w:t>
      </w:r>
    </w:p>
    <w:p>
      <w:pPr>
        <w:spacing w:after="0" w:line="163"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Under our articles of incorporation, a resolution of the general meeting of shareholders passed by two-thirds of the votes and the majority of the par value of the shares, each as represented at the meeting, is required for:</w:t>
      </w:r>
    </w:p>
    <w:p>
      <w:pPr>
        <w:spacing w:after="0" w:line="150"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or modifying the purpose of the Company;</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shares;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shares with privileged voting rights;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transferability of registered shares and canceling such restriction;</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conditional share capital or a capital range;</w:t>
      </w:r>
    </w:p>
    <w:p>
      <w:pPr>
        <w:spacing w:after="0" w:line="180" w:lineRule="exact"/>
        <w:rPr>
          <w:rFonts w:ascii="Times New Roman" w:cs="Times New Roman" w:eastAsia="Times New Roman" w:hAnsi="Times New Roman"/>
          <w:sz w:val="18"/>
          <w:szCs w:val="18"/>
          <w:color w:val="auto"/>
        </w:rPr>
      </w:pPr>
    </w:p>
    <w:p>
      <w:pPr>
        <w:ind w:left="640" w:right="440" w:hanging="313"/>
        <w:spacing w:after="0" w:line="23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share capital through the conversion of capital surplus, through contribution in kind, by setoff against a claim, or the granting of special privileges;</w:t>
      </w:r>
    </w:p>
    <w:p>
      <w:pPr>
        <w:spacing w:after="0" w:line="16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withdrawing preemptive rights;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the casting vote of the acting chair in the general meeting of shareholders;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the Company's equity securities;</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relocating the registered office of the Company;</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currency of the share capital;</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an arbitration clause in our articles of incorporation; and</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the Company.</w:t>
      </w:r>
    </w:p>
    <w:p>
      <w:pPr>
        <w:spacing w:after="0" w:line="19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same voting requirements apply to resolutions regarding transactions among corporations based on Switzerland’s Federal Act on Mergers, Demergers, Transformations and the Transfer of Assets of 2003, as amended (the “Swiss Merger Act”). See “—articles of incorporation—Compulsory Acquisitions; Appraisal Rights.”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90" w:right="339" w:bottom="1440" w:gutter="0" w:footer="0" w:header="0"/>
        </w:sectPr>
      </w:pPr>
    </w:p>
    <w:bookmarkStart w:id="19" w:name="page20"/>
    <w:bookmarkEnd w:id="19"/>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in a form that allows proof by text. The notice of a general meeting of shareholders must state the date, the starting time, the form and location of the meeting, the items on the agenda, the motions of the board of directors or of any shareholders including a short explanation, as well as the name and address of the independent representative. A resolution on a matter which is not on the agenda may not be passed at a general meeting of shareholders, except for motions to convene an extraordinary general meeting of shareholders or to initiate a special investigation, on which the general meeting of shareholders may vote at any time. No previous notification is required for motions concerning items included in the agenda or for debates that do not result in a vote.</w:t>
      </w:r>
    </w:p>
    <w:p>
      <w:pPr>
        <w:spacing w:after="0" w:line="185"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All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general meeting of shareholders, provided that the owners or representatives of all the shares are present at the meeting.</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Pursuant to our articles of incorporation, one or more shareholders whose combined shareholdings represent at least 0.5% of the share capital or votes may request that an item be included in the agenda for a general meeting of shareholders or that a proposal relating to an agenda item be included in the notice convening the general meeting of shareholders.</w:t>
      </w:r>
    </w:p>
    <w:p>
      <w:pPr>
        <w:spacing w:after="0" w:line="17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Such a request must be received by us in writing at least 45 calendar days prior to the general meeting of shareholders, specifying the agenda item and the proposal or proposals.</w:t>
      </w:r>
    </w:p>
    <w:p>
      <w:pPr>
        <w:spacing w:after="0" w:line="163"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Our annual report, the compensation report and the auditor’s report must be made available to our shareholders no later than 20 calendar days prior to the ordinary general meeting of shareholders. Shareholders of record may be notified of this in writing.</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4"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Under Swiss statutory law, at any general meeting of shareholders any shareholder may put proposals to the meeting if the proposal is part of an agenda item. In addition, even if the proposal is not part of any agenda item, any shareholder may propose to the meeting to convene an extraordinary general meeting of shareholders or to have a specific matter investigated by means of a special investigation where this is necessary for the proper exercise of shareholders’ rights.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Minutes</w:t>
      </w:r>
    </w:p>
    <w:p>
      <w:pPr>
        <w:spacing w:after="0" w:line="224"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We are required to make available the resolutions and election results of our general meeting of shareholders electronically within 15 calendar days after the meeting. In addition, each shareholder may request that the minutes be made available to them within 30 calendar days after the meeting.</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4"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Each of our ordinary shares entitles a holder to one vote. The ordinary shares are not divisible. The right to vote and the other rights of share ownership may only be exercised by shareholders (including any nominees) or usufructuaries who are entered in the share register at a cut-off date determined by the board of directors. Those entitled to vote in the general meeting of shareholders may be represented by the independent proxy holder (annually elected by the general meeting of shareholders), by its legal representative or by any other person with written authorization to act as proxy. The chairperson has the power to decide whether to recognize a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4" w:right="339" w:bottom="1440" w:gutter="0" w:footer="0" w:header="0"/>
        </w:sectPr>
      </w:pPr>
    </w:p>
    <w:bookmarkStart w:id="20" w:name="page21"/>
    <w:bookmarkEnd w:id="20"/>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Our articles of incorporation contain provisions that allow the board of directors to make the registration with voting rights of shares held by a nominee subject to conditions, limitations and reporting requirements or to impose or adjust such conditions, limitations and requirements once registered.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4"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Our board of directors may propose to shareholders that a dividend or interim dividend or other distribution be paid but cannot itself authorize the distribution. Dividend and interim dividend payments require a resolution passed by a majority of the shares represented at a general meeting of shareholders. In addition, our auditors must confirm that the dividend proposal of our board of directors conforms to Swiss statutory law and our articles of incorporation.</w:t>
      </w:r>
    </w:p>
    <w:p>
      <w:pPr>
        <w:spacing w:after="0" w:line="180" w:lineRule="exact"/>
        <w:rPr>
          <w:sz w:val="20"/>
          <w:szCs w:val="20"/>
          <w:color w:val="auto"/>
        </w:rPr>
      </w:pPr>
    </w:p>
    <w:p>
      <w:pPr>
        <w:jc w:val="both"/>
        <w:ind w:firstLine="321"/>
        <w:spacing w:after="0" w:line="258" w:lineRule="auto"/>
        <w:rPr>
          <w:sz w:val="20"/>
          <w:szCs w:val="20"/>
          <w:color w:val="auto"/>
        </w:rPr>
      </w:pPr>
      <w:r>
        <w:rPr>
          <w:rFonts w:ascii="Times New Roman" w:cs="Times New Roman" w:eastAsia="Times New Roman" w:hAnsi="Times New Roman"/>
          <w:sz w:val="18"/>
          <w:szCs w:val="18"/>
          <w:color w:val="auto"/>
        </w:rPr>
        <w:t>Under Swiss law, we may pay dividends only if we have sufficient distributable profits from the previous or current business year (</w:t>
      </w:r>
      <w:r>
        <w:rPr>
          <w:rFonts w:ascii="Times New Roman" w:cs="Times New Roman" w:eastAsia="Times New Roman" w:hAnsi="Times New Roman"/>
          <w:sz w:val="18"/>
          <w:szCs w:val="18"/>
          <w:i w:val="1"/>
          <w:iCs w:val="1"/>
          <w:color w:val="auto"/>
        </w:rPr>
        <w:t>Bilanzgewinn</w:t>
      </w:r>
      <w:r>
        <w:rPr>
          <w:rFonts w:ascii="Times New Roman" w:cs="Times New Roman" w:eastAsia="Times New Roman" w:hAnsi="Times New Roman"/>
          <w:sz w:val="18"/>
          <w:szCs w:val="18"/>
          <w:color w:val="auto"/>
        </w:rPr>
        <w:t>) or brought forward from the previous business years (</w:t>
      </w:r>
      <w:r>
        <w:rPr>
          <w:rFonts w:ascii="Times New Roman" w:cs="Times New Roman" w:eastAsia="Times New Roman" w:hAnsi="Times New Roman"/>
          <w:sz w:val="18"/>
          <w:szCs w:val="18"/>
          <w:i w:val="1"/>
          <w:iCs w:val="1"/>
          <w:color w:val="auto"/>
        </w:rPr>
        <w:t>Gewinnvortrag</w:t>
      </w:r>
      <w:r>
        <w:rPr>
          <w:rFonts w:ascii="Times New Roman" w:cs="Times New Roman" w:eastAsia="Times New Roman" w:hAnsi="Times New Roman"/>
          <w:sz w:val="18"/>
          <w:szCs w:val="18"/>
          <w:color w:val="auto"/>
        </w:rPr>
        <w:t>), or if we have distributable capital reserves (</w:t>
      </w:r>
      <w:r>
        <w:rPr>
          <w:rFonts w:ascii="Times New Roman" w:cs="Times New Roman" w:eastAsia="Times New Roman" w:hAnsi="Times New Roman"/>
          <w:sz w:val="18"/>
          <w:szCs w:val="18"/>
          <w:i w:val="1"/>
          <w:iCs w:val="1"/>
          <w:color w:val="auto"/>
        </w:rPr>
        <w:t>Gesetzliche Kapitalreserve</w:t>
      </w:r>
      <w:r>
        <w:rPr>
          <w:rFonts w:ascii="Times New Roman" w:cs="Times New Roman" w:eastAsia="Times New Roman" w:hAnsi="Times New Roman"/>
          <w:sz w:val="18"/>
          <w:szCs w:val="18"/>
          <w:color w:val="auto"/>
        </w:rPr>
        <w:t>), each as evidenced by audited stand-alone statutory annual or interim financial statements prepared pursuant to Swiss law, and after allocations to reserves required by Swiss law and by the articles of incorporation have been deducted.</w:t>
      </w:r>
    </w:p>
    <w:p>
      <w:pPr>
        <w:spacing w:after="0" w:line="179" w:lineRule="exact"/>
        <w:rPr>
          <w:sz w:val="20"/>
          <w:szCs w:val="20"/>
          <w:color w:val="auto"/>
        </w:rPr>
      </w:pPr>
    </w:p>
    <w:p>
      <w:pPr>
        <w:jc w:val="both"/>
        <w:ind w:firstLine="321"/>
        <w:spacing w:after="0" w:line="254" w:lineRule="auto"/>
        <w:rPr>
          <w:sz w:val="20"/>
          <w:szCs w:val="20"/>
          <w:color w:val="auto"/>
        </w:rPr>
      </w:pPr>
      <w:r>
        <w:rPr>
          <w:rFonts w:ascii="Times New Roman" w:cs="Times New Roman" w:eastAsia="Times New Roman" w:hAnsi="Times New Roman"/>
          <w:sz w:val="18"/>
          <w:szCs w:val="18"/>
          <w:color w:val="auto"/>
        </w:rPr>
        <w:t>Under the CO, at least 5% of our annual profit must be retained as statutory profit reserve (</w:t>
      </w:r>
      <w:r>
        <w:rPr>
          <w:rFonts w:ascii="Times New Roman" w:cs="Times New Roman" w:eastAsia="Times New Roman" w:hAnsi="Times New Roman"/>
          <w:sz w:val="18"/>
          <w:szCs w:val="18"/>
          <w:i w:val="1"/>
          <w:iCs w:val="1"/>
          <w:color w:val="auto"/>
        </w:rPr>
        <w:t>gesetzliche Gewinnreserve</w:t>
      </w:r>
      <w:r>
        <w:rPr>
          <w:rFonts w:ascii="Times New Roman" w:cs="Times New Roman" w:eastAsia="Times New Roman" w:hAnsi="Times New Roman"/>
          <w:sz w:val="18"/>
          <w:szCs w:val="18"/>
          <w:color w:val="auto"/>
        </w:rPr>
        <w:t>). If there is a loss carried forward, such loss must be eliminated before allocation to the statutory profit reserve. The statutory profit reserve shall be accumulated until it reaches, together with the statutory capital reserve, 50% of our share capital recorded in the Commercial Register. In addition, we have to allocate, among other things, the net proceeds of share issuances to the statutory capital reserve. The CO permits us to accrue additional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84"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par value of our issued shares) are not allowed and may be made only by way of an ordinary capital reduction or within a capital range that (also) allows for a capital reduction (see “Description of Share Capital and articles of incorporation—articles of incorporation—Ordinary Capital Increase, Capital Range and Conditional Share Capital”). An ordinary capital reduction requires a resolution passed by a majority of the shares represented at a general meeting of shareholders. The board of directors must publish a call to creditors in the Swiss Official Gazette of Commerce in which creditors are advised that they may request, subject to certain conditions, security for their claims within 30 days of the publication of the creditor call. A licensed audit expert must then confirm, based on the results of the call to creditors, that the claims of the creditors remain fully covered despite the reduction in our share capital recorded in the Commercial Register. If all requirements for an ordinary capital reduction have been met, the board of directors has to amend the articles of incorporation in a public deed. Our share capital may be reduced to a level below CHF 100,000 only if and to the extent that at the same time the statutory minimum share capital of CHF 100,000 is reestablished by sufficient new fully paid-up capital. An ordinary capital reduction must be completed within six months after the resolution of the general meeting of shareholders.</w:t>
      </w:r>
    </w:p>
    <w:p>
      <w:pPr>
        <w:spacing w:after="0" w:line="18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2" w:lineRule="exact"/>
        <w:rPr>
          <w:sz w:val="20"/>
          <w:szCs w:val="20"/>
          <w:color w:val="auto"/>
        </w:rPr>
      </w:pPr>
    </w:p>
    <w:p>
      <w:pPr>
        <w:jc w:val="both"/>
        <w:ind w:firstLine="321"/>
        <w:spacing w:after="0" w:line="258" w:lineRule="auto"/>
        <w:rPr>
          <w:sz w:val="20"/>
          <w:szCs w:val="20"/>
          <w:color w:val="auto"/>
        </w:rPr>
      </w:pPr>
      <w:r>
        <w:rPr>
          <w:rFonts w:ascii="Times New Roman" w:cs="Times New Roman" w:eastAsia="Times New Roman" w:hAnsi="Times New Roman"/>
          <w:sz w:val="18"/>
          <w:szCs w:val="18"/>
          <w:color w:val="auto"/>
        </w:rPr>
        <w:t>So long as shares are intermediated securities (</w:t>
      </w:r>
      <w:r>
        <w:rPr>
          <w:rFonts w:ascii="Times New Roman" w:cs="Times New Roman" w:eastAsia="Times New Roman" w:hAnsi="Times New Roman"/>
          <w:sz w:val="18"/>
          <w:szCs w:val="18"/>
          <w:i w:val="1"/>
          <w:iCs w:val="1"/>
          <w:color w:val="auto"/>
        </w:rPr>
        <w:t>Bucheffekten</w:t>
      </w:r>
      <w:r>
        <w:rPr>
          <w:rFonts w:ascii="Times New Roman" w:cs="Times New Roman" w:eastAsia="Times New Roman" w:hAnsi="Times New Roman"/>
          <w:sz w:val="18"/>
          <w:szCs w:val="18"/>
          <w:color w:val="auto"/>
        </w:rPr>
        <w:t xml:space="preserve"> within the meaning of the Swiss Federal Act on Intermediated Securities, or FISA) based on uncertificated securities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entered into the main register of a custodian and credited to one or more securities deposit account (</w:t>
      </w:r>
      <w:r>
        <w:rPr>
          <w:rFonts w:ascii="Times New Roman" w:cs="Times New Roman" w:eastAsia="Times New Roman" w:hAnsi="Times New Roman"/>
          <w:sz w:val="18"/>
          <w:szCs w:val="18"/>
          <w:i w:val="1"/>
          <w:iCs w:val="1"/>
          <w:color w:val="auto"/>
        </w:rPr>
        <w:t>Effektenkonto</w:t>
      </w:r>
      <w:r>
        <w:rPr>
          <w:rFonts w:ascii="Times New Roman" w:cs="Times New Roman" w:eastAsia="Times New Roman" w:hAnsi="Times New Roman"/>
          <w:sz w:val="18"/>
          <w:szCs w:val="18"/>
          <w:color w:val="auto"/>
        </w:rPr>
        <w:t>), (i) any transfer of shares is effected by a corresponding entry in the securities deposit account of a bank or a depository institution, (ii) no shares can be transferred by way of assignment, and (iii) a security interest in any shares cannot be granted by way of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4" w:right="339" w:bottom="1440" w:gutter="0" w:footer="0" w:header="0"/>
        </w:sectPr>
      </w:pPr>
    </w:p>
    <w:bookmarkStart w:id="21" w:name="page22"/>
    <w:bookmarkEnd w:id="21"/>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The Company maintains its share register through areg.ch ag, an external service provider, and enters the full name, address and nationality (in the case of legal entities, the company name and registered office) of the shareholders (including nominees) and usufructuaries therein. A person entered into the share register must notify the share registrar of any change in address. Until such notification occurs, all written communication from the Company to persons entered in the share register is deemed to have been validly made if sent to the relevant address recorded in the share register.</w:t>
      </w:r>
    </w:p>
    <w:p>
      <w:pPr>
        <w:spacing w:after="0" w:line="182"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Any person who acquires shares may submit an application to the Company requesting it to enter such person into the share register as a shareholder with voting rights, provided such person expressly declares to the Company that it has acquired and holds such shares in its own name and for its own account. Any such person that does not expressly state in his or her application to the Company that the relevant shares were acquired for his or her own account (any such person, a nominee) may be entered in the share register as a shareholder with voting rights for the relevant shares, provided that nominee has entered into an agreement with the Company regarding its position and is subject to a recognized banking or finance supervision.</w:t>
      </w:r>
    </w:p>
    <w:p>
      <w:pPr>
        <w:spacing w:after="0" w:line="183"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board of directors may, after having heard the concerned shareholder of record or nominee, cancel entries in the share register that were based on inaccurate or misleading information, or if such information becomes inaccurate or misleading, with retroactive effect to the date of the entry.</w:t>
      </w:r>
    </w:p>
    <w:p>
      <w:pPr>
        <w:spacing w:after="0" w:line="163"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Any acquirer of shares who is not registered in the share register as a shareholder with voting rights may not vote at or participate in any general meetings of shareholders of the Company, but will still be entitled to dividends and other rights with financial value with respect to such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24"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Under the CO, a shareholder has a right to inspect the share register with respect to his or her own shares and otherwise to the extent necessary to exercise his or her shareholder rights. No other person has a right to inspect the share register. Shareholders holding in the aggregate at least 5% of our nominal share capital or of our voting rights have the right to inspect our books and correspondence, subject to the safeguarding of our business secrets and other legitimate interests. Our board of directors is required to decide on an inspection request within four months after receipt of such request. Denial of the request will need to be justified in writing. If an inspection request is denied by the board of directors, shareholders may request the order of an inspection by the court within 30 days. See “Comparison of Swiss Law and Delaware Law—Inspection of books and records.”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Special Investigation</w:t>
      </w:r>
    </w:p>
    <w:p>
      <w:pPr>
        <w:spacing w:after="0" w:line="224"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If a shareholder has exercised its information or inspection rights, such shareholder may propose to the general meeting of shareholders that specific facts be examined by a special examiner in a special investigation. If the general meeting of shareholders approves the proposal, we or any shareholder may, within 30 calendar days after the general meeting of shareholders, request a court at our registered office (currently Schlieren, Zurich, Switzerland) to appoint a special examiner. If the general meeting of shareholders rejects the request, one or more shareholders representing at least 5% of our share capital or voting rights may request that the court appoint a special examiner. The court will issue such an order if the petitioners can demonstrate that members of the board of directors or our executive management infringed the law or our articles of incorporation and that such violation is suitable to cause a damage to the Company or the shareholders. The costs of the investigation would generally be allocated to us and only in exceptional cases to the petitioners.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Rights to Bring Actions for the Benefit of the Company</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According to the CO, an individual shareholder may bring an action, in its own name and for the benefit of the Company, against the Company’s directors, officers or liquidators for the recovery of any losses we have suffered as a result of the intentional or negligent breach by such directors, officers or liquidators of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Compulsory Acquisitions; Appraisal Rights</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majority of the par value of the shares represented.</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a transaction under the Swiss Merger Act receives all of the necessary consents, all shareholders are compelled to participate in such transaction.</w:t>
      </w:r>
    </w:p>
    <w:p>
      <w:pPr>
        <w:spacing w:after="0" w:line="220"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Swiss corporations may be acquired by an acquirer through the direct acquisition of the shares of the Swiss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by us may require the approval of two-thirds of the number of shares represented at a general meeting of shareholders and the majority of the par value of the shares represented. Whether a shareholder resolution is required depends on the particular transaction, including whether the following test is satisfied:</w:t>
      </w:r>
    </w:p>
    <w:p>
      <w:pPr>
        <w:spacing w:after="0" w:line="164"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corporate purpose as set forth in the articles of incorporation; and</w:t>
      </w:r>
    </w:p>
    <w:p>
      <w:pPr>
        <w:spacing w:after="0" w:line="193" w:lineRule="exact"/>
        <w:rPr>
          <w:rFonts w:ascii="Times New Roman" w:cs="Times New Roman" w:eastAsia="Times New Roman" w:hAnsi="Times New Roman"/>
          <w:sz w:val="18"/>
          <w:szCs w:val="18"/>
          <w:color w:val="auto"/>
        </w:rPr>
      </w:pPr>
    </w:p>
    <w:p>
      <w:pPr>
        <w:ind w:left="640" w:right="800" w:hanging="313"/>
        <w:spacing w:after="0" w:line="23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corporate purpose but, instead, are intended for distribution to our shareholders or for financial investments unrelated to our corporate purpose.</w:t>
      </w:r>
    </w:p>
    <w:p>
      <w:pPr>
        <w:spacing w:after="0" w:line="169"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Election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articles of incorporation provide that the board of directors shall consist of at least three and not more than eleven members.</w:t>
      </w:r>
    </w:p>
    <w:p>
      <w:pPr>
        <w:spacing w:after="0" w:line="220"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The members of the board of directors and the chair of the board are elected annually by the general meeting of shareholders for a term of office extending until completion of the next ordinary general meeting of shareholders. If the ordinary general meeting of shareholders is held more than six months after the end of the financial year, the term of office shall nevertheless continue until the end of the ordinary general meeting of shareholders. Each member of the board of directors must be elected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99"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Powers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According to our articles of incorporation, the board of directors has the following non-delegable and inalienable powers and duties:</w:t>
      </w:r>
    </w:p>
    <w:p>
      <w:pPr>
        <w:spacing w:after="0" w:line="207"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direction of the business of the Company and the issuance of the necessary instructions;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organization of the Company;</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of accounting, financial control and financial planning;</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removal of the persons entrusted with executive management and their representation of the Company;</w:t>
      </w:r>
    </w:p>
    <w:p>
      <w:pPr>
        <w:spacing w:after="0" w:line="180" w:lineRule="exact"/>
        <w:rPr>
          <w:rFonts w:ascii="Times New Roman" w:cs="Times New Roman" w:eastAsia="Times New Roman" w:hAnsi="Times New Roman"/>
          <w:sz w:val="18"/>
          <w:szCs w:val="18"/>
          <w:color w:val="auto"/>
        </w:rPr>
      </w:pPr>
    </w:p>
    <w:p>
      <w:pPr>
        <w:ind w:left="640" w:right="380" w:hanging="313"/>
        <w:spacing w:after="0" w:line="246"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supervision of the persons entrusted with management of the Company, specifically in view of their compliance with the law, these articles of incorporation, the regulations and directives;</w:t>
      </w:r>
    </w:p>
    <w:p>
      <w:pPr>
        <w:spacing w:after="0" w:line="15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business report, the compensation report and other reports as required by law, if any;</w:t>
      </w:r>
    </w:p>
    <w:p>
      <w:pPr>
        <w:spacing w:after="0" w:line="180" w:lineRule="exact"/>
        <w:rPr>
          <w:rFonts w:ascii="Times New Roman" w:cs="Times New Roman" w:eastAsia="Times New Roman" w:hAnsi="Times New Roman"/>
          <w:sz w:val="18"/>
          <w:szCs w:val="18"/>
          <w:color w:val="auto"/>
        </w:rPr>
      </w:pPr>
    </w:p>
    <w:p>
      <w:pPr>
        <w:ind w:left="640" w:right="700" w:hanging="313"/>
        <w:spacing w:after="0" w:line="246"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general meetings of shareholders as well as the implementation of the resolutions adopted by the general meetings of shareholders;</w:t>
      </w:r>
    </w:p>
    <w:p>
      <w:pPr>
        <w:spacing w:after="0" w:line="150" w:lineRule="exact"/>
        <w:rPr>
          <w:rFonts w:ascii="Times New Roman" w:cs="Times New Roman" w:eastAsia="Times New Roman" w:hAnsi="Times New Roman"/>
          <w:sz w:val="18"/>
          <w:szCs w:val="18"/>
          <w:color w:val="auto"/>
        </w:rPr>
      </w:pPr>
    </w:p>
    <w:p>
      <w:pPr>
        <w:ind w:left="640" w:right="120" w:hanging="313"/>
        <w:spacing w:after="0" w:line="235"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resolutions regarding the subsequent payment of capital with respect to non-fully paid up shares and the amendments to the articles of incorporation related thereto;</w:t>
      </w:r>
    </w:p>
    <w:p>
      <w:pPr>
        <w:spacing w:after="0" w:line="169" w:lineRule="exact"/>
        <w:rPr>
          <w:rFonts w:ascii="Times New Roman" w:cs="Times New Roman" w:eastAsia="Times New Roman" w:hAnsi="Times New Roman"/>
          <w:sz w:val="18"/>
          <w:szCs w:val="18"/>
          <w:color w:val="auto"/>
        </w:rPr>
      </w:pPr>
    </w:p>
    <w:p>
      <w:pPr>
        <w:ind w:left="640" w:right="220" w:hanging="313"/>
        <w:spacing w:after="0" w:line="22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resolutions on the change of the share capital to the extent that such power is vested in the board of directors, the ascertainment of capital changes, the preparation of the report on the capital increase, and the respective amendments of the articles of incorporation (including deletions);</w:t>
      </w:r>
    </w:p>
    <w:p>
      <w:pPr>
        <w:spacing w:after="0" w:line="168"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non-delegable and inalienable duties and powers of the board of directors pursuant to the Merger Act;</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of a petition for debt-restructuring moratorium and the notification of the court if liabilities exceed assets;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reserved to the board of directors by the law or the articles of incorporation.</w:t>
      </w:r>
    </w:p>
    <w:p>
      <w:pPr>
        <w:spacing w:after="0" w:line="207"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The board of directors may, while retaining such non-delegable and inalienable powers and duties, delegate some of its powers, in particular direct management, to a single or to several of its members, committees or to third parties (such as executive officers) who need be neither members of the board of directors nor shareholders. Pursuant to Swiss law and our articles of incorporation, details of the delegation and other procedural rules such as quorum requirements have been set in the organizational rules established by the board of directors.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Executive Management and Directors</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his or her duties under the employment agreement with the employer. See the section of this prospectus entitled “</w:t>
      </w:r>
      <w:r>
        <w:rPr>
          <w:rFonts w:ascii="Times New Roman" w:cs="Times New Roman" w:eastAsia="Times New Roman" w:hAnsi="Times New Roman"/>
          <w:sz w:val="18"/>
          <w:szCs w:val="18"/>
          <w:i w:val="1"/>
          <w:iCs w:val="1"/>
          <w:color w:val="auto"/>
        </w:rPr>
        <w:t>Comparison of Shareholder Rights—Indemnification of Directors and Executive Committee and Limitation of Liability</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intend to enter into indemnification agreements with each of the members of our board of directors and executive management.</w:t>
      </w:r>
    </w:p>
    <w:p>
      <w:pPr>
        <w:spacing w:after="0" w:line="220"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See the section of this prospectus entitled “-</w:t>
      </w:r>
      <w:r>
        <w:rPr>
          <w:rFonts w:ascii="Times New Roman" w:cs="Times New Roman" w:eastAsia="Times New Roman" w:hAnsi="Times New Roman"/>
          <w:sz w:val="18"/>
          <w:szCs w:val="18"/>
          <w:i w:val="1"/>
          <w:iCs w:val="1"/>
          <w:color w:val="auto"/>
        </w:rPr>
        <w:t>Limitation of Liability and Indemnification</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Conflicts of Interest, Management Transactions</w:t>
      </w:r>
    </w:p>
    <w:p>
      <w:pPr>
        <w:spacing w:after="0" w:line="224"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The members of the board of directors and the executive management are required to immediately and fully inform the board of directors about conflicts of interests concerning them. The board of directors is furthermore required to take measures in order to protect the interests of the company. More generally, the CO requires our directors and executive officers to safeguard the Company’s interests and imposes a duty of loyalty and duty of care on our directors and executive officers. This rule is generally understood to disqualify directors and executive officers from participation in decisions that directly affect them. Our directors and executive officers are personally liable to us for breaches of these obligations.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related to any such shareholder or director, other than payments made at arm’s length, must be repaid to the Company if such shareholder or director acted in bad faith.</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Code of Conduct and organizational rules also cover a broad range of matters, including the handling of conflicts of interest.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the Compensation of the Board of Directors and the Executive Management</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Pursuant to Swiss law, the aggregate amount of compensation of the board of directors and the persons whom the board of directors has, fully or partially, entrusted with the management (which we refer to as our “executive management”) of the Company has to be submitted to our shareholders for approval each year.</w:t>
      </w:r>
    </w:p>
    <w:p>
      <w:pPr>
        <w:spacing w:after="0" w:line="17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board of directors must issue, on an annual basis, a written compensation report that must be reviewed by our auditors. The compensation report must disclose, among other things, all compensation granted by the</w:t>
      </w:r>
    </w:p>
    <w:p>
      <w:pPr>
        <w:spacing w:after="0" w:line="163"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Company, directly or indirectly, to current members of the board of directors and the executive management and, to the extent related to their former role within the Company or not on customary market terms, to former members of the board of directors and former executive officers. The disclosure concerning compensation, loans and other forms of indebtedness must include the aggregate amount for the board of directors and the executive management, respectively, as well as the particular amount for each member of the board of directors and for the highest-paid executive officer, specifying the name and function of each of these persons. If variable compensation is approved prospectively, as is currently the case with the Company, our board of directors must submit the compensation report to a non-binding vote of the general meeting of shareholders.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prohibited from granting certain forms of compensation to members of our board of directors and executive management, such as:</w:t>
      </w:r>
    </w:p>
    <w:p>
      <w:pPr>
        <w:spacing w:after="0" w:line="207"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(compensation due until the termination of a contractual relationship does not qualify as severance payment);</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193" w:lineRule="exact"/>
        <w:rPr>
          <w:rFonts w:ascii="Times New Roman" w:cs="Times New Roman" w:eastAsia="Times New Roman" w:hAnsi="Times New Roman"/>
          <w:sz w:val="18"/>
          <w:szCs w:val="18"/>
          <w:color w:val="auto"/>
        </w:rPr>
      </w:pPr>
    </w:p>
    <w:p>
      <w:pPr>
        <w:ind w:left="640" w:right="40" w:hanging="313"/>
        <w:spacing w:after="0" w:line="23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companies, or parts thereof, by the Company or by companies being, directly or indirectly, controlled by us;</w:t>
      </w:r>
    </w:p>
    <w:p>
      <w:pPr>
        <w:spacing w:after="0" w:line="155" w:lineRule="exact"/>
        <w:rPr>
          <w:rFonts w:ascii="Times New Roman" w:cs="Times New Roman" w:eastAsia="Times New Roman" w:hAnsi="Times New Roman"/>
          <w:sz w:val="18"/>
          <w:szCs w:val="18"/>
          <w:color w:val="auto"/>
        </w:rPr>
      </w:pPr>
    </w:p>
    <w:p>
      <w:pPr>
        <w:ind w:left="640" w:right="60" w:hanging="313"/>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indebtedness, pension benefits not based on occupational pension schemes and performance-based compensation not provided for in our articles of incorporation; and</w:t>
      </w:r>
    </w:p>
    <w:p>
      <w:pPr>
        <w:spacing w:after="0" w:line="15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not provided for in our articles of incorporation.</w:t>
      </w:r>
    </w:p>
    <w:p>
      <w:pPr>
        <w:spacing w:after="0" w:line="194"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Compensation to members of the board of directors and the executive management for activities in entities that are, directly or indirectly, controlled by the Company is prohibited if (i) the compensation would be prohibited if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00" w:right="339" w:bottom="1440" w:gutter="0" w:footer="0" w:header="0"/>
        </w:sectPr>
      </w:pPr>
    </w:p>
    <w:bookmarkStart w:id="25" w:name="page26"/>
    <w:bookmarkEnd w:id="25"/>
    <w:p>
      <w:pPr>
        <w:spacing w:after="0" w:line="277" w:lineRule="auto"/>
        <w:rPr>
          <w:sz w:val="20"/>
          <w:szCs w:val="20"/>
          <w:color w:val="auto"/>
        </w:rPr>
      </w:pPr>
      <w:r>
        <w:rPr>
          <w:rFonts w:ascii="Times New Roman" w:cs="Times New Roman" w:eastAsia="Times New Roman" w:hAnsi="Times New Roman"/>
          <w:sz w:val="18"/>
          <w:szCs w:val="18"/>
          <w:color w:val="auto"/>
        </w:rPr>
        <w:t>were paid directly by the Company, (ii) the articles of incorporation do not provide for it, or (iii) the compensation has not been approved by the general meeting of shareholders.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Every year, the general meeting of shareholders has to vote on the proposals of the board of directors with respect to:</w:t>
      </w:r>
    </w:p>
    <w:p>
      <w:pPr>
        <w:spacing w:after="0" w:line="207" w:lineRule="exact"/>
        <w:rPr>
          <w:sz w:val="20"/>
          <w:szCs w:val="20"/>
          <w:color w:val="auto"/>
        </w:rPr>
      </w:pPr>
    </w:p>
    <w:p>
      <w:pPr>
        <w:ind w:left="640" w:right="760" w:hanging="313"/>
        <w:spacing w:after="0" w:line="23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board of directors for the term of office until the next ordinary general meeting of shareholders; and</w:t>
      </w:r>
    </w:p>
    <w:p>
      <w:pPr>
        <w:spacing w:after="0" w:line="16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fixed compensation of the executive management for the following financial year; and</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variable compensation of the executive management for the current financial year.</w:t>
      </w:r>
    </w:p>
    <w:p>
      <w:pPr>
        <w:spacing w:after="0" w:line="19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board of directors may submit for approval at the general meeting of shareholders deviating or additional proposals relating to the same or different periods.</w:t>
      </w:r>
    </w:p>
    <w:p>
      <w:pPr>
        <w:spacing w:after="0" w:line="16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If, at the general meeting of shareholders, the shareholders do not approve a compensation proposal of the board of directors, the board of directors must prepare a new proposal, taking into account all relevant factors, and submit the new proposal for approval by the same general meeting of shareholders, at a subsequent extraordinary general meeting of shareholders or the next ordinary general meeting of shareholders.</w:t>
      </w:r>
    </w:p>
    <w:p>
      <w:pPr>
        <w:spacing w:after="0" w:line="177"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If we appoint new members of the executive management after the general meeting of shareholders has approved the compensation of the executive management for the relevant period and such compensation is insufficient to also cover the new members' compensation, our articles of incorporation allow us to pay each new member an amount not exceeding 50% of the aggregate amount of (maximum) compensation of the executive management last approved.</w:t>
      </w:r>
    </w:p>
    <w:p>
      <w:pPr>
        <w:spacing w:after="0" w:line="182"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In addition to fixed compensation, members of the board of directors and the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 as well as their achievement.</w:t>
      </w:r>
    </w:p>
    <w:p>
      <w:pPr>
        <w:spacing w:after="0" w:line="183"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Neither Swiss law nor our articles of incorporation restricts our power to borrow and raise funds. The decision to borrow funds is made by or under the direction of our board of directors, and no approval by the shareholders is required in relation to any such borrowing.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Shares and Purchases of Own Shares</w:t>
      </w:r>
    </w:p>
    <w:p>
      <w:pPr>
        <w:spacing w:after="0" w:line="224"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The CO limits our ability to repurchase and hold our own shares. We and our subsidiaries may repurchase shares only to the extent that (i) we have freely distributable reserves in the amount of the purchase price; and (ii) the aggregate par value of all shares held by us does not exceed 10% of our share capital. Pursuant to Swiss law, where shares are acquired in connection with a transfer restriction set out in the articles of incorporation, the foregoing upper limit is 20%. If we own shares that exceed the threshold of 10% of our share capital, the excess must be sold or cancelled by means of a capital reduction within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04" w:right="339" w:bottom="1440" w:gutter="0" w:footer="0" w:header="0"/>
        </w:sectPr>
      </w:pPr>
    </w:p>
    <w:bookmarkStart w:id="26" w:name="page27"/>
    <w:bookmarkEnd w:id="26"/>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6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subject to applicable law, purchase and sell our own shares from time to time in order to meet imbalances of supply and demand, to provide liquidity and to even out variances in the market price of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Notification and Disclosure of Substantial Share Interests</w:t>
      </w:r>
    </w:p>
    <w:p>
      <w:pPr>
        <w:spacing w:after="0" w:line="224" w:lineRule="exact"/>
        <w:rPr>
          <w:sz w:val="20"/>
          <w:szCs w:val="20"/>
          <w:color w:val="auto"/>
        </w:rPr>
      </w:pPr>
    </w:p>
    <w:p>
      <w:pPr>
        <w:jc w:val="both"/>
        <w:ind w:firstLine="321"/>
        <w:spacing w:after="0" w:line="266" w:lineRule="auto"/>
        <w:rPr>
          <w:sz w:val="20"/>
          <w:szCs w:val="20"/>
          <w:color w:val="auto"/>
        </w:rPr>
      </w:pPr>
      <w:r>
        <w:rPr>
          <w:rFonts w:ascii="Times New Roman" w:cs="Times New Roman" w:eastAsia="Times New Roman" w:hAnsi="Times New Roman"/>
          <w:sz w:val="17"/>
          <w:szCs w:val="17"/>
          <w:color w:val="auto"/>
        </w:rPr>
        <w:t>The disclosure obligations generally applicable to shareholders of Swiss corporations under the Federal Act on Financial Market Infrastructures and Market Conduct in Securities and Derivatives Trading of 2015, or the Financial Market Infrastructure Act, are applicable to us. Under the Financial Market Infrastructure Act, persons who directly, indirectly or in concert with other parties acquire or dispose of ordinary shares or are granted the power to exercise voting rights attached to ordinary shares at their own discretion, or delegated voting rights, or acquire or dispose of purchase or sale rights relating to ordinary shares, and thereby reach, exceed or fall below a threshold of 3, 5, 10, 15, 20, 25, 33 1⁄3, 50 or 66 2⁄3 percent of our voting rights (whether exercisable or not) must report such acquisition or disposal to us and the SIX Swiss Exchange in writing within four trading days. Within two trading days of the receipt of such notification, we must publish such information through SIX Swiss Exchange's electronic reporting and publishing platform. For purposes of calculating whether a threshold has been reached or crossed, shares, delegated voting rights and acquisition rights or obligations, or Acquisition Positions, on the one hand and sale rights or obligations, or Disposal Positions, on the other hand may not be netted. Rather the Acquisition Positions and the Disposal Positions need to be accounted for separately and may each trigger disclosure obligations if the respective positions reach one of the thresholds. In addition, actual share ownership and delegated voting rights must be reported separately from other Purchase Positions if they reach one of the thresholds.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Bid Rules</w:t>
      </w:r>
    </w:p>
    <w:p>
      <w:pPr>
        <w:spacing w:after="0" w:line="224"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applicable provisions of the Financial Market Infrastructure Act, any person that acquires shares of a listed Swiss company, whether directly or indirectly or acting in concert with third parties, which shares, when taken together with any other shares of such company held by such person, exceed the threshold of 33 1/3% of the voting rights (whether exercisable or not) of such company, must make a takeover bid to acquire all the other listed shares of such company. A company’s articles of incorporation may either eliminate this provision of the Financial Market Infrastructure Act or may raise the relevant threshold to 49%, </w:t>
      </w:r>
      <w:r>
        <w:rPr>
          <w:rFonts w:ascii="Times New Roman" w:cs="Times New Roman" w:eastAsia="Times New Roman" w:hAnsi="Times New Roman"/>
          <w:sz w:val="18"/>
          <w:szCs w:val="18"/>
          <w:i w:val="1"/>
          <w:iCs w:val="1"/>
          <w:color w:val="auto"/>
        </w:rPr>
        <w:t>opting-out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opting-up,</w:t>
      </w:r>
      <w:r>
        <w:rPr>
          <w:rFonts w:ascii="Times New Roman" w:cs="Times New Roman" w:eastAsia="Times New Roman" w:hAnsi="Times New Roman"/>
          <w:sz w:val="18"/>
          <w:szCs w:val="18"/>
          <w:color w:val="auto"/>
        </w:rPr>
        <w:t xml:space="preserve"> respectively. Our articles of incorporation do not contain any opting-out or opting-up provision.</w:t>
      </w:r>
    </w:p>
    <w:p>
      <w:pPr>
        <w:spacing w:after="0" w:line="18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 waiver of the mandatory rules may be granted by the Swiss Takeover Board or FINMA under certain circumstances. If no waiver is granted, the mandatory takeover bid must be made pursuant to the procedural rules set forth in the Financial Market Infrastructure Act and the implementing ordinances thereunder.</w:t>
      </w:r>
    </w:p>
    <w:p>
      <w:pPr>
        <w:spacing w:after="0" w:line="177"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There is no obligation to make a takeover bid under the Financial Market Infrastructure Act if the voting rights in question are acquired as a result of a gift, succession or partition of an estate, a transfer based upon matrimonial property law or execution proceedings.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Nonresident or Foreign Owners</w:t>
      </w:r>
    </w:p>
    <w:p>
      <w:pPr>
        <w:spacing w:after="0" w:line="224"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Other than limitations that apply to all holders of our ordinary shares, there are no limitations on the right of nonresident or foreign owners of our ordinary shares from holdings or voting such ordinary shares imposed by Swiss law or our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2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Other than sanctions against specific countries, individuals, and organizations, there are no governmental laws, decrees, regulations or other legislation in Switzerland affecting the remittance of dividends, interest and other payments to nonresident holders of our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224"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The Swiss laws applicable to Swiss corporations and their shareholders differ from laws applicable to U.S. corporations and their shareholders. The following table summarizes significant differences in shareholder rights pursuant to the provisions of the CO, by which our Company is governed,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19" w:lineRule="exact"/>
        <w:rPr>
          <w:sz w:val="20"/>
          <w:szCs w:val="20"/>
          <w:color w:val="auto"/>
        </w:rPr>
      </w:pPr>
    </w:p>
    <w:p>
      <w:pPr>
        <w:ind w:left="1500"/>
        <w:spacing w:after="0"/>
        <w:tabs>
          <w:tab w:leader="none" w:pos="732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Mergers and similar arrangements</w:t>
      </w:r>
    </w:p>
    <w:p>
      <w:pPr>
        <w:sectPr>
          <w:pgSz w:w="11900" w:h="16838" w:orient="portrait"/>
          <w:cols w:equalWidth="0" w:num="1">
            <w:col w:w="11240"/>
          </w:cols>
          <w:pgMar w:left="320" w:top="1400" w:right="339" w:bottom="1440" w:gutter="0" w:footer="0" w:header="0"/>
        </w:sectPr>
      </w:pPr>
    </w:p>
    <w:p>
      <w:pPr>
        <w:spacing w:after="0" w:line="20" w:lineRule="exact"/>
        <w:rPr>
          <w:sz w:val="20"/>
          <w:szCs w:val="20"/>
          <w:color w:val="auto"/>
        </w:rPr>
      </w:pPr>
    </w:p>
    <w:p>
      <w:pPr>
        <w:ind w:left="80" w:right="160"/>
        <w:spacing w:after="0" w:line="230" w:lineRule="auto"/>
        <w:rPr>
          <w:sz w:val="20"/>
          <w:szCs w:val="20"/>
          <w:color w:val="auto"/>
        </w:rPr>
      </w:pPr>
      <w:r>
        <w:rPr>
          <w:rFonts w:ascii="Times New Roman" w:cs="Times New Roman" w:eastAsia="Times New Roman" w:hAnsi="Times New Roman"/>
          <w:sz w:val="17"/>
          <w:szCs w:val="17"/>
          <w:color w:val="auto"/>
        </w:rPr>
        <w:t>Under the Delaware General Corporation Law, with certain exceptions, a merger, consolidation, sale, lease or transfer of all or substantially all of the</w:t>
      </w:r>
    </w:p>
    <w:p>
      <w:pPr>
        <w:ind w:left="80"/>
        <w:spacing w:after="0" w:line="206" w:lineRule="auto"/>
        <w:rPr>
          <w:sz w:val="20"/>
          <w:szCs w:val="20"/>
          <w:color w:val="auto"/>
        </w:rPr>
      </w:pPr>
      <w:r>
        <w:rPr>
          <w:rFonts w:ascii="Times New Roman" w:cs="Times New Roman" w:eastAsia="Times New Roman" w:hAnsi="Times New Roman"/>
          <w:sz w:val="18"/>
          <w:szCs w:val="18"/>
          <w:color w:val="auto"/>
        </w:rPr>
        <w:t>assets of a corporation must be approved by the board of directors and a majority of the outstanding shares entitled to vote thereon. A shareholder of a Delaware corporation participating in certain major corporate transactions</w:t>
      </w:r>
    </w:p>
    <w:p>
      <w:pPr>
        <w:spacing w:after="0" w:line="1" w:lineRule="exact"/>
        <w:rPr>
          <w:sz w:val="20"/>
          <w:szCs w:val="20"/>
          <w:color w:val="auto"/>
        </w:rPr>
      </w:pPr>
    </w:p>
    <w:p>
      <w:pPr>
        <w:jc w:val="both"/>
        <w:ind w:left="80" w:right="140"/>
        <w:spacing w:after="0" w:line="218" w:lineRule="auto"/>
        <w:rPr>
          <w:sz w:val="20"/>
          <w:szCs w:val="20"/>
          <w:color w:val="auto"/>
        </w:rPr>
      </w:pPr>
      <w:r>
        <w:rPr>
          <w:rFonts w:ascii="Times New Roman" w:cs="Times New Roman" w:eastAsia="Times New Roman" w:hAnsi="Times New Roman"/>
          <w:sz w:val="17"/>
          <w:szCs w:val="17"/>
          <w:color w:val="auto"/>
        </w:rPr>
        <w:t>may, under certain circumstances, be entitled to appraisal rights pursuant to which such shareholder may receive cash in the amount of the fair value of the shares held by such shareholder (as determined by a court) in lieu of the</w:t>
      </w:r>
    </w:p>
    <w:p>
      <w:pPr>
        <w:spacing w:after="0" w:line="2" w:lineRule="exact"/>
        <w:rPr>
          <w:sz w:val="20"/>
          <w:szCs w:val="20"/>
          <w:color w:val="auto"/>
        </w:rPr>
      </w:pPr>
    </w:p>
    <w:p>
      <w:pPr>
        <w:ind w:left="80" w:right="220"/>
        <w:spacing w:after="0" w:line="218" w:lineRule="auto"/>
        <w:rPr>
          <w:sz w:val="20"/>
          <w:szCs w:val="20"/>
          <w:color w:val="auto"/>
        </w:rPr>
      </w:pPr>
      <w:r>
        <w:rPr>
          <w:rFonts w:ascii="Times New Roman" w:cs="Times New Roman" w:eastAsia="Times New Roman" w:hAnsi="Times New Roman"/>
          <w:sz w:val="17"/>
          <w:szCs w:val="17"/>
          <w:color w:val="auto"/>
        </w:rPr>
        <w:t>consideration such shareholder would otherwise receive in the transaction. The Delaware General Corporation Law also provides that a parent corporation, by resolution of its board of directors, may merge with any</w:t>
      </w:r>
    </w:p>
    <w:p>
      <w:pPr>
        <w:spacing w:after="0" w:line="2" w:lineRule="exact"/>
        <w:rPr>
          <w:sz w:val="20"/>
          <w:szCs w:val="20"/>
          <w:color w:val="auto"/>
        </w:rPr>
      </w:pPr>
    </w:p>
    <w:p>
      <w:pPr>
        <w:ind w:left="80" w:right="20"/>
        <w:spacing w:after="0" w:line="229" w:lineRule="auto"/>
        <w:rPr>
          <w:sz w:val="20"/>
          <w:szCs w:val="20"/>
          <w:color w:val="auto"/>
        </w:rPr>
      </w:pPr>
      <w:r>
        <w:rPr>
          <w:rFonts w:ascii="Times New Roman" w:cs="Times New Roman" w:eastAsia="Times New Roman" w:hAnsi="Times New Roman"/>
          <w:sz w:val="17"/>
          <w:szCs w:val="17"/>
          <w:color w:val="auto"/>
        </w:rPr>
        <w:t>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ind w:right="220"/>
        <w:spacing w:after="0" w:line="230" w:lineRule="auto"/>
        <w:rPr>
          <w:sz w:val="20"/>
          <w:szCs w:val="20"/>
          <w:color w:val="auto"/>
        </w:rPr>
      </w:pPr>
      <w:r>
        <w:rPr>
          <w:rFonts w:ascii="Times New Roman" w:cs="Times New Roman" w:eastAsia="Times New Roman" w:hAnsi="Times New Roman"/>
          <w:sz w:val="17"/>
          <w:szCs w:val="17"/>
          <w:color w:val="auto"/>
        </w:rPr>
        <w:t>Under Swiss law, with certain exceptions, a merger or a demerger of the corporation or a sale of all or substantially all of the assets of a corporation</w:t>
      </w:r>
    </w:p>
    <w:p>
      <w:pPr>
        <w:ind w:right="140"/>
        <w:spacing w:after="0" w:line="206" w:lineRule="auto"/>
        <w:rPr>
          <w:sz w:val="20"/>
          <w:szCs w:val="20"/>
          <w:color w:val="auto"/>
        </w:rPr>
      </w:pPr>
      <w:r>
        <w:rPr>
          <w:rFonts w:ascii="Times New Roman" w:cs="Times New Roman" w:eastAsia="Times New Roman" w:hAnsi="Times New Roman"/>
          <w:sz w:val="18"/>
          <w:szCs w:val="18"/>
          <w:color w:val="auto"/>
        </w:rPr>
        <w:t>must be approved by two-thirds of the voting rights represented at the respective general meeting of shareholders as well as the majority of the par value of shares represented at such general meeting of shareholders. A</w:t>
      </w:r>
    </w:p>
    <w:p>
      <w:pPr>
        <w:spacing w:after="0" w:line="1" w:lineRule="exact"/>
        <w:rPr>
          <w:sz w:val="20"/>
          <w:szCs w:val="20"/>
          <w:color w:val="auto"/>
        </w:rPr>
      </w:pPr>
    </w:p>
    <w:p>
      <w:pPr>
        <w:jc w:val="both"/>
        <w:ind w:right="420"/>
        <w:spacing w:after="0" w:line="218" w:lineRule="auto"/>
        <w:rPr>
          <w:sz w:val="20"/>
          <w:szCs w:val="20"/>
          <w:color w:val="auto"/>
        </w:rPr>
      </w:pPr>
      <w:r>
        <w:rPr>
          <w:rFonts w:ascii="Times New Roman" w:cs="Times New Roman" w:eastAsia="Times New Roman" w:hAnsi="Times New Roman"/>
          <w:sz w:val="17"/>
          <w:szCs w:val="17"/>
          <w:color w:val="auto"/>
        </w:rPr>
        <w:t>shareholder of a Swiss corporation participating in a statutory merger or demerger pursuant to the Swiss Merger Act (Loi sur la fusion) can file a lawsuit against the surviving company. If the consideration is deemed</w:t>
      </w:r>
    </w:p>
    <w:p>
      <w:pPr>
        <w:spacing w:after="0" w:line="2" w:lineRule="exact"/>
        <w:rPr>
          <w:sz w:val="20"/>
          <w:szCs w:val="20"/>
          <w:color w:val="auto"/>
        </w:rPr>
      </w:pPr>
    </w:p>
    <w:p>
      <w:pPr>
        <w:ind w:right="100"/>
        <w:spacing w:after="0" w:line="206" w:lineRule="auto"/>
        <w:rPr>
          <w:sz w:val="20"/>
          <w:szCs w:val="20"/>
          <w:color w:val="auto"/>
        </w:rPr>
      </w:pPr>
      <w:r>
        <w:rPr>
          <w:rFonts w:ascii="Times New Roman" w:cs="Times New Roman" w:eastAsia="Times New Roman" w:hAnsi="Times New Roman"/>
          <w:sz w:val="18"/>
          <w:szCs w:val="18"/>
          <w:color w:val="auto"/>
        </w:rPr>
        <w:t>“inadequate,” such shareholder may, in addition to the consideration (be it in shares or in cash) receive an additional amount to ensure that such shareholder receives the fair value of the shares held by such shareholder.</w:t>
      </w:r>
    </w:p>
    <w:p>
      <w:pPr>
        <w:spacing w:after="0" w:line="1"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Swiss law also provides that if the merger agreement provides only for a compensation payment, at least 90% of all members in the transferring legal entity who are entitled to vote shall approve the merger agreement.</w:t>
      </w:r>
    </w:p>
    <w:p>
      <w:pPr>
        <w:spacing w:after="0" w:line="4" w:lineRule="exact"/>
        <w:rPr>
          <w:sz w:val="20"/>
          <w:szCs w:val="20"/>
          <w:color w:val="auto"/>
        </w:rPr>
      </w:pPr>
    </w:p>
    <w:p>
      <w:pPr>
        <w:sectPr>
          <w:pgSz w:w="11900" w:h="16838" w:orient="portrait"/>
          <w:cols w:equalWidth="0" w:num="2">
            <w:col w:w="5600" w:space="80"/>
            <w:col w:w="5560"/>
          </w:cols>
          <w:pgMar w:left="320" w:top="140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Shareholders’ 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00" w:right="339" w:bottom="1440" w:gutter="0" w:footer="0" w:header="0"/>
          <w:type w:val="continuous"/>
        </w:sectPr>
      </w:pPr>
    </w:p>
    <w:bookmarkStart w:id="28" w:name="page29"/>
    <w:bookmarkEnd w:id="28"/>
    <w:p>
      <w:pPr>
        <w:spacing w:after="0" w:line="235" w:lineRule="auto"/>
        <w:framePr w:w="5440" w:h="1014" w:wrap="auto" w:vAnchor="page" w:hAnchor="page" w:x="5960" w:y="233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in some cases,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245" w:lineRule="auto"/>
        <w:framePr w:w="5540" w:h="800" w:wrap="auto" w:vAnchor="page" w:hAnchor="page" w:x="5960" w:y="350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Swiss law, the winning party is generally entitled to recover a limited amount of attorneys’ fees incurred in connection with such action. The court has discretion to permit the shareholder who lost the lawsuit to recover attorneys’ fees incurred to the extent that he or she acted in good faith.</w:t>
      </w:r>
    </w:p>
    <w:p>
      <w:pPr>
        <w:spacing w:after="0" w:line="194" w:lineRule="auto"/>
        <w:framePr w:w="4560" w:h="159" w:wrap="auto" w:vAnchor="page" w:hAnchor="page" w:x="3660" w:y="451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Shareholder vote on board and management compensation</w:t>
      </w:r>
    </w:p>
    <w:p>
      <w:pPr>
        <w:spacing w:after="0" w:line="203" w:lineRule="auto"/>
        <w:framePr w:w="5340" w:h="332" w:wrap="auto" w:vAnchor="page" w:hAnchor="page" w:x="5960" w:y="4737"/>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Pursuant to Swiss law, the general meeting of shareholders has the non-transferable right, amongst others, to vote separately and bindingly on the</w:t>
      </w:r>
    </w:p>
    <w:p>
      <w:pPr>
        <w:spacing w:after="0" w:line="207" w:lineRule="auto"/>
        <w:framePr w:w="5620" w:h="506" w:wrap="auto" w:vAnchor="page" w:hAnchor="page" w:x="5960" w:y="5098"/>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aggregate amount of compensation of the members of the board of directors, of the executive management and of the advisory boards. If variable compensation is approved for a future period rather than for a past period, the</w:t>
      </w:r>
    </w:p>
    <w:p>
      <w:pPr>
        <w:spacing w:after="0" w:line="192" w:lineRule="auto"/>
        <w:framePr w:w="5460" w:h="332" w:wrap="auto" w:vAnchor="page" w:hAnchor="page" w:x="5960" w:y="5632"/>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report is subject to a non-binding vote of the general meeting of shareholders.</w:t>
      </w:r>
    </w:p>
    <w:p>
      <w:pPr>
        <w:spacing w:after="0" w:line="228" w:lineRule="auto"/>
        <w:framePr w:w="5340" w:h="372" w:wrap="auto" w:vAnchor="page" w:hAnchor="page" w:x="5960" w:y="1905"/>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entitled to bring suit against directors, officers or liquidators for breach of their duties and claim the payment of the company’s losses or damages to</w:t>
      </w:r>
    </w:p>
    <w:p>
      <w:pPr>
        <w:spacing w:after="0" w:line="194" w:lineRule="auto"/>
        <w:framePr w:w="5560" w:h="159" w:wrap="auto" w:vAnchor="page" w:hAnchor="page" w:x="5960" w:y="1691"/>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law. Nevertheless, certain actions may have a similar effect. A shareholder is</w:t>
      </w:r>
    </w:p>
    <w:p>
      <w:pPr>
        <w:spacing w:after="0" w:line="4" w:lineRule="exact"/>
        <w:rPr>
          <w:rFonts w:ascii="Times New Roman" w:cs="Times New Roman" w:eastAsia="Times New Roman" w:hAnsi="Times New Roman"/>
          <w:sz w:val="17"/>
          <w:szCs w:val="17"/>
          <w:b w:val="1"/>
          <w:bCs w:val="1"/>
          <w:color w:val="auto"/>
        </w:rPr>
      </w:pPr>
    </w:p>
    <w:p>
      <w:pPr>
        <w:ind w:right="160"/>
        <w:spacing w:after="0" w:line="182" w:lineRule="auto"/>
        <w:rPr>
          <w:sz w:val="20"/>
          <w:szCs w:val="20"/>
          <w:color w:val="auto"/>
        </w:rPr>
      </w:pPr>
      <w:r>
        <w:rPr>
          <w:rFonts w:ascii="Times New Roman" w:cs="Times New Roman" w:eastAsia="Times New Roman" w:hAnsi="Times New Roman"/>
          <w:sz w:val="13"/>
          <w:szCs w:val="13"/>
          <w:color w:val="auto"/>
        </w:rPr>
        <w:t>Class actions and derivative actions generally are available to shareholders of Class actions and derivative actions as such are not available under Swiss a Delaware corporation for, among other things, breach of fiduciary duty,</w:t>
      </w:r>
    </w:p>
    <w:p>
      <w:pPr>
        <w:spacing w:after="0" w:line="134" w:lineRule="exact"/>
        <w:rPr>
          <w:rFonts w:ascii="Times New Roman" w:cs="Times New Roman" w:eastAsia="Times New Roman" w:hAnsi="Times New Roman"/>
          <w:sz w:val="17"/>
          <w:szCs w:val="17"/>
          <w:b w:val="1"/>
          <w:bCs w:val="1"/>
          <w:color w:val="auto"/>
        </w:rPr>
      </w:pPr>
    </w:p>
    <w:p>
      <w:pPr>
        <w:jc w:val="both"/>
        <w:ind w:right="5640"/>
        <w:spacing w:after="0" w:line="224" w:lineRule="auto"/>
        <w:rPr>
          <w:sz w:val="20"/>
          <w:szCs w:val="20"/>
          <w:color w:val="auto"/>
        </w:rPr>
      </w:pPr>
      <w:r>
        <w:rPr>
          <w:rFonts w:ascii="Times New Roman" w:cs="Times New Roman" w:eastAsia="Times New Roman" w:hAnsi="Times New Roman"/>
          <w:sz w:val="18"/>
          <w:szCs w:val="18"/>
          <w:color w:val="auto"/>
        </w:rPr>
        <w:t>corporate waste and actions not taken in accordance with applicable law. In such actions, the court has discretion to permit the winning party to recover attorneys’ fees incurred in connection with such action.</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333" w:lineRule="exact"/>
        <w:rPr>
          <w:rFonts w:ascii="Times New Roman" w:cs="Times New Roman" w:eastAsia="Times New Roman" w:hAnsi="Times New Roman"/>
          <w:sz w:val="17"/>
          <w:szCs w:val="17"/>
          <w:b w:val="1"/>
          <w:bCs w:val="1"/>
          <w:color w:val="auto"/>
        </w:rPr>
      </w:pPr>
    </w:p>
    <w:p>
      <w:pPr>
        <w:ind w:right="5540"/>
        <w:spacing w:after="0" w:line="233" w:lineRule="auto"/>
        <w:rPr>
          <w:sz w:val="20"/>
          <w:szCs w:val="20"/>
          <w:color w:val="auto"/>
        </w:rPr>
      </w:pPr>
      <w:r>
        <w:rPr>
          <w:rFonts w:ascii="Times New Roman" w:cs="Times New Roman" w:eastAsia="Times New Roman" w:hAnsi="Times New Roman"/>
          <w:sz w:val="17"/>
          <w:szCs w:val="17"/>
          <w:color w:val="auto"/>
        </w:rPr>
        <w:t>Under the Delaware General Corporation Law, the board of directors has the authority to fix the compensation of directors, unless otherwise restricted by</w:t>
      </w:r>
    </w:p>
    <w:p>
      <w:pPr>
        <w:spacing w:after="0" w:line="1"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the certificate of incorporation or bylaws.</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317" w:lineRule="exact"/>
        <w:rPr>
          <w:rFonts w:ascii="Times New Roman" w:cs="Times New Roman" w:eastAsia="Times New Roman" w:hAnsi="Times New Roman"/>
          <w:sz w:val="17"/>
          <w:szCs w:val="17"/>
          <w:b w:val="1"/>
          <w:bCs w:val="1"/>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Annual vote on board renewal</w:t>
      </w:r>
    </w:p>
    <w:p>
      <w:pPr>
        <w:sectPr>
          <w:pgSz w:w="11900" w:h="16838" w:orient="portrait"/>
          <w:cols w:equalWidth="0" w:num="1">
            <w:col w:w="11000"/>
          </w:cols>
          <w:pgMar w:left="400" w:top="1440" w:right="499" w:bottom="1440" w:gutter="0" w:footer="0" w:header="0"/>
        </w:sectPr>
      </w:pPr>
    </w:p>
    <w:p>
      <w:pPr>
        <w:spacing w:after="0" w:line="158" w:lineRule="exact"/>
        <w:rPr>
          <w:rFonts w:ascii="Times New Roman" w:cs="Times New Roman" w:eastAsia="Times New Roman" w:hAnsi="Times New Roman"/>
          <w:sz w:val="17"/>
          <w:szCs w:val="17"/>
          <w:b w:val="1"/>
          <w:bCs w:val="1"/>
          <w:color w:val="auto"/>
        </w:rPr>
      </w:pPr>
    </w:p>
    <w:p>
      <w:pPr>
        <w:spacing w:after="0" w:line="233" w:lineRule="auto"/>
        <w:rPr>
          <w:sz w:val="20"/>
          <w:szCs w:val="20"/>
          <w:color w:val="auto"/>
        </w:rPr>
      </w:pPr>
      <w:r>
        <w:rPr>
          <w:rFonts w:ascii="Times New Roman" w:cs="Times New Roman" w:eastAsia="Times New Roman" w:hAnsi="Times New Roman"/>
          <w:sz w:val="17"/>
          <w:szCs w:val="17"/>
          <w:color w:val="auto"/>
        </w:rPr>
        <w:t>Unless directors are elected by written consent in lieu of an annual meeting, directors are elected in an annual meeting of shareholders on a date and at a</w:t>
      </w:r>
    </w:p>
    <w:p>
      <w:pPr>
        <w:spacing w:after="0" w:line="1" w:lineRule="exact"/>
        <w:rPr>
          <w:rFonts w:ascii="Times New Roman" w:cs="Times New Roman" w:eastAsia="Times New Roman" w:hAnsi="Times New Roman"/>
          <w:sz w:val="17"/>
          <w:szCs w:val="17"/>
          <w:b w:val="1"/>
          <w:bCs w:val="1"/>
          <w:color w:val="auto"/>
        </w:rPr>
      </w:pPr>
    </w:p>
    <w:p>
      <w:pPr>
        <w:ind w:right="100"/>
        <w:spacing w:after="0" w:line="223" w:lineRule="auto"/>
        <w:rPr>
          <w:sz w:val="20"/>
          <w:szCs w:val="20"/>
          <w:color w:val="auto"/>
        </w:rPr>
      </w:pPr>
      <w:r>
        <w:rPr>
          <w:rFonts w:ascii="Times New Roman" w:cs="Times New Roman" w:eastAsia="Times New Roman" w:hAnsi="Times New Roman"/>
          <w:sz w:val="18"/>
          <w:szCs w:val="18"/>
          <w:color w:val="auto"/>
        </w:rPr>
        <w:t>time designated by or in the manner provided in the bylaws. Re-election is possible.</w:t>
      </w:r>
    </w:p>
    <w:p>
      <w:pPr>
        <w:spacing w:after="0" w:line="2"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br w:type="column"/>
      </w:r>
    </w:p>
    <w:p>
      <w:pPr>
        <w:spacing w:after="0" w:line="138" w:lineRule="exact"/>
        <w:rPr>
          <w:rFonts w:ascii="Times New Roman" w:cs="Times New Roman" w:eastAsia="Times New Roman" w:hAnsi="Times New Roman"/>
          <w:sz w:val="17"/>
          <w:szCs w:val="17"/>
          <w:b w:val="1"/>
          <w:bCs w:val="1"/>
          <w:color w:val="auto"/>
        </w:rPr>
      </w:pPr>
    </w:p>
    <w:p>
      <w:pPr>
        <w:spacing w:after="0" w:line="233" w:lineRule="auto"/>
        <w:rPr>
          <w:sz w:val="20"/>
          <w:szCs w:val="20"/>
          <w:color w:val="auto"/>
        </w:rPr>
      </w:pPr>
      <w:r>
        <w:rPr>
          <w:rFonts w:ascii="Times New Roman" w:cs="Times New Roman" w:eastAsia="Times New Roman" w:hAnsi="Times New Roman"/>
          <w:sz w:val="17"/>
          <w:szCs w:val="17"/>
          <w:color w:val="auto"/>
        </w:rPr>
        <w:t>Unless directors are elected by written consent in lieu of an annual meeting, directors are elected in an annual meeting of shareholders on a date and at a</w:t>
      </w:r>
    </w:p>
    <w:p>
      <w:pPr>
        <w:spacing w:after="0" w:line="1" w:lineRule="exact"/>
        <w:rPr>
          <w:rFonts w:ascii="Times New Roman" w:cs="Times New Roman" w:eastAsia="Times New Roman" w:hAnsi="Times New Roman"/>
          <w:sz w:val="17"/>
          <w:szCs w:val="17"/>
          <w:b w:val="1"/>
          <w:bCs w:val="1"/>
          <w:color w:val="auto"/>
        </w:rPr>
      </w:pPr>
    </w:p>
    <w:p>
      <w:pPr>
        <w:ind w:right="100"/>
        <w:spacing w:after="0" w:line="223" w:lineRule="auto"/>
        <w:rPr>
          <w:sz w:val="20"/>
          <w:szCs w:val="20"/>
          <w:color w:val="auto"/>
        </w:rPr>
      </w:pPr>
      <w:r>
        <w:rPr>
          <w:rFonts w:ascii="Times New Roman" w:cs="Times New Roman" w:eastAsia="Times New Roman" w:hAnsi="Times New Roman"/>
          <w:sz w:val="18"/>
          <w:szCs w:val="18"/>
          <w:color w:val="auto"/>
        </w:rPr>
        <w:t>time designated by or in the manner provided in the bylaws. Re-election is possible.</w:t>
      </w:r>
    </w:p>
    <w:p>
      <w:pPr>
        <w:spacing w:after="0" w:line="228" w:lineRule="exact"/>
        <w:rPr>
          <w:rFonts w:ascii="Times New Roman" w:cs="Times New Roman" w:eastAsia="Times New Roman" w:hAnsi="Times New Roman"/>
          <w:sz w:val="17"/>
          <w:szCs w:val="17"/>
          <w:b w:val="1"/>
          <w:bCs w:val="1"/>
          <w:color w:val="auto"/>
        </w:rPr>
      </w:pPr>
    </w:p>
    <w:p>
      <w:pPr>
        <w:sectPr>
          <w:pgSz w:w="11900" w:h="16838" w:orient="portrait"/>
          <w:cols w:equalWidth="0" w:num="2">
            <w:col w:w="5400" w:space="200"/>
            <w:col w:w="5400"/>
          </w:cols>
          <w:pgMar w:left="400" w:top="1440" w:right="4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Indemnification of directors and executive officers and limitation of liability</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375" w:lineRule="exact"/>
        <w:rPr>
          <w:rFonts w:ascii="Times New Roman" w:cs="Times New Roman" w:eastAsia="Times New Roman" w:hAnsi="Times New Roman"/>
          <w:sz w:val="17"/>
          <w:szCs w:val="17"/>
          <w:b w:val="1"/>
          <w:bCs w:val="1"/>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00" w:top="1440" w:right="499" w:bottom="1440" w:gutter="0" w:footer="0" w:header="0"/>
          <w:type w:val="continuous"/>
        </w:sectPr>
      </w:pPr>
    </w:p>
    <w:bookmarkStart w:id="29" w:name="page30"/>
    <w:bookmarkEnd w:id="29"/>
    <w:p>
      <w:pPr>
        <w:spacing w:after="0" w:line="1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contain a provision eliminating or limiting the personal liability of directors and officers (but not other controlling persons) of the corporation for monetary damages for breach of a fiduciary duty as a director, except no provision in the certificate of incorporation may eliminate or limit liability of:</w:t>
      </w:r>
    </w:p>
    <w:p>
      <w:pPr>
        <w:spacing w:after="0" w:line="67" w:lineRule="exact"/>
        <w:rPr>
          <w:sz w:val="20"/>
          <w:szCs w:val="20"/>
          <w:color w:val="auto"/>
        </w:rPr>
      </w:pPr>
    </w:p>
    <w:p>
      <w:pPr>
        <w:ind w:left="340" w:right="680" w:hanging="235"/>
        <w:spacing w:after="0" w:line="235"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 duty of loyalty to the corporation or its shareholders;</w:t>
      </w:r>
    </w:p>
    <w:p>
      <w:pPr>
        <w:spacing w:after="0" w:line="62" w:lineRule="exact"/>
        <w:rPr>
          <w:rFonts w:ascii="Times New Roman" w:cs="Times New Roman" w:eastAsia="Times New Roman" w:hAnsi="Times New Roman"/>
          <w:sz w:val="18"/>
          <w:szCs w:val="18"/>
          <w:color w:val="auto"/>
        </w:rPr>
      </w:pPr>
    </w:p>
    <w:p>
      <w:pPr>
        <w:ind w:left="340" w:right="320" w:hanging="235"/>
        <w:spacing w:after="0" w:line="258" w:lineRule="auto"/>
        <w:tabs>
          <w:tab w:leader="none" w:pos="33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or officer for acts or omissions not in good faith or which involve intentional misconduct or a knowing violation of law;</w:t>
      </w:r>
    </w:p>
    <w:p>
      <w:pPr>
        <w:spacing w:after="0" w:line="33" w:lineRule="exact"/>
        <w:rPr>
          <w:rFonts w:ascii="Times New Roman" w:cs="Times New Roman" w:eastAsia="Times New Roman" w:hAnsi="Times New Roman"/>
          <w:sz w:val="17"/>
          <w:szCs w:val="17"/>
          <w:color w:val="auto"/>
        </w:rPr>
      </w:pPr>
    </w:p>
    <w:p>
      <w:pPr>
        <w:ind w:left="340" w:right="220" w:hanging="235"/>
        <w:spacing w:after="0" w:line="246"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statutory liability for unlawful payment of dividends or unlawful share purchase or redemption;</w:t>
      </w:r>
    </w:p>
    <w:p>
      <w:pPr>
        <w:spacing w:after="0" w:line="43" w:lineRule="exact"/>
        <w:rPr>
          <w:rFonts w:ascii="Times New Roman" w:cs="Times New Roman" w:eastAsia="Times New Roman" w:hAnsi="Times New Roman"/>
          <w:sz w:val="18"/>
          <w:szCs w:val="18"/>
          <w:color w:val="auto"/>
        </w:rPr>
      </w:pPr>
    </w:p>
    <w:p>
      <w:pPr>
        <w:ind w:left="340" w:right="440" w:hanging="235"/>
        <w:spacing w:after="0" w:line="235"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 director or officer derived an improper personal benefit; or</w:t>
      </w:r>
    </w:p>
    <w:p>
      <w:pPr>
        <w:spacing w:after="0" w:line="62" w:lineRule="exact"/>
        <w:rPr>
          <w:rFonts w:ascii="Times New Roman" w:cs="Times New Roman" w:eastAsia="Times New Roman" w:hAnsi="Times New Roman"/>
          <w:sz w:val="18"/>
          <w:szCs w:val="18"/>
          <w:color w:val="auto"/>
        </w:rPr>
      </w:pPr>
    </w:p>
    <w:p>
      <w:pPr>
        <w:ind w:left="320" w:hanging="215"/>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right of the corporation.</w:t>
      </w:r>
    </w:p>
    <w:p>
      <w:pPr>
        <w:spacing w:after="0" w:line="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7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Unless ordered by a court, any foregoing indemnification is subject to a determination that the director or officer has met the applicable standard of conduct:</w:t>
      </w:r>
    </w:p>
    <w:p>
      <w:pPr>
        <w:spacing w:after="0" w:line="57" w:lineRule="exact"/>
        <w:rPr>
          <w:sz w:val="20"/>
          <w:szCs w:val="20"/>
          <w:color w:val="auto"/>
        </w:rPr>
      </w:pPr>
    </w:p>
    <w:p>
      <w:pPr>
        <w:ind w:left="340" w:right="860" w:hanging="235"/>
        <w:spacing w:after="0" w:line="235"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the directors who are not parties to the proceeding, even though less than a quorum;</w:t>
      </w:r>
    </w:p>
    <w:p>
      <w:pPr>
        <w:spacing w:after="0" w:line="62" w:lineRule="exact"/>
        <w:rPr>
          <w:rFonts w:ascii="Times New Roman" w:cs="Times New Roman" w:eastAsia="Times New Roman" w:hAnsi="Times New Roman"/>
          <w:sz w:val="18"/>
          <w:szCs w:val="18"/>
          <w:color w:val="auto"/>
        </w:rPr>
      </w:pPr>
    </w:p>
    <w:p>
      <w:pPr>
        <w:ind w:left="340" w:right="560" w:hanging="235"/>
        <w:spacing w:after="0" w:line="235"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committee of directors designated by a majority vote of the eligible directors, even though less than a quorum;</w:t>
      </w:r>
    </w:p>
    <w:p>
      <w:pPr>
        <w:spacing w:after="0" w:line="48" w:lineRule="exact"/>
        <w:rPr>
          <w:rFonts w:ascii="Times New Roman" w:cs="Times New Roman" w:eastAsia="Times New Roman" w:hAnsi="Times New Roman"/>
          <w:sz w:val="18"/>
          <w:szCs w:val="18"/>
          <w:color w:val="auto"/>
        </w:rPr>
      </w:pPr>
    </w:p>
    <w:p>
      <w:pPr>
        <w:ind w:left="340" w:hanging="235"/>
        <w:spacing w:after="0" w:line="246"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legal counsel in a written opinion if there are no eligible directors, or if the eligible directors so direct; or</w:t>
      </w:r>
    </w:p>
    <w:p>
      <w:pPr>
        <w:spacing w:after="0" w:line="43" w:lineRule="exact"/>
        <w:rPr>
          <w:rFonts w:ascii="Times New Roman" w:cs="Times New Roman" w:eastAsia="Times New Roman" w:hAnsi="Times New Roman"/>
          <w:sz w:val="18"/>
          <w:szCs w:val="18"/>
          <w:color w:val="auto"/>
        </w:rPr>
      </w:pPr>
    </w:p>
    <w:p>
      <w:pPr>
        <w:ind w:left="320" w:hanging="215"/>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w:t>
      </w:r>
    </w:p>
    <w:p>
      <w:pPr>
        <w:spacing w:after="0" w:line="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committee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(release) the directors and members of the executive management from liability for their conduct to the extent the respective facts are known to shareholders. Such discharge is effective only with respect to claims of the company and of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9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The articles of incorporation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75"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color w:val="auto"/>
        </w:rPr>
        <w:t>Also, a corporation may enter into and pay for directors’ and officers’ liability insurance, which may cover negligent acts as well.</w:t>
      </w:r>
    </w:p>
    <w:p>
      <w:pPr>
        <w:spacing w:after="0" w:line="4319" w:lineRule="exact"/>
        <w:rPr>
          <w:sz w:val="20"/>
          <w:szCs w:val="20"/>
          <w:color w:val="auto"/>
        </w:rPr>
      </w:pPr>
    </w:p>
    <w:p>
      <w:pPr>
        <w:sectPr>
          <w:pgSz w:w="11900" w:h="16838" w:orient="portrait"/>
          <w:cols w:equalWidth="0" w:num="2">
            <w:col w:w="5460" w:space="140"/>
            <w:col w:w="5460"/>
          </w:cols>
          <w:pgMar w:left="40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400" w:top="1440" w:right="439" w:bottom="1440" w:gutter="0" w:footer="0" w:header="0"/>
          <w:type w:val="continuous"/>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Directors’ fiduciary duties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019"/>
          </w:cols>
          <w:pgMar w:left="1440" w:top="1440" w:right="1440" w:bottom="1440" w:gutter="0" w:footer="0" w:header="0"/>
          <w:type w:val="continuous"/>
        </w:sectPr>
      </w:pPr>
    </w:p>
    <w:bookmarkStart w:id="31" w:name="page32"/>
    <w:bookmarkEnd w:id="31"/>
    <w:p>
      <w:pPr>
        <w:spacing w:after="0" w:line="1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A director of a Delaware corporation has a fiduciary duty to the corporation and its shareholders. This duty has two components:</w:t>
      </w:r>
    </w:p>
    <w:p>
      <w:pPr>
        <w:spacing w:after="0" w:line="43" w:lineRule="exact"/>
        <w:rPr>
          <w:sz w:val="20"/>
          <w:szCs w:val="20"/>
          <w:color w:val="auto"/>
        </w:rPr>
      </w:pPr>
    </w:p>
    <w:p>
      <w:pPr>
        <w:ind w:left="320" w:hanging="215"/>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care; and</w:t>
      </w:r>
    </w:p>
    <w:p>
      <w:pPr>
        <w:spacing w:after="0" w:line="73" w:lineRule="exact"/>
        <w:rPr>
          <w:rFonts w:ascii="Times New Roman" w:cs="Times New Roman" w:eastAsia="Times New Roman" w:hAnsi="Times New Roman"/>
          <w:sz w:val="18"/>
          <w:szCs w:val="18"/>
          <w:color w:val="auto"/>
        </w:rPr>
      </w:pPr>
    </w:p>
    <w:p>
      <w:pPr>
        <w:ind w:left="320" w:hanging="215"/>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loyalty.</w:t>
      </w:r>
    </w:p>
    <w:p>
      <w:pPr>
        <w:spacing w:after="0" w:line="1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7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Times New Roman" w:cs="Times New Roman" w:eastAsia="Times New Roman" w:hAnsi="Times New Roman"/>
          <w:sz w:val="17"/>
          <w:szCs w:val="17"/>
          <w:color w:val="auto"/>
        </w:rPr>
        <w:t>The board of directors of a Swiss corporation manages the business of the corporation, unless responsibility for such management has been duly delegated to the executive management based on organizational rules. However, there are several non-transferable duties of the board of directors:</w:t>
      </w:r>
    </w:p>
    <w:p>
      <w:pPr>
        <w:spacing w:after="0" w:line="46" w:lineRule="exact"/>
        <w:rPr>
          <w:sz w:val="20"/>
          <w:szCs w:val="20"/>
          <w:color w:val="auto"/>
        </w:rPr>
      </w:pPr>
    </w:p>
    <w:p>
      <w:pPr>
        <w:ind w:left="340" w:right="580" w:hanging="225"/>
        <w:spacing w:after="0" w:line="235"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corporation and the issuing of all necessary directives;</w:t>
      </w:r>
    </w:p>
    <w:p>
      <w:pPr>
        <w:spacing w:after="0" w:line="62" w:lineRule="exact"/>
        <w:rPr>
          <w:rFonts w:ascii="Times New Roman" w:cs="Times New Roman" w:eastAsia="Times New Roman" w:hAnsi="Times New Roman"/>
          <w:sz w:val="18"/>
          <w:szCs w:val="18"/>
          <w:color w:val="auto"/>
        </w:rPr>
      </w:pPr>
    </w:p>
    <w:p>
      <w:pPr>
        <w:ind w:left="340" w:hanging="225"/>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corporation’s organization;</w:t>
      </w:r>
    </w:p>
    <w:p>
      <w:pPr>
        <w:spacing w:after="0" w:line="73" w:lineRule="exact"/>
        <w:rPr>
          <w:rFonts w:ascii="Times New Roman" w:cs="Times New Roman" w:eastAsia="Times New Roman" w:hAnsi="Times New Roman"/>
          <w:sz w:val="18"/>
          <w:szCs w:val="18"/>
          <w:color w:val="auto"/>
        </w:rPr>
      </w:pPr>
    </w:p>
    <w:p>
      <w:pPr>
        <w:jc w:val="both"/>
        <w:ind w:left="340" w:right="480" w:hanging="225"/>
        <w:spacing w:after="0" w:line="258" w:lineRule="auto"/>
        <w:tabs>
          <w:tab w:leader="none" w:pos="3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organization of the accounting, financial control and financial planning systems as required for management of the corporation;</w:t>
      </w:r>
    </w:p>
    <w:p>
      <w:pPr>
        <w:spacing w:after="0" w:line="47" w:lineRule="exact"/>
        <w:rPr>
          <w:rFonts w:ascii="Times New Roman" w:cs="Times New Roman" w:eastAsia="Times New Roman" w:hAnsi="Times New Roman"/>
          <w:sz w:val="17"/>
          <w:szCs w:val="17"/>
          <w:color w:val="auto"/>
        </w:rPr>
      </w:pPr>
    </w:p>
    <w:p>
      <w:pPr>
        <w:ind w:left="340" w:right="100" w:hanging="225"/>
        <w:spacing w:after="0" w:line="235"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corporation;</w:t>
      </w:r>
    </w:p>
    <w:p>
      <w:pPr>
        <w:spacing w:after="0" w:line="48" w:lineRule="exact"/>
        <w:rPr>
          <w:rFonts w:ascii="Times New Roman" w:cs="Times New Roman" w:eastAsia="Times New Roman" w:hAnsi="Times New Roman"/>
          <w:sz w:val="18"/>
          <w:szCs w:val="18"/>
          <w:color w:val="auto"/>
        </w:rPr>
      </w:pPr>
    </w:p>
    <w:p>
      <w:pPr>
        <w:ind w:left="340" w:right="420" w:hanging="225"/>
        <w:spacing w:after="0" w:line="244" w:lineRule="auto"/>
        <w:tabs>
          <w:tab w:leader="none" w:pos="3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overall supervision of the persons entrusted with managing the corporation, in particular with regard to compliance with the law, articles of incorporation, operational regulations and directives;</w:t>
      </w:r>
    </w:p>
    <w:p>
      <w:pPr>
        <w:spacing w:after="0" w:line="44" w:lineRule="exact"/>
        <w:rPr>
          <w:rFonts w:ascii="Times New Roman" w:cs="Times New Roman" w:eastAsia="Times New Roman" w:hAnsi="Times New Roman"/>
          <w:sz w:val="17"/>
          <w:szCs w:val="17"/>
          <w:color w:val="auto"/>
        </w:rPr>
      </w:pPr>
    </w:p>
    <w:p>
      <w:pPr>
        <w:ind w:left="340" w:hanging="225"/>
        <w:spacing w:after="0" w:line="222"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compilation of the annual report, the compensation report, the report on non-financial matters and any other reports required by law, the preparation for the general meeting of the shareholders and implementation of its resolutions; and</w:t>
      </w:r>
    </w:p>
    <w:p>
      <w:pPr>
        <w:spacing w:after="0" w:line="62" w:lineRule="exact"/>
        <w:rPr>
          <w:rFonts w:ascii="Times New Roman" w:cs="Times New Roman" w:eastAsia="Times New Roman" w:hAnsi="Times New Roman"/>
          <w:sz w:val="18"/>
          <w:szCs w:val="18"/>
          <w:color w:val="auto"/>
        </w:rPr>
      </w:pPr>
    </w:p>
    <w:p>
      <w:pPr>
        <w:ind w:left="340" w:right="60" w:hanging="225"/>
        <w:spacing w:after="0" w:line="258" w:lineRule="auto"/>
        <w:tabs>
          <w:tab w:leader="none" w:pos="3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of an application for a debt restructuring moratorium and notification of the court in the event that the company is over-indebted.</w:t>
      </w:r>
    </w:p>
    <w:p>
      <w:pPr>
        <w:spacing w:after="0" w:line="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members of the board of directors must perform their duties with all due diligence and safeguard the interests of the corporation in good faith. They must afford the shareholders equal treatment in equal circumstances.</w:t>
      </w:r>
    </w:p>
    <w:p>
      <w:pPr>
        <w:spacing w:after="0" w:line="70" w:lineRule="exact"/>
        <w:rPr>
          <w:sz w:val="20"/>
          <w:szCs w:val="20"/>
          <w:color w:val="auto"/>
        </w:rPr>
      </w:pPr>
    </w:p>
    <w:p>
      <w:pPr>
        <w:ind w:right="120"/>
        <w:spacing w:after="0" w:line="308" w:lineRule="auto"/>
        <w:rPr>
          <w:sz w:val="20"/>
          <w:szCs w:val="20"/>
          <w:color w:val="auto"/>
        </w:rPr>
      </w:pPr>
      <w:r>
        <w:rPr>
          <w:rFonts w:ascii="Times New Roman" w:cs="Times New Roman" w:eastAsia="Times New Roman" w:hAnsi="Times New Roman"/>
          <w:sz w:val="17"/>
          <w:szCs w:val="17"/>
          <w:color w:val="auto"/>
        </w:rPr>
        <w:t>The duty of care requires that a director act in good faith, with the care that an ordinarily prudent director would exercise under like circumstances.</w:t>
      </w:r>
    </w:p>
    <w:p>
      <w:pPr>
        <w:spacing w:after="0" w:line="3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members of the board of directors and the executive management are required to immediately and fully inform the board of directors about conflicts of interests concerning them. The board of directors is furthermore required to take measures in order to protect the interests of the company.</w:t>
      </w:r>
    </w:p>
    <w:p>
      <w:pPr>
        <w:spacing w:after="0" w:line="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duty of loyalty requires that a director safeguard the interests of the corporation and requires that directors act in the interest of the corporation and, if necessary, put aside their own interests. If there is a risk of a conflict of interest, the board of directors must take appropriate measures to ensure that the interests of the company are duly taken into account.</w:t>
      </w:r>
    </w:p>
    <w:p>
      <w:pPr>
        <w:spacing w:after="0" w:line="7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The burden of proof for a violation of these duties is with the corporation or with the shareholder bringing a suit against the director.</w:t>
      </w:r>
    </w:p>
    <w:p>
      <w:pPr>
        <w:spacing w:after="0" w:line="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Swiss Federal Supreme Court has established a doctrine that restricts its review of a business decision if the decision has been taken following proper preparation, on an informed basis and without conflicts of interest.</w:t>
      </w:r>
    </w:p>
    <w:p>
      <w:pPr>
        <w:spacing w:after="0" w:line="200" w:lineRule="exact"/>
        <w:rPr>
          <w:sz w:val="20"/>
          <w:szCs w:val="20"/>
          <w:color w:val="auto"/>
        </w:rPr>
      </w:pPr>
    </w:p>
    <w:p>
      <w:pPr>
        <w:sectPr>
          <w:pgSz w:w="11900" w:h="16838" w:orient="portrait"/>
          <w:cols w:equalWidth="0" w:num="2">
            <w:col w:w="5420" w:space="180"/>
            <w:col w:w="5480"/>
          </w:cols>
          <w:pgMar w:left="40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400" w:top="1440" w:right="419" w:bottom="1440" w:gutter="0" w:footer="0" w:header="0"/>
          <w:type w:val="continuous"/>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Shareholder action by written consent</w:t>
      </w:r>
    </w:p>
    <w:p>
      <w:pPr>
        <w:sectPr>
          <w:pgSz w:w="11900" w:h="16838" w:orient="portrait"/>
          <w:cols w:equalWidth="0" w:num="1">
            <w:col w:w="11120"/>
          </w:cols>
          <w:pgMar w:left="400" w:top="1440" w:right="379" w:bottom="1440" w:gutter="0" w:footer="0" w:header="0"/>
        </w:sectPr>
      </w:pPr>
    </w:p>
    <w:p>
      <w:pPr>
        <w:spacing w:after="0" w:line="4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340"/>
        <w:spacing w:after="0" w:line="217" w:lineRule="auto"/>
        <w:rPr>
          <w:sz w:val="20"/>
          <w:szCs w:val="20"/>
          <w:color w:val="auto"/>
        </w:rPr>
      </w:pPr>
      <w:r>
        <w:rPr>
          <w:rFonts w:ascii="Times New Roman" w:cs="Times New Roman" w:eastAsia="Times New Roman" w:hAnsi="Times New Roman"/>
          <w:sz w:val="18"/>
          <w:szCs w:val="18"/>
          <w:color w:val="auto"/>
        </w:rPr>
        <w:t>Shareholders of a Swiss corporation may exercise their voting rights in a general meeting of shareholders. Shareholders can only act by written</w:t>
      </w:r>
    </w:p>
    <w:p>
      <w:pPr>
        <w:spacing w:after="0" w:line="1" w:lineRule="exact"/>
        <w:rPr>
          <w:sz w:val="20"/>
          <w:szCs w:val="20"/>
          <w:color w:val="auto"/>
        </w:rPr>
      </w:pPr>
    </w:p>
    <w:p>
      <w:pPr>
        <w:spacing w:after="0" w:line="206" w:lineRule="auto"/>
        <w:rPr>
          <w:sz w:val="20"/>
          <w:szCs w:val="20"/>
          <w:color w:val="auto"/>
        </w:rPr>
      </w:pPr>
      <w:r>
        <w:rPr>
          <w:rFonts w:ascii="Times New Roman" w:cs="Times New Roman" w:eastAsia="Times New Roman" w:hAnsi="Times New Roman"/>
          <w:sz w:val="18"/>
          <w:szCs w:val="18"/>
          <w:color w:val="auto"/>
        </w:rPr>
        <w:t>consents if no shareholder requests a general meeting of shareholders. The articles of incorporation must allow for (independent) proxies to be present at a general meeting of shareholders. The instruction of such (independent)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proxies may occur in writing or electronically.</w:t>
      </w:r>
    </w:p>
    <w:p>
      <w:pPr>
        <w:spacing w:after="0" w:line="6" w:lineRule="exact"/>
        <w:rPr>
          <w:sz w:val="20"/>
          <w:szCs w:val="20"/>
          <w:color w:val="auto"/>
        </w:rPr>
      </w:pPr>
    </w:p>
    <w:p>
      <w:pPr>
        <w:sectPr>
          <w:pgSz w:w="11900" w:h="16838" w:orient="portrait"/>
          <w:cols w:equalWidth="0" w:num="2">
            <w:col w:w="5460" w:space="140"/>
            <w:col w:w="5520"/>
          </w:cols>
          <w:pgMar w:left="400" w:top="1440" w:right="37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Shareholder proposals</w:t>
      </w:r>
    </w:p>
    <w:p>
      <w:pPr>
        <w:sectPr>
          <w:pgSz w:w="11900" w:h="16838" w:orient="portrait"/>
          <w:cols w:equalWidth="0" w:num="1">
            <w:col w:w="11120"/>
          </w:cols>
          <w:pgMar w:left="400" w:top="1440" w:right="379" w:bottom="1440" w:gutter="0" w:footer="0" w:header="0"/>
          <w:type w:val="continuous"/>
        </w:sectPr>
      </w:pPr>
    </w:p>
    <w:p>
      <w:pPr>
        <w:spacing w:after="0" w:line="32"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17"/>
          <w:szCs w:val="17"/>
          <w:color w:val="auto"/>
        </w:rPr>
        <w:t>A shareholder of a Delaware corporation has the right to put any proposal before the annual meeting of shareholders, provided it complies with the</w:t>
      </w:r>
    </w:p>
    <w:p>
      <w:pPr>
        <w:spacing w:after="0" w:line="206" w:lineRule="auto"/>
        <w:rPr>
          <w:sz w:val="20"/>
          <w:szCs w:val="20"/>
          <w:color w:val="auto"/>
        </w:rPr>
      </w:pPr>
      <w:r>
        <w:rPr>
          <w:rFonts w:ascii="Times New Roman" w:cs="Times New Roman" w:eastAsia="Times New Roman" w:hAnsi="Times New Roman"/>
          <w:sz w:val="18"/>
          <w:szCs w:val="18"/>
          <w:color w:val="auto"/>
        </w:rPr>
        <w:t>notice provisions in the governing documents. A special meeting may be called by the board of directors or any other person authorized to do so in the governing documents, but shareholders may be precluded from calling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meetings.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At any general meeting of shareholders, any shareholder may put proposals to the meeting if the proposal is part of an agenda item. No resolution may be taken on proposals relating to the agenda items that were not duly notified.</w:t>
      </w:r>
    </w:p>
    <w:p>
      <w:pPr>
        <w:spacing w:after="0" w:line="75"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18"/>
          <w:szCs w:val="18"/>
          <w:color w:val="auto"/>
        </w:rPr>
        <w:t>Unless the articles of incorporation provide for a lower threshold or for additional shareholders’ rights:</w:t>
      </w:r>
    </w:p>
    <w:p>
      <w:pPr>
        <w:spacing w:after="0" w:line="43" w:lineRule="exact"/>
        <w:rPr>
          <w:sz w:val="20"/>
          <w:szCs w:val="20"/>
          <w:color w:val="auto"/>
        </w:rPr>
      </w:pPr>
    </w:p>
    <w:p>
      <w:pPr>
        <w:jc w:val="both"/>
        <w:ind w:left="340" w:right="320" w:hanging="225"/>
        <w:spacing w:after="0" w:line="244" w:lineRule="auto"/>
        <w:tabs>
          <w:tab w:leader="none" w:pos="33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shareholders together representing at least 5% of the share capital or voting rights may demand that a general meeting of shareholders be called for specific agenda items and specific proposals; and</w:t>
      </w:r>
    </w:p>
    <w:p>
      <w:pPr>
        <w:spacing w:after="0" w:line="44" w:lineRule="exact"/>
        <w:rPr>
          <w:rFonts w:ascii="Times New Roman" w:cs="Times New Roman" w:eastAsia="Times New Roman" w:hAnsi="Times New Roman"/>
          <w:sz w:val="17"/>
          <w:szCs w:val="17"/>
          <w:color w:val="auto"/>
        </w:rPr>
      </w:pPr>
    </w:p>
    <w:p>
      <w:pPr>
        <w:ind w:left="340" w:right="100" w:hanging="225"/>
        <w:spacing w:after="0" w:line="217"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together representing shares with a par value of at least 0.5% of the share capital or the voting rights may demand that an agenda item including a specific proposal, or a proposal with respect to an existing agenda item, be put on the agenda for a scheduled general meeting of shareholders, provided such request is made with appropriate lead time.</w:t>
      </w:r>
    </w:p>
    <w:p>
      <w:pPr>
        <w:spacing w:after="0" w:line="66"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color w:val="auto"/>
        </w:rPr>
        <w:t>Any shareholder can propose candidates for election as directors or make other proposals within the scope of an agenda item without prior written notice.</w:t>
      </w:r>
    </w:p>
    <w:p>
      <w:pPr>
        <w:spacing w:after="0" w:line="70"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color w:val="auto"/>
        </w:rPr>
        <w:t>Any shareholder can propose candidates for election as directors or make other proposals within the scope of an agenda item without prior written notice.</w:t>
      </w:r>
    </w:p>
    <w:p>
      <w:pPr>
        <w:spacing w:after="0" w:line="106" w:lineRule="exact"/>
        <w:rPr>
          <w:sz w:val="20"/>
          <w:szCs w:val="20"/>
          <w:color w:val="auto"/>
        </w:rPr>
      </w:pPr>
    </w:p>
    <w:p>
      <w:pPr>
        <w:sectPr>
          <w:pgSz w:w="11900" w:h="16838" w:orient="portrait"/>
          <w:cols w:equalWidth="0" w:num="2">
            <w:col w:w="5480" w:space="120"/>
            <w:col w:w="5520"/>
          </w:cols>
          <w:pgMar w:left="400" w:top="1440" w:right="37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Cumulative voting</w:t>
      </w:r>
    </w:p>
    <w:p>
      <w:pPr>
        <w:sectPr>
          <w:pgSz w:w="11900" w:h="16838" w:orient="portrait"/>
          <w:cols w:equalWidth="0" w:num="1">
            <w:col w:w="11120"/>
          </w:cols>
          <w:pgMar w:left="400" w:top="1440" w:right="379" w:bottom="1440" w:gutter="0" w:footer="0" w:header="0"/>
          <w:type w:val="continuous"/>
        </w:sectPr>
      </w:pPr>
    </w:p>
    <w:p>
      <w:pPr>
        <w:spacing w:after="0" w:line="4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7"/>
          <w:szCs w:val="17"/>
          <w:color w:val="auto"/>
        </w:rPr>
        <w:t>Under the Delaware General Corporation Law, cumulative voting for elections of directors is not permitted unless the corporation’s certificate of</w:t>
      </w:r>
    </w:p>
    <w:p>
      <w:pPr>
        <w:spacing w:after="0"/>
        <w:rPr>
          <w:sz w:val="20"/>
          <w:szCs w:val="20"/>
          <w:color w:val="auto"/>
        </w:rPr>
      </w:pPr>
      <w:r>
        <w:rPr>
          <w:rFonts w:ascii="Times New Roman" w:cs="Times New Roman" w:eastAsia="Times New Roman" w:hAnsi="Times New Roman"/>
          <w:sz w:val="18"/>
          <w:szCs w:val="18"/>
          <w:color w:val="auto"/>
        </w:rPr>
        <w:t>incorporation provides for it.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17"/>
          <w:szCs w:val="17"/>
          <w:color w:val="auto"/>
        </w:rPr>
        <w:t>Cumulative voting is not permitted under Swiss corporate law. Pursuant to Swiss law, shareholders can vote for each proposed candidate, but they are</w:t>
      </w:r>
    </w:p>
    <w:p>
      <w:pPr>
        <w:ind w:right="120"/>
        <w:spacing w:after="0" w:line="218" w:lineRule="auto"/>
        <w:rPr>
          <w:sz w:val="20"/>
          <w:szCs w:val="20"/>
          <w:color w:val="auto"/>
        </w:rPr>
      </w:pPr>
      <w:r>
        <w:rPr>
          <w:rFonts w:ascii="Times New Roman" w:cs="Times New Roman" w:eastAsia="Times New Roman" w:hAnsi="Times New Roman"/>
          <w:sz w:val="17"/>
          <w:szCs w:val="17"/>
          <w:color w:val="auto"/>
        </w:rPr>
        <w:t>not allowed to cumulate their votes for single candidates. An annual individual election of (i) all members of the board of directors, (ii) the chairperson of the board of directors, (iii) the members of the compensation</w:t>
      </w:r>
    </w:p>
    <w:p>
      <w:pPr>
        <w:spacing w:after="0" w:line="203" w:lineRule="auto"/>
        <w:rPr>
          <w:sz w:val="20"/>
          <w:szCs w:val="20"/>
          <w:color w:val="auto"/>
        </w:rPr>
      </w:pPr>
      <w:r>
        <w:rPr>
          <w:rFonts w:ascii="Times New Roman" w:cs="Times New Roman" w:eastAsia="Times New Roman" w:hAnsi="Times New Roman"/>
          <w:sz w:val="18"/>
          <w:szCs w:val="18"/>
          <w:color w:val="auto"/>
        </w:rPr>
        <w:t>committee, (iv) the election of the independent proxy for a term of office of</w:t>
      </w:r>
    </w:p>
    <w:p>
      <w:pPr>
        <w:spacing w:after="0" w:line="201" w:lineRule="auto"/>
        <w:rPr>
          <w:sz w:val="20"/>
          <w:szCs w:val="20"/>
          <w:color w:val="auto"/>
        </w:rPr>
      </w:pPr>
      <w:r>
        <w:rPr>
          <w:rFonts w:ascii="Times New Roman" w:cs="Times New Roman" w:eastAsia="Times New Roman" w:hAnsi="Times New Roman"/>
          <w:sz w:val="18"/>
          <w:szCs w:val="18"/>
          <w:color w:val="auto"/>
        </w:rPr>
        <w:t>one year (i.e., until the following ordinary general meeting of shareholders),</w:t>
      </w:r>
    </w:p>
    <w:p>
      <w:pPr>
        <w:spacing w:after="0" w:line="230" w:lineRule="auto"/>
        <w:rPr>
          <w:sz w:val="20"/>
          <w:szCs w:val="20"/>
          <w:color w:val="auto"/>
        </w:rPr>
      </w:pPr>
      <w:r>
        <w:rPr>
          <w:rFonts w:ascii="Times New Roman" w:cs="Times New Roman" w:eastAsia="Times New Roman" w:hAnsi="Times New Roman"/>
          <w:sz w:val="17"/>
          <w:szCs w:val="17"/>
          <w:color w:val="auto"/>
        </w:rPr>
        <w:t>as well as the vote on the aggregate amount of compensation of the members</w:t>
      </w:r>
    </w:p>
    <w:p>
      <w:pPr>
        <w:ind w:right="120"/>
        <w:spacing w:after="0" w:line="216" w:lineRule="auto"/>
        <w:rPr>
          <w:sz w:val="20"/>
          <w:szCs w:val="20"/>
          <w:color w:val="auto"/>
        </w:rPr>
      </w:pPr>
      <w:r>
        <w:rPr>
          <w:rFonts w:ascii="Times New Roman" w:cs="Times New Roman" w:eastAsia="Times New Roman" w:hAnsi="Times New Roman"/>
          <w:sz w:val="18"/>
          <w:szCs w:val="18"/>
          <w:color w:val="auto"/>
        </w:rPr>
        <w:t>of the board of directors, of the executive committee and of the members of any advisory board, is mandatory for listed companies. Re-election is permitted.</w:t>
      </w:r>
    </w:p>
    <w:p>
      <w:pPr>
        <w:spacing w:after="0" w:line="200" w:lineRule="exact"/>
        <w:rPr>
          <w:sz w:val="20"/>
          <w:szCs w:val="20"/>
          <w:color w:val="auto"/>
        </w:rPr>
      </w:pPr>
    </w:p>
    <w:p>
      <w:pPr>
        <w:sectPr>
          <w:pgSz w:w="11900" w:h="16838" w:orient="portrait"/>
          <w:cols w:equalWidth="0" w:num="2">
            <w:col w:w="5340" w:space="260"/>
            <w:col w:w="5520"/>
          </w:cols>
          <w:pgMar w:left="40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400" w:top="1440" w:right="379" w:bottom="1440" w:gutter="0" w:footer="0" w:header="0"/>
          <w:type w:val="continuous"/>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Removal of directors</w:t>
      </w:r>
    </w:p>
    <w:p>
      <w:pPr>
        <w:sectPr>
          <w:pgSz w:w="11900" w:h="16838" w:orient="portrait"/>
          <w:cols w:equalWidth="0" w:num="1">
            <w:col w:w="11100"/>
          </w:cols>
          <w:pgMar w:left="400" w:top="1440" w:right="399" w:bottom="1440" w:gutter="0" w:footer="0" w:header="0"/>
        </w:sectPr>
      </w:pPr>
    </w:p>
    <w:p>
      <w:pPr>
        <w:spacing w:after="0" w:line="4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7"/>
          <w:szCs w:val="17"/>
          <w:color w:val="auto"/>
        </w:rPr>
        <w:t>A director of a Delaware corporation with a classified board may be removed only for cause with the approval of a majority of the outstanding shares</w:t>
      </w:r>
    </w:p>
    <w:p>
      <w:pPr>
        <w:spacing w:after="0"/>
        <w:rPr>
          <w:sz w:val="20"/>
          <w:szCs w:val="20"/>
          <w:color w:val="auto"/>
        </w:rPr>
      </w:pPr>
      <w:r>
        <w:rPr>
          <w:rFonts w:ascii="Times New Roman" w:cs="Times New Roman" w:eastAsia="Times New Roman" w:hAnsi="Times New Roman"/>
          <w:sz w:val="18"/>
          <w:szCs w:val="18"/>
          <w:color w:val="auto"/>
        </w:rPr>
        <w:t>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7"/>
          <w:szCs w:val="17"/>
          <w:color w:val="auto"/>
        </w:rPr>
        <w:t>A Swiss corporation may remove, with or without cause, any director at any time with a resolution passed by a majority of the shares represented at a</w:t>
      </w:r>
    </w:p>
    <w:p>
      <w:pPr>
        <w:spacing w:after="0" w:line="216" w:lineRule="auto"/>
        <w:rPr>
          <w:sz w:val="20"/>
          <w:szCs w:val="20"/>
          <w:color w:val="auto"/>
        </w:rPr>
      </w:pPr>
      <w:r>
        <w:rPr>
          <w:rFonts w:ascii="Times New Roman" w:cs="Times New Roman" w:eastAsia="Times New Roman" w:hAnsi="Times New Roman"/>
          <w:sz w:val="18"/>
          <w:szCs w:val="18"/>
          <w:color w:val="auto"/>
        </w:rPr>
        <w:t>general meeting of shareholders. The articles of incorporation may require the approval by a supermajority of the shares represented at a meeting for the removal of a director.</w:t>
      </w:r>
    </w:p>
    <w:p>
      <w:pPr>
        <w:spacing w:after="0" w:line="5" w:lineRule="exact"/>
        <w:rPr>
          <w:sz w:val="20"/>
          <w:szCs w:val="20"/>
          <w:color w:val="auto"/>
        </w:rPr>
      </w:pPr>
    </w:p>
    <w:p>
      <w:pPr>
        <w:sectPr>
          <w:pgSz w:w="11900" w:h="16838" w:orient="portrait"/>
          <w:cols w:equalWidth="0" w:num="2">
            <w:col w:w="5520" w:space="80"/>
            <w:col w:w="5500"/>
          </w:cols>
          <w:pgMar w:left="400" w:top="1440" w:right="3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Transactions with interested shareholders</w:t>
      </w:r>
    </w:p>
    <w:p>
      <w:pPr>
        <w:spacing w:after="0" w:line="11"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color w:val="auto"/>
        </w:rPr>
        <w:t>The Delaware General Corporation Law generally prohibits a Delaware</w:t>
      </w:r>
      <w:r>
        <w:rPr>
          <w:sz w:val="20"/>
          <w:szCs w:val="20"/>
          <w:color w:val="auto"/>
        </w:rPr>
        <w:tab/>
      </w:r>
      <w:r>
        <w:rPr>
          <w:rFonts w:ascii="Times New Roman" w:cs="Times New Roman" w:eastAsia="Times New Roman" w:hAnsi="Times New Roman"/>
          <w:sz w:val="17"/>
          <w:szCs w:val="17"/>
          <w:color w:val="auto"/>
        </w:rPr>
        <w:t>No such rule applies to a Swiss corporation.</w:t>
      </w:r>
    </w:p>
    <w:p>
      <w:pPr>
        <w:spacing w:after="0" w:line="216" w:lineRule="auto"/>
        <w:rPr>
          <w:sz w:val="20"/>
          <w:szCs w:val="20"/>
          <w:color w:val="auto"/>
        </w:rPr>
      </w:pPr>
      <w:r>
        <w:rPr>
          <w:rFonts w:ascii="Times New Roman" w:cs="Times New Roman" w:eastAsia="Times New Roman" w:hAnsi="Times New Roman"/>
          <w:sz w:val="18"/>
          <w:szCs w:val="18"/>
          <w:color w:val="auto"/>
        </w:rPr>
        <w:t>corporation from engaging in certain business combinations with an</w:t>
      </w:r>
    </w:p>
    <w:p>
      <w:pPr>
        <w:spacing w:after="0" w:line="202" w:lineRule="auto"/>
        <w:rPr>
          <w:sz w:val="20"/>
          <w:szCs w:val="20"/>
          <w:color w:val="auto"/>
        </w:rPr>
      </w:pPr>
      <w:r>
        <w:rPr>
          <w:rFonts w:ascii="Times New Roman" w:cs="Times New Roman" w:eastAsia="Times New Roman" w:hAnsi="Times New Roman"/>
          <w:sz w:val="18"/>
          <w:szCs w:val="18"/>
          <w:color w:val="auto"/>
        </w:rPr>
        <w:t>“interested shareholder” for three years following the date that such person</w:t>
      </w:r>
    </w:p>
    <w:p>
      <w:pPr>
        <w:spacing w:after="0" w:line="201" w:lineRule="auto"/>
        <w:rPr>
          <w:sz w:val="20"/>
          <w:szCs w:val="20"/>
          <w:color w:val="auto"/>
        </w:rPr>
      </w:pPr>
      <w:r>
        <w:rPr>
          <w:rFonts w:ascii="Times New Roman" w:cs="Times New Roman" w:eastAsia="Times New Roman" w:hAnsi="Times New Roman"/>
          <w:sz w:val="18"/>
          <w:szCs w:val="18"/>
          <w:color w:val="auto"/>
        </w:rPr>
        <w:t>becomes an interested shareholder. An interested shareholder generally is a</w:t>
      </w:r>
    </w:p>
    <w:p>
      <w:pPr>
        <w:spacing w:after="0" w:line="217" w:lineRule="auto"/>
        <w:rPr>
          <w:sz w:val="20"/>
          <w:szCs w:val="20"/>
          <w:color w:val="auto"/>
        </w:rPr>
      </w:pPr>
      <w:r>
        <w:rPr>
          <w:rFonts w:ascii="Times New Roman" w:cs="Times New Roman" w:eastAsia="Times New Roman" w:hAnsi="Times New Roman"/>
          <w:sz w:val="18"/>
          <w:szCs w:val="18"/>
          <w:color w:val="auto"/>
        </w:rPr>
        <w:t>person or group who or which owns or owned 15.0% or more of the</w:t>
      </w:r>
    </w:p>
    <w:p>
      <w:pPr>
        <w:spacing w:after="0"/>
        <w:rPr>
          <w:sz w:val="20"/>
          <w:szCs w:val="20"/>
          <w:color w:val="auto"/>
        </w:rPr>
      </w:pPr>
      <w:r>
        <w:rPr>
          <w:rFonts w:ascii="Times New Roman" w:cs="Times New Roman" w:eastAsia="Times New Roman" w:hAnsi="Times New Roman"/>
          <w:sz w:val="18"/>
          <w:szCs w:val="18"/>
          <w:color w:val="auto"/>
        </w:rPr>
        <w:t>corporation’s outstanding voting shares within the past three years.</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Dissolution; winding up</w:t>
      </w:r>
    </w:p>
    <w:p>
      <w:pPr>
        <w:sectPr>
          <w:pgSz w:w="11900" w:h="16838" w:orient="portrait"/>
          <w:cols w:equalWidth="0" w:num="1">
            <w:col w:w="11100"/>
          </w:cols>
          <w:pgMar w:left="400" w:top="1440" w:right="399" w:bottom="1440" w:gutter="0" w:footer="0" w:header="0"/>
          <w:type w:val="continuous"/>
        </w:sectPr>
      </w:pPr>
    </w:p>
    <w:p>
      <w:pPr>
        <w:spacing w:after="0" w:line="20"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7"/>
          <w:szCs w:val="17"/>
          <w:color w:val="auto"/>
        </w:rPr>
        <w:t>Unless the board of directors of a Delaware corporation approves the proposal to dissolve, dissolution must be approved by shareholders holding</w:t>
      </w:r>
    </w:p>
    <w:p>
      <w:pPr>
        <w:jc w:val="both"/>
        <w:spacing w:after="0" w:line="218" w:lineRule="auto"/>
        <w:rPr>
          <w:sz w:val="20"/>
          <w:szCs w:val="20"/>
          <w:color w:val="auto"/>
        </w:rPr>
      </w:pPr>
      <w:r>
        <w:rPr>
          <w:rFonts w:ascii="Times New Roman" w:cs="Times New Roman" w:eastAsia="Times New Roman" w:hAnsi="Times New Roman"/>
          <w:sz w:val="17"/>
          <w:szCs w:val="17"/>
          <w:color w:val="auto"/>
        </w:rPr>
        <w:t>100.0% of the total voting power of the corporation. Only if the dissolution is initiated by the board of directors may it be approved by a simple majority of the corporation’s outstanding shares. Delaware law allows a Delaware</w:t>
      </w:r>
    </w:p>
    <w:p>
      <w:pPr>
        <w:spacing w:after="0" w:line="2"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7"/>
          <w:szCs w:val="17"/>
          <w:color w:val="auto"/>
        </w:rPr>
        <w:t>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ind w:right="160"/>
        <w:spacing w:after="0" w:line="217" w:lineRule="auto"/>
        <w:rPr>
          <w:sz w:val="20"/>
          <w:szCs w:val="20"/>
          <w:color w:val="auto"/>
        </w:rPr>
      </w:pPr>
      <w:r>
        <w:rPr>
          <w:rFonts w:ascii="Times New Roman" w:cs="Times New Roman" w:eastAsia="Times New Roman" w:hAnsi="Times New Roman"/>
          <w:sz w:val="18"/>
          <w:szCs w:val="18"/>
          <w:color w:val="auto"/>
        </w:rPr>
        <w:t>A dissolution of a Swiss corporation requires the approval by two-thirds of the voting rights represented at the respective general meeting of</w:t>
      </w:r>
    </w:p>
    <w:p>
      <w:pPr>
        <w:spacing w:after="0" w:line="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shareholders as well as the majority of the par value of shares represented at such general meeting of shareholders. The articles of incorporation may increase the voting thresholds required for such a resolution.</w:t>
      </w:r>
    </w:p>
    <w:p>
      <w:pPr>
        <w:spacing w:after="0" w:line="362" w:lineRule="exact"/>
        <w:rPr>
          <w:sz w:val="20"/>
          <w:szCs w:val="20"/>
          <w:color w:val="auto"/>
        </w:rPr>
      </w:pPr>
    </w:p>
    <w:p>
      <w:pPr>
        <w:sectPr>
          <w:pgSz w:w="11900" w:h="16838" w:orient="portrait"/>
          <w:cols w:equalWidth="0" w:num="2">
            <w:col w:w="5520" w:space="80"/>
            <w:col w:w="5500"/>
          </w:cols>
          <w:pgMar w:left="400" w:top="1440" w:right="3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Variation of rights of shares</w:t>
      </w:r>
    </w:p>
    <w:p>
      <w:pPr>
        <w:sectPr>
          <w:pgSz w:w="11900" w:h="16838" w:orient="portrait"/>
          <w:cols w:equalWidth="0" w:num="1">
            <w:col w:w="11100"/>
          </w:cols>
          <w:pgMar w:left="400" w:top="1440" w:right="399" w:bottom="1440" w:gutter="0" w:footer="0" w:header="0"/>
          <w:type w:val="continuous"/>
        </w:sectPr>
      </w:pPr>
    </w:p>
    <w:p>
      <w:pPr>
        <w:spacing w:after="0" w:line="3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7"/>
          <w:szCs w:val="17"/>
          <w:color w:val="auto"/>
        </w:rPr>
        <w:t>A Delaware corporation may vary the rights of a class of shares with the approval of a majority of the outstanding shares of such class, unless the</w:t>
      </w:r>
    </w:p>
    <w:p>
      <w:pPr>
        <w:spacing w:after="0"/>
        <w:rPr>
          <w:sz w:val="20"/>
          <w:szCs w:val="20"/>
          <w:color w:val="auto"/>
        </w:rPr>
      </w:pPr>
      <w:r>
        <w:rPr>
          <w:rFonts w:ascii="Times New Roman" w:cs="Times New Roman" w:eastAsia="Times New Roman" w:hAnsi="Times New Roman"/>
          <w:sz w:val="18"/>
          <w:szCs w:val="18"/>
          <w:color w:val="auto"/>
        </w:rPr>
        <w:t>certificate of incorporation provides otherwise.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general meeting of shareholders of a Swiss corporation may resolve that preference shares be issued or that existing shares be converted into preference shares with a resolution passed by a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incorporation.</w:t>
      </w:r>
    </w:p>
    <w:p>
      <w:pPr>
        <w:spacing w:after="0" w:line="8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Shares with preferential voting rights are not regarded as preference shares for these purposes.</w:t>
      </w:r>
    </w:p>
    <w:p>
      <w:pPr>
        <w:spacing w:after="0" w:line="93" w:lineRule="exact"/>
        <w:rPr>
          <w:sz w:val="20"/>
          <w:szCs w:val="20"/>
          <w:color w:val="auto"/>
        </w:rPr>
      </w:pPr>
    </w:p>
    <w:p>
      <w:pPr>
        <w:sectPr>
          <w:pgSz w:w="11900" w:h="16838" w:orient="portrait"/>
          <w:cols w:equalWidth="0" w:num="2">
            <w:col w:w="5160" w:space="440"/>
            <w:col w:w="5500"/>
          </w:cols>
          <w:pgMar w:left="400" w:top="1440" w:right="3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Amendment of governing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400" w:top="1440" w:right="399" w:bottom="1440" w:gutter="0" w:footer="0" w:header="0"/>
          <w:type w:val="continuous"/>
        </w:sectPr>
      </w:pPr>
    </w:p>
    <w:bookmarkStart w:id="34" w:name="page35"/>
    <w:bookmarkEnd w:id="34"/>
    <w:p>
      <w:pPr>
        <w:spacing w:after="0" w:line="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7"/>
          <w:szCs w:val="17"/>
          <w:color w:val="auto"/>
        </w:rPr>
        <w:t>A Delaware corporation’s governing documents may be amended with the approval of a majority of the outstanding shares entitled to vote, unless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provides otherwise.</w:t>
      </w:r>
    </w:p>
    <w:p>
      <w:pPr>
        <w:spacing w:after="0" w:line="20" w:lineRule="exact"/>
        <w:rPr>
          <w:sz w:val="20"/>
          <w:szCs w:val="20"/>
          <w:color w:val="auto"/>
        </w:rPr>
      </w:pPr>
      <w:r>
        <w:rPr>
          <w:sz w:val="20"/>
          <w:szCs w:val="20"/>
          <w:color w:val="auto"/>
        </w:rPr>
        <w:br w:type="column"/>
      </w:r>
    </w:p>
    <w:p>
      <w:pPr>
        <w:ind w:right="40"/>
        <w:spacing w:after="0" w:line="257" w:lineRule="auto"/>
        <w:rPr>
          <w:sz w:val="20"/>
          <w:szCs w:val="20"/>
          <w:color w:val="auto"/>
        </w:rPr>
      </w:pPr>
      <w:r>
        <w:rPr>
          <w:rFonts w:ascii="Times New Roman" w:cs="Times New Roman" w:eastAsia="Times New Roman" w:hAnsi="Times New Roman"/>
          <w:sz w:val="18"/>
          <w:szCs w:val="18"/>
          <w:color w:val="auto"/>
        </w:rPr>
        <w:t>The articles of incorporation of a Swiss corporation may be amended with a resolution passed by a majority of the shares represented at a general meeting of shareholders, unless otherwise provided in the articles of incorporation.</w:t>
      </w:r>
    </w:p>
    <w:p>
      <w:pPr>
        <w:spacing w:after="0" w:line="7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There are a number of resolutions, such as an amendment of the stated purpose of the corporation, the introduction of a capital range and conditional capital and the introduction of shares with preferential voting rights that require the approval by two-thirds of the votes and a majority of the par value of the shares represented at such general meeting of shareholders. The articles of incorporation may increase these voting thresholds.</w:t>
      </w:r>
    </w:p>
    <w:p>
      <w:pPr>
        <w:spacing w:after="0" w:line="118" w:lineRule="exact"/>
        <w:rPr>
          <w:sz w:val="20"/>
          <w:szCs w:val="20"/>
          <w:color w:val="auto"/>
        </w:rPr>
      </w:pPr>
    </w:p>
    <w:p>
      <w:pPr>
        <w:sectPr>
          <w:pgSz w:w="11900" w:h="16838" w:orient="portrait"/>
          <w:cols w:equalWidth="0" w:num="2">
            <w:col w:w="5300" w:space="300"/>
            <w:col w:w="5460"/>
          </w:cols>
          <w:pgMar w:left="400" w:top="1440" w:right="439" w:bottom="1440" w:gutter="0" w:footer="0" w:header="0"/>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Inspection of books and records</w:t>
      </w:r>
    </w:p>
    <w:p>
      <w:pPr>
        <w:sectPr>
          <w:pgSz w:w="11900" w:h="16838" w:orient="portrait"/>
          <w:cols w:equalWidth="0" w:num="1">
            <w:col w:w="11060"/>
          </w:cols>
          <w:pgMar w:left="400" w:top="1440" w:right="439" w:bottom="1440" w:gutter="0" w:footer="0" w:header="0"/>
          <w:type w:val="continuous"/>
        </w:sectPr>
      </w:pPr>
    </w:p>
    <w:p>
      <w:pPr>
        <w:spacing w:after="0" w:line="4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7"/>
          <w:szCs w:val="17"/>
          <w:color w:val="auto"/>
        </w:rPr>
        <w:t>Shareholders of a Delaware corporation, upon written demand under oath stating the purpose thereof, have the right during the usual hours for business</w:t>
      </w:r>
    </w:p>
    <w:p>
      <w:pPr>
        <w:ind w:right="140"/>
        <w:spacing w:after="0" w:line="218" w:lineRule="auto"/>
        <w:rPr>
          <w:sz w:val="20"/>
          <w:szCs w:val="20"/>
          <w:color w:val="auto"/>
        </w:rPr>
      </w:pPr>
      <w:r>
        <w:rPr>
          <w:rFonts w:ascii="Times New Roman" w:cs="Times New Roman" w:eastAsia="Times New Roman" w:hAnsi="Times New Roman"/>
          <w:sz w:val="17"/>
          <w:szCs w:val="17"/>
          <w:color w:val="auto"/>
        </w:rPr>
        <w:t>to inspect for any proper purpose, and to obtain copies of list(s) of shareholders and other books and records of the corporation and its subsidiaries, if any, to the extent the books and records of such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available to the corporation.</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Shareholders of a Swiss corporation holding in the aggregate at least 5% of the nominal share capital or voting rights have the right to inspect books and records, subject to the safeguarding of the company’s business secrets and other interests warranting protection. A shareholder is only entitled to receive information to the extent required to exercise his or her rights as a shareholder. The board of directors has to decide on an inspection request within four months after receipt of such request. Denial of the request will need to be justified in writing. If the board of directors denies an inspection request, shareholders may request the order of an inspection by the court within 30 days.</w:t>
      </w:r>
    </w:p>
    <w:p>
      <w:pPr>
        <w:spacing w:after="0" w:line="79"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A shareholder’s right to inspect the share register is limited to the right to inspect his or her own entry in the share register.</w:t>
      </w:r>
    </w:p>
    <w:p>
      <w:pPr>
        <w:spacing w:after="0" w:line="93" w:lineRule="exact"/>
        <w:rPr>
          <w:sz w:val="20"/>
          <w:szCs w:val="20"/>
          <w:color w:val="auto"/>
        </w:rPr>
      </w:pPr>
    </w:p>
    <w:p>
      <w:pPr>
        <w:sectPr>
          <w:pgSz w:w="11900" w:h="16838" w:orient="portrait"/>
          <w:cols w:equalWidth="0" w:num="2">
            <w:col w:w="5480" w:space="120"/>
            <w:col w:w="5460"/>
          </w:cols>
          <w:pgMar w:left="400" w:top="1440" w:right="4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Payment of dividends</w:t>
      </w:r>
    </w:p>
    <w:p>
      <w:pPr>
        <w:sectPr>
          <w:pgSz w:w="11900" w:h="16838" w:orient="portrait"/>
          <w:cols w:equalWidth="0" w:num="1">
            <w:col w:w="11060"/>
          </w:cols>
          <w:pgMar w:left="400" w:top="1440" w:right="439" w:bottom="1440" w:gutter="0" w:footer="0" w:header="0"/>
          <w:type w:val="continuous"/>
        </w:sectPr>
      </w:pPr>
    </w:p>
    <w:p>
      <w:pPr>
        <w:spacing w:after="0" w:line="4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62" w:lineRule="exact"/>
        <w:rPr>
          <w:sz w:val="20"/>
          <w:szCs w:val="20"/>
          <w:color w:val="auto"/>
        </w:rPr>
      </w:pPr>
    </w:p>
    <w:p>
      <w:pPr>
        <w:ind w:left="320" w:hanging="215"/>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or</w:t>
      </w:r>
    </w:p>
    <w:p>
      <w:pPr>
        <w:spacing w:after="0" w:line="73" w:lineRule="exact"/>
        <w:rPr>
          <w:rFonts w:ascii="Times New Roman" w:cs="Times New Roman" w:eastAsia="Times New Roman" w:hAnsi="Times New Roman"/>
          <w:sz w:val="18"/>
          <w:szCs w:val="18"/>
          <w:color w:val="auto"/>
        </w:rPr>
      </w:pPr>
    </w:p>
    <w:p>
      <w:pPr>
        <w:ind w:left="340" w:right="20" w:hanging="235"/>
        <w:spacing w:after="0" w:line="275" w:lineRule="auto"/>
        <w:tabs>
          <w:tab w:leader="none" w:pos="33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there is no such surplus, out of its net profits for the fiscal year in which the dividend is declared and/or the preceding fiscal year.</w:t>
      </w:r>
    </w:p>
    <w:p>
      <w:pPr>
        <w:spacing w:after="0" w:line="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Shareholder approval is required to authorize capital stock in excess of that provided in the charter. Directors may issue authorized shares without shareholder approval.</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Dividend (including interim dividend) payments are subject to the approval of the general meeting of shareholders. The board of directors may propose to shareholders that a dividend shall be paid but cannot itself authorize the distribution.</w:t>
      </w:r>
    </w:p>
    <w:p>
      <w:pPr>
        <w:spacing w:after="0" w:line="7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Payments out of a corporation’s share capital (in other words, the aggregate par value of the corporation’s shares) in the form of dividends are not allowed and may be made only by way of a share capital reduction. Dividends may be paid only from the profits of the previous or current business year or brought forward from previous business years or if the corporation has distributable reserves, each as evidenced by the corporation’s audited stand-alone statutory balance sheet prepared pursuant to Swiss law and after allocations to reserves required by Swiss law and the articles of incorporation have been deducted.</w:t>
      </w:r>
    </w:p>
    <w:p>
      <w:pPr>
        <w:spacing w:after="0" w:line="200" w:lineRule="exact"/>
        <w:rPr>
          <w:sz w:val="20"/>
          <w:szCs w:val="20"/>
          <w:color w:val="auto"/>
        </w:rPr>
      </w:pPr>
    </w:p>
    <w:p>
      <w:pPr>
        <w:sectPr>
          <w:pgSz w:w="11900" w:h="16838" w:orient="portrait"/>
          <w:cols w:equalWidth="0" w:num="2">
            <w:col w:w="5340" w:space="260"/>
            <w:col w:w="5460"/>
          </w:cols>
          <w:pgMar w:left="400" w:top="144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400" w:top="1440" w:right="4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Creation and issuance of new shares</w:t>
      </w:r>
    </w:p>
    <w:p>
      <w:pPr>
        <w:sectPr>
          <w:pgSz w:w="11900" w:h="16838" w:orient="portrait"/>
          <w:cols w:equalWidth="0" w:num="1">
            <w:col w:w="11240"/>
          </w:cols>
          <w:pgMar w:left="320" w:top="1440" w:right="339" w:bottom="1440" w:gutter="0" w:footer="0" w:header="0"/>
        </w:sectPr>
      </w:pPr>
    </w:p>
    <w:p>
      <w:pPr>
        <w:spacing w:after="0" w:line="41" w:lineRule="exact"/>
        <w:rPr>
          <w:sz w:val="20"/>
          <w:szCs w:val="20"/>
          <w:color w:val="auto"/>
        </w:rPr>
      </w:pPr>
    </w:p>
    <w:p>
      <w:pPr>
        <w:ind w:left="80"/>
        <w:spacing w:after="0" w:line="230" w:lineRule="auto"/>
        <w:rPr>
          <w:sz w:val="20"/>
          <w:szCs w:val="20"/>
          <w:color w:val="auto"/>
        </w:rPr>
      </w:pPr>
      <w:r>
        <w:rPr>
          <w:rFonts w:ascii="Times New Roman" w:cs="Times New Roman" w:eastAsia="Times New Roman" w:hAnsi="Times New Roman"/>
          <w:sz w:val="17"/>
          <w:szCs w:val="17"/>
          <w:color w:val="auto"/>
        </w:rPr>
        <w:t>All creation of shares require the board of directors to adopt a resolution or resolutions, pursuant to authority expressly vested in the board of directors</w:t>
      </w:r>
    </w:p>
    <w:p>
      <w:pPr>
        <w:ind w:left="80"/>
        <w:spacing w:after="0"/>
        <w:rPr>
          <w:sz w:val="20"/>
          <w:szCs w:val="20"/>
          <w:color w:val="auto"/>
        </w:rPr>
      </w:pPr>
      <w:r>
        <w:rPr>
          <w:rFonts w:ascii="Times New Roman" w:cs="Times New Roman" w:eastAsia="Times New Roman" w:hAnsi="Times New Roman"/>
          <w:sz w:val="18"/>
          <w:szCs w:val="18"/>
          <w:color w:val="auto"/>
        </w:rPr>
        <w:t>by the provisions of the company’s certificate of incorporation.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17"/>
          <w:szCs w:val="17"/>
          <w:color w:val="auto"/>
        </w:rPr>
        <w:t>All creation of shares require a shareholders’ resolution. The creation of a capital range or conditional share capital requires at least two-thirds of the</w:t>
      </w:r>
    </w:p>
    <w:p>
      <w:pPr>
        <w:ind w:right="80"/>
        <w:spacing w:after="0" w:line="218" w:lineRule="auto"/>
        <w:rPr>
          <w:sz w:val="20"/>
          <w:szCs w:val="20"/>
          <w:color w:val="auto"/>
        </w:rPr>
      </w:pPr>
      <w:r>
        <w:rPr>
          <w:rFonts w:ascii="Times New Roman" w:cs="Times New Roman" w:eastAsia="Times New Roman" w:hAnsi="Times New Roman"/>
          <w:sz w:val="17"/>
          <w:szCs w:val="17"/>
          <w:color w:val="auto"/>
        </w:rPr>
        <w:t>voting rights represented at the general meeting of shareholders and a majority of the par value of shares represented at such meeting. The board of directors may issue or cancel shares out of the capital range during a period</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7"/>
          <w:szCs w:val="17"/>
          <w:color w:val="auto"/>
        </w:rPr>
        <w:t>of up to five years by a maximum amount of 50% of the current share capital. Shares are created and issued out of conditional share capital through the exercise of options or of conversion rights that the board of directors may</w:t>
      </w:r>
    </w:p>
    <w:p>
      <w:pPr>
        <w:spacing w:after="0" w:line="2" w:lineRule="exact"/>
        <w:rPr>
          <w:sz w:val="20"/>
          <w:szCs w:val="20"/>
          <w:color w:val="auto"/>
        </w:rPr>
      </w:pPr>
    </w:p>
    <w:p>
      <w:pPr>
        <w:ind w:right="240"/>
        <w:spacing w:after="0" w:line="216" w:lineRule="auto"/>
        <w:rPr>
          <w:sz w:val="20"/>
          <w:szCs w:val="20"/>
          <w:color w:val="auto"/>
        </w:rPr>
      </w:pPr>
      <w:r>
        <w:rPr>
          <w:rFonts w:ascii="Times New Roman" w:cs="Times New Roman" w:eastAsia="Times New Roman" w:hAnsi="Times New Roman"/>
          <w:sz w:val="18"/>
          <w:szCs w:val="18"/>
          <w:color w:val="auto"/>
        </w:rPr>
        <w:t>grant to shareholders, creditors of bonds or similar debt instruments, employees, contractors or consultants, directors of the company or another group company or third parties.</w:t>
      </w:r>
    </w:p>
    <w:p>
      <w:pPr>
        <w:spacing w:after="0" w:line="200" w:lineRule="exact"/>
        <w:rPr>
          <w:sz w:val="20"/>
          <w:szCs w:val="20"/>
          <w:color w:val="auto"/>
        </w:rPr>
      </w:pPr>
    </w:p>
    <w:p>
      <w:pPr>
        <w:sectPr>
          <w:pgSz w:w="11900" w:h="16838" w:orient="portrait"/>
          <w:cols w:equalWidth="0" w:num="2">
            <w:col w:w="5420" w:space="260"/>
            <w:col w:w="5560"/>
          </w:cols>
          <w:pgMar w:left="320" w:top="1440" w:right="3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Depositary</w:t>
      </w:r>
    </w:p>
    <w:p>
      <w:pPr>
        <w:spacing w:after="0" w:line="22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We have appointed Citibank, N.A., or Citibank, as the depositary for the ADSs pursuant to a deposit agreement. Citibank’s depositary offices are located at 388 Greenwich Street, New York, New York 10013.</w:t>
      </w:r>
    </w:p>
    <w:p>
      <w:pPr>
        <w:spacing w:after="0" w:line="16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 copy of the deposit agreement is filed as an exhibit to the annual report on Form 20-F of which this exhibit forms a part. You may obtain a copy of the deposit agreement from the SEC’s Public Reference Room at 100 F Street, N.E., Washington, D.C. 20549 and from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Please refer to Registration Number 333-255447 when retrieving such copy.</w:t>
      </w:r>
    </w:p>
    <w:p>
      <w:pPr>
        <w:spacing w:after="0" w:line="177"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3"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one common share that is on deposit with the depositary and/or the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ADS-to-common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type w:val="continuous"/>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by the registered holders of the ADSs (on behalf of the applicable ADS owners) only through the depositary, and by the depositary (on behalf of the owners of the corresponding ADSs) directly, or indirectly through the custodian or their respective nominees, in each case upon the terms of the deposit agreement.</w:t>
      </w:r>
    </w:p>
    <w:p>
      <w:pPr>
        <w:spacing w:after="0" w:line="183"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Swiss law, which may be different from the laws in the United States, governs shareholder rights and our obligations to the holders of common shares. However, as an ADS holder, you will not be treated as one of our shareholders and you will not have shareholder rights.</w:t>
      </w:r>
    </w:p>
    <w:p>
      <w:pPr>
        <w:spacing w:after="0" w:line="187"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nor the custodian, nor us nor any of their or our respective agents or affiliates shall be required to take any actions whatsoever on your behalf to satisfy such reporting requirements or obtain such regulatory approvals under applicable laws and regulations. For the requirement to disclose major shareholdings with SIX Swiss Exchange see “--Notification and Disclosure of Substantial Share Interests.”</w:t>
      </w:r>
    </w:p>
    <w:p>
      <w:pPr>
        <w:spacing w:after="0" w:line="183"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The manner in which you own the ADSs (e.g., in a brokerage account vs. as registered holder, or as holder of certificated vs. uncertificated ADSs) may affect your rights and obligations under the deposit agreement,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common shares underlying your ADSs. As an owner of ADSs you will be able to exercise the shareholders rights for the common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9"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91"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registration of the common shares in the name of the depositary or the custodian shall, to the maximum extent permitted by applicable law, vest in the depositary or the custodian the record ownership in the applicable common shares, with the beneficial ownership rights and interests in such common shares being at all times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04" w:right="339" w:bottom="1440" w:gutter="0" w:footer="0" w:header="0"/>
        </w:sectPr>
      </w:pPr>
    </w:p>
    <w:bookmarkStart w:id="37" w:name="page38"/>
    <w:bookmarkEnd w:id="37"/>
    <w:p>
      <w:pPr>
        <w:jc w:val="both"/>
        <w:spacing w:after="0" w:line="262" w:lineRule="auto"/>
        <w:rPr>
          <w:sz w:val="20"/>
          <w:szCs w:val="20"/>
          <w:color w:val="auto"/>
        </w:rPr>
      </w:pPr>
      <w:r>
        <w:rPr>
          <w:rFonts w:ascii="Times New Roman" w:cs="Times New Roman" w:eastAsia="Times New Roman" w:hAnsi="Times New Roman"/>
          <w:sz w:val="18"/>
          <w:szCs w:val="18"/>
          <w:color w:val="auto"/>
        </w:rPr>
        <w:t>with the beneficial owners of the ADSs representing the common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224"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a specified record date, after deduction the applicable fees, taxes and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Cash</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w:t>
      </w:r>
    </w:p>
    <w:p>
      <w:pPr>
        <w:spacing w:after="0" w:line="177"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the U.S. dollars to the holders, subject to Swiss laws and regulations. The depositary or a division, branch or affiliate of the depositary may act as a principal for any such conversion.</w:t>
      </w:r>
    </w:p>
    <w:p>
      <w:pPr>
        <w:spacing w:after="0" w:line="163"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and distributable to the ADS holders entitled thereto. If it is unlawful or impracticable to convert such foreign currency and distribute U.S. dollars to the holders, the depositary may, in its discretion, convert such foreign currency and make such distribution to such holders as may be lawful and practicable, distribute foreign currency to holders as may be lawful and practicable or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7"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apply the same method for distributing the proceeds of the sale of any property (such as undistributed rights) held by the custodian in respect of securities on deposit.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Shares</w:t>
      </w:r>
    </w:p>
    <w:p>
      <w:pPr>
        <w:spacing w:after="0" w:line="224"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Whenever we make a free distribution of common shares for the securities on deposit with the custodian, we will deposit the applicable number of common shares with the custodian. Upon receipt of confirmation of such deposit, the depositary will either distribute to holders new ADSs representing the common shares deposited or modify the ADS-to- common share ratio, in which case each ADS you hold will represent rights and interests in the additional common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 common share ratio upon a distribution of common shares will be made net of the fees, expenses, taxes and governmental charges payable by holders under the terms of the deposit agreement. In order to pay such taxes or governmental charges, the depositary may sell all or a portion of the new common shares so distributed.</w:t>
      </w:r>
    </w:p>
    <w:p>
      <w:pPr>
        <w:spacing w:after="0" w:line="175"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any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common shares received upon the terms described in the deposit agreement and will distribute the proceeds of the sale as in the case of a distribution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0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Rights</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common shares, we will give prior notice to the depositary and will indicate whether we wish the rights distribution to be made available to you. In such case, we will assist the depositary in determining whether it is lawful and reasonably practicable to distribute rights to subscribe for additional ADSs to holders.</w:t>
      </w:r>
    </w:p>
    <w:p>
      <w:pPr>
        <w:spacing w:after="0" w:line="177"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common shares other than in the form of ADSs.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209" w:lineRule="exact"/>
        <w:rPr>
          <w:sz w:val="20"/>
          <w:szCs w:val="20"/>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9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Elective Distributions</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77"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7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Switzerland would receive upon failing to make an election, as more fully described in the deposit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Distributions</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common shares or rights to subscribe for additional common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7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00" w:right="339" w:bottom="1440" w:gutter="0" w:footer="0" w:header="0"/>
        </w:sectPr>
      </w:pPr>
    </w:p>
    <w:bookmarkStart w:id="39" w:name="page40"/>
    <w:bookmarkEnd w:id="39"/>
    <w:p>
      <w:pPr>
        <w:ind w:right="20" w:firstLine="321"/>
        <w:spacing w:after="0" w:line="277"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209" w:lineRule="exact"/>
        <w:rPr>
          <w:sz w:val="20"/>
          <w:szCs w:val="20"/>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ask that the property not be distributed to you; or</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63"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The custodian will be instructed to surrender the shares being redeemed against payment of the applicable redemption price. The depositary will convert the redemption funds received in a currency other than U.S. dollars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Affecting Common Shares</w:t>
      </w:r>
    </w:p>
    <w:p>
      <w:pPr>
        <w:spacing w:after="0" w:line="22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common shares held on deposit for your ADSs may change from time to time. For example, there may be a change in nominal or par value, a split-up, cancellation, consolidation or reclassification of such common shares or a recapitalization, reorganization, merger, consolidation or sale of assets.</w:t>
      </w:r>
    </w:p>
    <w:p>
      <w:pPr>
        <w:spacing w:after="0" w:line="163"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common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common shares. If the depositary may not lawfully distribute such property to you, the depositary may sell such property and distribute the net proceeds to you as in the case of a cash distribution.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ADSs upon Deposit of Common Shares</w:t>
      </w:r>
    </w:p>
    <w:p>
      <w:pPr>
        <w:spacing w:after="0" w:line="224"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deposits common shares with the custodian. The depositary will deliver these ADSs to the person you indicate only after you pay any applicable issuance fees and any charges and taxes payable for the transfer of the common shares to the custodian. Your ability to deposit common shares and receive ADSs may be limited by U.S. and Swiss legal considerations applicable at the time of deposit.</w:t>
      </w:r>
    </w:p>
    <w:p>
      <w:pPr>
        <w:spacing w:after="0" w:line="182"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common shares have been duly transferred to the custodian. The depositary will only issue ADSs in whole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04" w:right="339" w:bottom="1440" w:gutter="0" w:footer="0" w:header="0"/>
        </w:sectPr>
      </w:pPr>
    </w:p>
    <w:bookmarkStart w:id="40" w:name="page41"/>
    <w:bookmarkEnd w:id="40"/>
    <w:p>
      <w:pPr>
        <w:ind w:right="20" w:firstLine="321"/>
        <w:spacing w:after="0" w:line="277" w:lineRule="auto"/>
        <w:rPr>
          <w:sz w:val="20"/>
          <w:szCs w:val="20"/>
          <w:color w:val="auto"/>
        </w:rPr>
      </w:pPr>
      <w:r>
        <w:rPr>
          <w:rFonts w:ascii="Times New Roman" w:cs="Times New Roman" w:eastAsia="Times New Roman" w:hAnsi="Times New Roman"/>
          <w:sz w:val="18"/>
          <w:szCs w:val="18"/>
          <w:color w:val="auto"/>
        </w:rPr>
        <w:t>When you make a deposit of common shares, you will be responsible for transferring good and valid title to the depositary. As such, you will be deemed to represent and warrant that:</w:t>
      </w:r>
    </w:p>
    <w:p>
      <w:pPr>
        <w:spacing w:after="0" w:line="150" w:lineRule="exact"/>
        <w:rPr>
          <w:sz w:val="20"/>
          <w:szCs w:val="20"/>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are duly authorized, validly issued, fully paid, non-assessable and legally obtained.</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common shares have been validly waived or exercised.</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common shares.</w:t>
      </w:r>
    </w:p>
    <w:p>
      <w:pPr>
        <w:spacing w:after="0" w:line="180" w:lineRule="exact"/>
        <w:rPr>
          <w:rFonts w:ascii="Times New Roman" w:cs="Times New Roman" w:eastAsia="Times New Roman" w:hAnsi="Times New Roman"/>
          <w:sz w:val="18"/>
          <w:szCs w:val="18"/>
          <w:color w:val="auto"/>
        </w:rPr>
      </w:pPr>
    </w:p>
    <w:p>
      <w:pPr>
        <w:ind w:left="640" w:hanging="313"/>
        <w:spacing w:after="0" w:line="23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6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presented for deposit have not been stripped of any rights or entitlements.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of the common shares does not violate any applicable provisions of the laws of Switzerland.</w:t>
      </w:r>
    </w:p>
    <w:p>
      <w:pPr>
        <w:spacing w:after="0" w:line="194" w:lineRule="exact"/>
        <w:rPr>
          <w:sz w:val="20"/>
          <w:szCs w:val="20"/>
          <w:color w:val="auto"/>
        </w:rPr>
      </w:pPr>
    </w:p>
    <w:p>
      <w:pPr>
        <w:ind w:right="20" w:firstLine="321"/>
        <w:spacing w:after="0" w:line="277"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224"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50" w:lineRule="exact"/>
        <w:rPr>
          <w:sz w:val="20"/>
          <w:szCs w:val="20"/>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80" w:lineRule="exact"/>
        <w:rPr>
          <w:rFonts w:ascii="Times New Roman" w:cs="Times New Roman" w:eastAsia="Times New Roman" w:hAnsi="Times New Roman"/>
          <w:sz w:val="18"/>
          <w:szCs w:val="18"/>
          <w:color w:val="auto"/>
        </w:rPr>
      </w:pPr>
    </w:p>
    <w:p>
      <w:pPr>
        <w:ind w:left="640" w:hanging="313"/>
        <w:spacing w:after="0" w:line="246"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77"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We may restrict transfers of ADSs where such transfer may result in the total number of shares represented by the ADSs owned by a single holder or beneficial owner to exceed limits imposed by applicable law or the Articles. We may instruct the depositary to take actions with respect to the ownership interests of any holder or beneficial owner in excess of such limits including the imposing of restrictions on transfers of ADSs, the removal or limitation of voting rights, or mandatory sale or disposition of ADSs held by such holder of beneficial owner in excess of such limitations.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Common Shares Upon Cancellation of ADSs</w:t>
      </w:r>
    </w:p>
    <w:p>
      <w:pPr>
        <w:spacing w:after="0" w:line="224"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common shares at the custodian’s offices. Your ability to withdraw the common shares held in respect of the ADSs may be limited by U.S. and Swiss legal considerations applicable at the time of withdrawal. In order to withdraw the common shares represented by your ADSs, you will be required to pay to the depositary the fees for cancellation of ADSs and any charges and taxes payable upon the transfer of the common shares being withdrawn. You assume the risk for delivery of all funds and securities upon withdrawal. Once canceled, the ADSs will not have any rights under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04" w:right="339" w:bottom="1440" w:gutter="0" w:footer="0" w:header="0"/>
        </w:sectPr>
      </w:pPr>
    </w:p>
    <w:bookmarkStart w:id="41" w:name="page42"/>
    <w:bookmarkEnd w:id="41"/>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common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subject to:</w:t>
      </w:r>
    </w:p>
    <w:p>
      <w:pPr>
        <w:spacing w:after="0" w:line="207" w:lineRule="exact"/>
        <w:rPr>
          <w:sz w:val="20"/>
          <w:szCs w:val="20"/>
          <w:color w:val="auto"/>
        </w:rPr>
      </w:pPr>
    </w:p>
    <w:p>
      <w:pPr>
        <w:ind w:left="640" w:right="20" w:hanging="313"/>
        <w:spacing w:after="0" w:line="23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ADSs or common shares are closed, or (ii) common shares are immobilized on account of a shareholders’ meeting or a payment of dividends;</w:t>
      </w:r>
    </w:p>
    <w:p>
      <w:pPr>
        <w:spacing w:after="0" w:line="16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8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 or</w:t>
      </w:r>
    </w:p>
    <w:p>
      <w:pPr>
        <w:spacing w:after="0" w:line="180" w:lineRule="exact"/>
        <w:rPr>
          <w:rFonts w:ascii="Times New Roman" w:cs="Times New Roman" w:eastAsia="Times New Roman" w:hAnsi="Times New Roman"/>
          <w:sz w:val="18"/>
          <w:szCs w:val="18"/>
          <w:color w:val="auto"/>
        </w:rPr>
      </w:pPr>
    </w:p>
    <w:p>
      <w:pPr>
        <w:ind w:left="640" w:right="20" w:hanging="313"/>
        <w:spacing w:after="0" w:line="24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specifically contemplated by Instruction I.A.(l) of the General Instructions to Form F-6 Registration Statement, as amended from time to time, under the Securities Act.</w:t>
      </w:r>
    </w:p>
    <w:p>
      <w:pPr>
        <w:spacing w:after="0" w:line="163"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common shares represented by your ADSs. The voting rights of holders of common shares are described in the sections titled “Description of Share Capital and Articles of Association” and “Limitations Affecting Shareholders of a Swiss Company.”</w:t>
      </w:r>
    </w:p>
    <w:p>
      <w:pPr>
        <w:spacing w:after="0" w:line="177"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At our timely request, the depositary will distribute to you any notice of general meetings of shareholders or other solicitations of consents received from us and arrange to deliver our voting materials to you, or provide notice with instructions on how to retrieve such materials. Those materials will describe the matters to be voted on and explain how to instruct the depositary to exercise the voting rights of the securities represented by ADSs. For instructions to be valid, they must reach the depositary by a date set by the depositary.</w:t>
      </w:r>
    </w:p>
    <w:p>
      <w:pPr>
        <w:spacing w:after="0" w:line="182"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The depositary will try, as far as practical, and subject to the laws of Switzerland and to the Articles, to vote or cause to be voted the common shares underlying the ADSs in accordance with instructions timely received from ADS holders. If the depositary does not timely receive voting instructions with respect to certain ADSs, it will not vote the common shares represented by such ADSs, except as otherwise contemplated in the deposit agreement. If the depositary timely receives voting instructions from a holder that fail to specify the manner in which the common shares are to be voted, the depositary will deem such holder (unless otherwise specified in the notice distributed to holders) to have instructed the depositary to take all steps necessary to enable the independent proxy holder, as elected by the shareholders of the Company, to vote the common shares underlying such ADS holder’s ADSs in accordance with the written proposals or recommendations of the Company’s board of directors. At our request, the depositary will represent all common shares underlying the ADSs for the purpose of establishing a quorum at a meeting of our shareholders.</w:t>
      </w:r>
    </w:p>
    <w:p>
      <w:pPr>
        <w:spacing w:after="0" w:line="185"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 Common shares for which no voting instructions have been timely received will not be voted except as provided above with respect to representing common shares to establish a quorum, and as otherwise contemplated in the deposit agreement. In addition, the depositary and its agents are not responsible for failing to carry out voting instructions, for the manner in which any vote is cast or for the effect of any vote, provided that the depositary acted in good faith,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04" w:right="339" w:bottom="1440" w:gutter="0" w:footer="0" w:header="0"/>
        </w:sectPr>
      </w:pPr>
    </w:p>
    <w:bookmarkStart w:id="42" w:name="page43"/>
    <w:bookmarkEnd w:id="42"/>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negligence and in accordance with the deposit agreement. This means that you may not be able to exercise your right to vote and there may be nothing you can do if your common shares are not voted as you requested.</w:t>
      </w:r>
    </w:p>
    <w:p>
      <w:pPr>
        <w:spacing w:after="0" w:line="163"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shares, if we request the depositary to act, we will give the depositary notice of the applicable meeting or vote and details concerning the matters to be voted upon in a timely manner in advance of the meeting or vote, the depositary having no obligation to take any action with respect to any vote or meeting if it receives such request later than 30 days before the vote or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under the terms of the deposit agreement:</w:t>
      </w:r>
    </w:p>
    <w:p>
      <w:pPr>
        <w:spacing w:after="0" w:line="276" w:lineRule="exact"/>
        <w:rPr>
          <w:sz w:val="20"/>
          <w:szCs w:val="20"/>
          <w:color w:val="auto"/>
        </w:rPr>
      </w:pPr>
    </w:p>
    <w:p>
      <w:pPr>
        <w:ind w:left="60"/>
        <w:spacing w:after="0"/>
        <w:tabs>
          <w:tab w:leader="none" w:pos="7680" w:val="left"/>
        </w:tabs>
        <w:rPr>
          <w:sz w:val="20"/>
          <w:szCs w:val="20"/>
          <w:color w:val="auto"/>
        </w:rPr>
      </w:pPr>
      <w:r>
        <w:rPr>
          <w:rFonts w:ascii="Times New Roman" w:cs="Times New Roman" w:eastAsia="Times New Roman" w:hAnsi="Times New Roman"/>
          <w:sz w:val="16"/>
          <w:szCs w:val="16"/>
          <w:i w:val="1"/>
          <w:iCs w:val="1"/>
          <w:color w:val="auto"/>
        </w:rPr>
        <w:t>Service</w:t>
      </w:r>
      <w:r>
        <w:rPr>
          <w:sz w:val="20"/>
          <w:szCs w:val="20"/>
          <w:color w:val="auto"/>
        </w:rPr>
        <w:tab/>
      </w:r>
      <w:r>
        <w:rPr>
          <w:rFonts w:ascii="Times New Roman" w:cs="Times New Roman" w:eastAsia="Times New Roman" w:hAnsi="Times New Roman"/>
          <w:sz w:val="16"/>
          <w:szCs w:val="16"/>
          <w:i w:val="1"/>
          <w:iCs w:val="1"/>
          <w:color w:val="auto"/>
        </w:rPr>
        <w:t>Fees</w:t>
      </w:r>
    </w:p>
    <w:p>
      <w:pPr>
        <w:spacing w:after="0" w:line="45" w:lineRule="exact"/>
        <w:rPr>
          <w:sz w:val="20"/>
          <w:szCs w:val="20"/>
          <w:color w:val="auto"/>
        </w:rPr>
      </w:pPr>
    </w:p>
    <w:p>
      <w:pPr>
        <w:ind w:left="660" w:right="1400" w:hanging="315"/>
        <w:spacing w:after="0" w:line="220"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ADSs (e.g., an issuance of ADS upon a deposit of common shares, upon a change in the Up to U.S. $0.05 per ADS issued ADS(s)-to- common share(s) ratio, or for any other reason), excluding ADS issuances as a result of</w:t>
      </w:r>
    </w:p>
    <w:p>
      <w:pPr>
        <w:spacing w:after="0" w:line="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of common shares)</w:t>
      </w:r>
    </w:p>
    <w:p>
      <w:pPr>
        <w:spacing w:after="0" w:line="225" w:lineRule="exact"/>
        <w:rPr>
          <w:rFonts w:ascii="Times New Roman" w:cs="Times New Roman" w:eastAsia="Times New Roman" w:hAnsi="Times New Roman"/>
          <w:sz w:val="16"/>
          <w:szCs w:val="16"/>
          <w:color w:val="auto"/>
        </w:rPr>
      </w:pPr>
    </w:p>
    <w:p>
      <w:pPr>
        <w:ind w:left="660" w:right="1240" w:hanging="315"/>
        <w:spacing w:after="0" w:line="241"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Cancellation of ADSs (e.g., a cancellation of ADSs for delivery of deposited property, upon a change in the Up to U.S. $0.05 per ADS canceled ADS(s)-to- common share(s) ratio, or for any other reason)</w:t>
      </w:r>
    </w:p>
    <w:p>
      <w:pPr>
        <w:spacing w:after="0" w:line="218" w:lineRule="exact"/>
        <w:rPr>
          <w:sz w:val="20"/>
          <w:szCs w:val="20"/>
          <w:color w:val="auto"/>
        </w:rPr>
      </w:pPr>
    </w:p>
    <w:p>
      <w:pPr>
        <w:ind w:left="340"/>
        <w:spacing w:after="0"/>
        <w:tabs>
          <w:tab w:leader="none" w:pos="640" w:val="left"/>
          <w:tab w:leader="none" w:pos="76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Distribution of cash dividends or other cash distributions (e.g., upon a sale of rights and other entitlements)</w:t>
        <w:tab/>
        <w:t>Up to U.S. $0.05 per ADS held</w:t>
      </w:r>
    </w:p>
    <w:p>
      <w:pPr>
        <w:spacing w:after="0" w:line="243" w:lineRule="exact"/>
        <w:rPr>
          <w:sz w:val="20"/>
          <w:szCs w:val="20"/>
          <w:color w:val="auto"/>
        </w:rPr>
      </w:pPr>
    </w:p>
    <w:p>
      <w:pPr>
        <w:ind w:left="660" w:right="1520" w:hanging="315"/>
        <w:spacing w:after="0" w:line="241" w:lineRule="auto"/>
        <w:tabs>
          <w:tab w:leader="none" w:pos="64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 of ADSs pursuant to stock dividends, other free stock distributions or exercise of rights to Up to U.S. $0.05 per ADS held purchase additional ADSs.</w:t>
      </w:r>
    </w:p>
    <w:p>
      <w:pPr>
        <w:sectPr>
          <w:pgSz w:w="11900" w:h="16838" w:orient="portrait"/>
          <w:cols w:equalWidth="0" w:num="1">
            <w:col w:w="11240"/>
          </w:cols>
          <w:pgMar w:left="320" w:top="1404" w:right="339" w:bottom="1440" w:gutter="0" w:footer="0" w:header="0"/>
        </w:sect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Distribution of securities other than ADSs or rights to purchase additional ADSs (e.g., upon a spin-off)</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 to U.S. $0.05 per ADS held</w:t>
      </w:r>
    </w:p>
    <w:p>
      <w:pPr>
        <w:spacing w:after="0" w:line="200" w:lineRule="exact"/>
        <w:rPr>
          <w:sz w:val="20"/>
          <w:szCs w:val="20"/>
          <w:color w:val="auto"/>
        </w:rPr>
      </w:pPr>
    </w:p>
    <w:p>
      <w:pPr>
        <w:sectPr>
          <w:pgSz w:w="11900" w:h="16838" w:orient="portrait"/>
          <w:cols w:equalWidth="0" w:num="3">
            <w:col w:w="400" w:space="260"/>
            <w:col w:w="6580" w:space="460"/>
            <w:col w:w="3540"/>
          </w:cols>
          <w:pgMar w:left="320" w:top="1404" w:right="339" w:bottom="1440" w:gutter="0" w:footer="0" w:header="0"/>
          <w:type w:val="continuous"/>
        </w:sectPr>
      </w:pP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ADS Services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 to U.S. $0.05 per ADS held on the applicable</w:t>
      </w:r>
    </w:p>
    <w:p>
      <w:pPr>
        <w:spacing w:after="0"/>
        <w:rPr>
          <w:sz w:val="20"/>
          <w:szCs w:val="20"/>
          <w:color w:val="auto"/>
        </w:rPr>
      </w:pPr>
      <w:r>
        <w:rPr>
          <w:rFonts w:ascii="Times New Roman" w:cs="Times New Roman" w:eastAsia="Times New Roman" w:hAnsi="Times New Roman"/>
          <w:sz w:val="16"/>
          <w:szCs w:val="16"/>
          <w:color w:val="auto"/>
        </w:rPr>
        <w:t>record date(s) established by the depositary</w:t>
      </w:r>
    </w:p>
    <w:p>
      <w:pPr>
        <w:spacing w:after="0" w:line="65" w:lineRule="exact"/>
        <w:rPr>
          <w:sz w:val="20"/>
          <w:szCs w:val="20"/>
          <w:color w:val="auto"/>
        </w:rPr>
      </w:pPr>
    </w:p>
    <w:p>
      <w:pPr>
        <w:sectPr>
          <w:pgSz w:w="11900" w:h="16838" w:orient="portrait"/>
          <w:cols w:equalWidth="0" w:num="3">
            <w:col w:w="400" w:space="260"/>
            <w:col w:w="6320" w:space="720"/>
            <w:col w:w="3540"/>
          </w:cols>
          <w:pgMar w:left="320" w:top="1404" w:right="339" w:bottom="1440" w:gutter="0" w:footer="0" w:header="0"/>
          <w:type w:val="continuous"/>
        </w:sectPr>
      </w:pPr>
    </w:p>
    <w:p>
      <w:pPr>
        <w:ind w:left="660" w:right="1100" w:hanging="315"/>
        <w:spacing w:after="0" w:line="241"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of ADS Transfers (e.g., upon a registration of the transfer of registered ownership of ADSs, Up to U.S. $0.05 per ADS transferred upon a transfer of ADSs into DTC and vice versa, or for any other reason).</w:t>
      </w:r>
    </w:p>
    <w:p>
      <w:pPr>
        <w:spacing w:after="0" w:line="218" w:lineRule="exact"/>
        <w:rPr>
          <w:rFonts w:ascii="Times New Roman" w:cs="Times New Roman" w:eastAsia="Times New Roman" w:hAnsi="Times New Roman"/>
          <w:sz w:val="16"/>
          <w:szCs w:val="16"/>
          <w:color w:val="auto"/>
        </w:rPr>
      </w:pPr>
    </w:p>
    <w:p>
      <w:pPr>
        <w:ind w:left="660" w:right="1160" w:hanging="315"/>
        <w:spacing w:after="0" w:line="220"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Conversion of ADSs of one series for ADSs of another series (e.g., upon conversion of Partial Entitlement Up to U.S. $0.05 per ADS converted ADSs for Full Entitlement ADSs, or upon conversion of Restricted ADSs into freely transferable ADSs,</w:t>
      </w:r>
    </w:p>
    <w:p>
      <w:pPr>
        <w:spacing w:after="0" w:line="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vice versa).</w:t>
      </w:r>
    </w:p>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fees, expenses, taxes and governmental charges such as:</w:t>
      </w:r>
    </w:p>
    <w:p>
      <w:pPr>
        <w:spacing w:after="0" w:line="207" w:lineRule="exact"/>
        <w:rPr>
          <w:sz w:val="20"/>
          <w:szCs w:val="20"/>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80" w:lineRule="exact"/>
        <w:rPr>
          <w:rFonts w:ascii="Times New Roman" w:cs="Times New Roman" w:eastAsia="Times New Roman" w:hAnsi="Times New Roman"/>
          <w:sz w:val="18"/>
          <w:szCs w:val="18"/>
          <w:color w:val="auto"/>
        </w:rPr>
      </w:pPr>
    </w:p>
    <w:p>
      <w:pPr>
        <w:jc w:val="both"/>
        <w:ind w:left="640" w:hanging="313"/>
        <w:spacing w:after="0" w:line="229"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common shares or other deposited securities on the share register and applicable to transfers of common shares or other deposited securities to or from the name of the custodian, the depositary or any nominees upon the making of deposits and withdrawals,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04" w:right="339" w:bottom="1440" w:gutter="0" w:footer="0" w:header="0"/>
          <w:type w:val="continuous"/>
        </w:sectPr>
      </w:pPr>
    </w:p>
    <w:bookmarkStart w:id="43" w:name="page44"/>
    <w:bookmarkEnd w:id="43"/>
    <w:p>
      <w:pPr>
        <w:ind w:left="640" w:hanging="313"/>
        <w:spacing w:after="0" w:line="235"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common shares or withdrawing deposited property or of the holders and beneficial owners of ADSs;</w:t>
      </w:r>
    </w:p>
    <w:p>
      <w:pPr>
        <w:spacing w:after="0" w:line="169" w:lineRule="exact"/>
        <w:rPr>
          <w:rFonts w:ascii="Times New Roman" w:cs="Times New Roman" w:eastAsia="Times New Roman" w:hAnsi="Times New Roman"/>
          <w:sz w:val="18"/>
          <w:szCs w:val="18"/>
          <w:color w:val="auto"/>
        </w:rPr>
      </w:pPr>
    </w:p>
    <w:p>
      <w:pPr>
        <w:jc w:val="both"/>
        <w:ind w:left="640" w:hanging="313"/>
        <w:spacing w:after="0" w:line="22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68" w:lineRule="exact"/>
        <w:rPr>
          <w:rFonts w:ascii="Times New Roman" w:cs="Times New Roman" w:eastAsia="Times New Roman" w:hAnsi="Times New Roman"/>
          <w:sz w:val="18"/>
          <w:szCs w:val="18"/>
          <w:color w:val="auto"/>
        </w:rPr>
      </w:pPr>
    </w:p>
    <w:p>
      <w:pPr>
        <w:jc w:val="both"/>
        <w:ind w:left="640" w:hanging="313"/>
        <w:spacing w:after="0" w:line="22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 •the fees, charges, costs and expenses incurred by the depositary, the custodian, or any nominee in connection with the ADR program.</w:t>
      </w:r>
    </w:p>
    <w:p>
      <w:pPr>
        <w:spacing w:after="0" w:line="182"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w:t>
      </w:r>
    </w:p>
    <w:p>
      <w:pPr>
        <w:spacing w:after="0" w:line="187"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89"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77"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In the event of refusal to pay the depositary fees or other charges, the depositary may, under the terms of the deposit agreement, refuse the requested service until payment is received or may set off the amount of the depositary fees or other charges from any distribution to be made to the ADS holder.</w:t>
      </w:r>
    </w:p>
    <w:p>
      <w:pPr>
        <w:spacing w:after="0" w:line="163"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fees and charges you may be required to pay may vary over time and may be changed by us and by the depositary. You will receive prior notice of such changes.</w:t>
      </w:r>
    </w:p>
    <w:p>
      <w:pPr>
        <w:spacing w:after="0" w:line="163"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depositary may reimburse us for certain expenses incurred by us in respect of the ADR program, by making available a portion of the depositary fees charged in respect of the ADR program or otherwise, upon such terms and conditions as we and the depositary may agree from time to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224"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90" w:right="339" w:bottom="1440" w:gutter="0" w:footer="0" w:header="0"/>
        </w:sectPr>
      </w:pPr>
    </w:p>
    <w:bookmarkStart w:id="44" w:name="page45"/>
    <w:bookmarkEnd w:id="44"/>
    <w:p>
      <w:pPr>
        <w:jc w:val="both"/>
        <w:spacing w:after="0" w:line="277" w:lineRule="auto"/>
        <w:rPr>
          <w:sz w:val="20"/>
          <w:szCs w:val="20"/>
          <w:color w:val="auto"/>
        </w:rPr>
      </w:pPr>
      <w:r>
        <w:rPr>
          <w:rFonts w:ascii="Times New Roman" w:cs="Times New Roman" w:eastAsia="Times New Roman" w:hAnsi="Times New Roman"/>
          <w:sz w:val="18"/>
          <w:szCs w:val="18"/>
          <w:color w:val="auto"/>
        </w:rPr>
        <w:t>charges you are required to pay. In addition, we may not be able to provide you with prior notice of any modifications or supplements that are required to accommodate compliance with applicable provisions of law.</w:t>
      </w:r>
    </w:p>
    <w:p>
      <w:pPr>
        <w:spacing w:after="0" w:line="16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common shares represented by your ADSs (except as permitted by law).</w:t>
      </w:r>
    </w:p>
    <w:p>
      <w:pPr>
        <w:spacing w:after="0" w:line="177"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77"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82"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make available to owners of ADSs a means to withdraw the common shares represented by ADSs and to direct the deposit of such common shares into an unsponsored ADS program established by the depositary. The ability to receive unsponsored ADSs upon termination of the deposit agreement would be subject to satisfaction of certain U.S. regulatory requirements applicable to the creation of unsponsored ADSs and the payment of applicable depositary fees.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22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63"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207" w:lineRule="exact"/>
        <w:rPr>
          <w:sz w:val="20"/>
          <w:szCs w:val="20"/>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180" w:lineRule="exact"/>
        <w:rPr>
          <w:rFonts w:ascii="Times New Roman" w:cs="Times New Roman" w:eastAsia="Times New Roman" w:hAnsi="Times New Roman"/>
          <w:sz w:val="18"/>
          <w:szCs w:val="18"/>
          <w:color w:val="auto"/>
        </w:rPr>
      </w:pPr>
    </w:p>
    <w:p>
      <w:pPr>
        <w:ind w:left="640" w:hanging="313"/>
        <w:spacing w:after="0" w:line="246"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50" w:lineRule="exact"/>
        <w:rPr>
          <w:rFonts w:ascii="Times New Roman" w:cs="Times New Roman" w:eastAsia="Times New Roman" w:hAnsi="Times New Roman"/>
          <w:sz w:val="18"/>
          <w:szCs w:val="18"/>
          <w:color w:val="auto"/>
        </w:rPr>
      </w:pPr>
    </w:p>
    <w:p>
      <w:pPr>
        <w:jc w:val="both"/>
        <w:ind w:left="640" w:hanging="313"/>
        <w:spacing w:after="0" w:line="21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common shares, for the validity or worth of the common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68"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03" w:right="339" w:bottom="1440" w:gutter="0" w:footer="0" w:header="0"/>
        </w:sectPr>
      </w:pPr>
    </w:p>
    <w:bookmarkStart w:id="45" w:name="page46"/>
    <w:bookmarkEnd w:id="45"/>
    <w:p>
      <w:pPr>
        <w:jc w:val="both"/>
        <w:ind w:left="640" w:hanging="313"/>
        <w:spacing w:after="0" w:line="222"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155" w:lineRule="exact"/>
        <w:rPr>
          <w:rFonts w:ascii="Times New Roman" w:cs="Times New Roman" w:eastAsia="Times New Roman" w:hAnsi="Times New Roman"/>
          <w:sz w:val="18"/>
          <w:szCs w:val="18"/>
          <w:color w:val="auto"/>
        </w:rPr>
      </w:pPr>
    </w:p>
    <w:p>
      <w:pPr>
        <w:ind w:left="640" w:right="20" w:hanging="313"/>
        <w:spacing w:after="0" w:line="246"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150" w:lineRule="exact"/>
        <w:rPr>
          <w:rFonts w:ascii="Times New Roman" w:cs="Times New Roman" w:eastAsia="Times New Roman" w:hAnsi="Times New Roman"/>
          <w:sz w:val="18"/>
          <w:szCs w:val="18"/>
          <w:color w:val="auto"/>
        </w:rPr>
      </w:pPr>
    </w:p>
    <w:p>
      <w:pPr>
        <w:jc w:val="both"/>
        <w:ind w:left="640" w:hanging="313"/>
        <w:spacing w:after="0" w:line="229"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common shares for deposit, any holder of ADSs or authorized representatives thereof, or any other person believed by either of us in good faith to be competent to give such advice or information.</w:t>
      </w:r>
    </w:p>
    <w:p>
      <w:pPr>
        <w:spacing w:after="0" w:line="155" w:lineRule="exact"/>
        <w:rPr>
          <w:rFonts w:ascii="Times New Roman" w:cs="Times New Roman" w:eastAsia="Times New Roman" w:hAnsi="Times New Roman"/>
          <w:sz w:val="18"/>
          <w:szCs w:val="18"/>
          <w:color w:val="auto"/>
        </w:rPr>
      </w:pPr>
    </w:p>
    <w:p>
      <w:pPr>
        <w:ind w:left="640" w:hanging="313"/>
        <w:spacing w:after="0" w:line="235"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to benefit from any distribution, offering, right or other benefit that is made available to holders of common shares but is not, under the terms of the deposit agreement, made available to you.</w:t>
      </w:r>
    </w:p>
    <w:p>
      <w:pPr>
        <w:spacing w:after="0" w:line="169" w:lineRule="exact"/>
        <w:rPr>
          <w:rFonts w:ascii="Times New Roman" w:cs="Times New Roman" w:eastAsia="Times New Roman" w:hAnsi="Times New Roman"/>
          <w:sz w:val="18"/>
          <w:szCs w:val="18"/>
          <w:color w:val="auto"/>
        </w:rPr>
      </w:pPr>
    </w:p>
    <w:p>
      <w:pPr>
        <w:ind w:left="640" w:hanging="313"/>
        <w:spacing w:after="0" w:line="235"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1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19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80" w:lineRule="exact"/>
        <w:rPr>
          <w:rFonts w:ascii="Times New Roman" w:cs="Times New Roman" w:eastAsia="Times New Roman" w:hAnsi="Times New Roman"/>
          <w:sz w:val="18"/>
          <w:szCs w:val="18"/>
          <w:color w:val="auto"/>
        </w:rPr>
      </w:pPr>
    </w:p>
    <w:p>
      <w:pPr>
        <w:ind w:left="640" w:hanging="313"/>
        <w:spacing w:after="0" w:line="235"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and you as ADS holder.</w:t>
      </w:r>
    </w:p>
    <w:p>
      <w:pPr>
        <w:spacing w:after="0" w:line="169" w:lineRule="exact"/>
        <w:rPr>
          <w:rFonts w:ascii="Times New Roman" w:cs="Times New Roman" w:eastAsia="Times New Roman" w:hAnsi="Times New Roman"/>
          <w:sz w:val="18"/>
          <w:szCs w:val="18"/>
          <w:color w:val="auto"/>
        </w:rPr>
      </w:pPr>
    </w:p>
    <w:p>
      <w:pPr>
        <w:jc w:val="both"/>
        <w:ind w:left="640" w:hanging="313"/>
        <w:spacing w:after="0" w:line="22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N.A. (or its affiliates) from engaging in transactions in which parties adverse to us or the ADS owners have interests, and nothing in the deposit agreement obligates Citibank, N.A. to disclose those transactions, or any information obtained in the course of those transactions, to us or to the ADS owners, or to account for any payment received as part of those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24"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2"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w:t>
      </w:r>
    </w:p>
    <w:p>
      <w:pPr>
        <w:spacing w:after="0" w:line="163"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22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390" w:right="339" w:bottom="1440" w:gutter="0" w:footer="0" w:header="0"/>
        </w:sectPr>
      </w:pPr>
    </w:p>
    <w:bookmarkStart w:id="46" w:name="page47"/>
    <w:bookmarkEnd w:id="46"/>
    <w:p>
      <w:pPr>
        <w:spacing w:after="0" w:line="277" w:lineRule="auto"/>
        <w:rPr>
          <w:sz w:val="20"/>
          <w:szCs w:val="20"/>
          <w:color w:val="auto"/>
        </w:rPr>
      </w:pPr>
      <w:r>
        <w:rPr>
          <w:rFonts w:ascii="Times New Roman" w:cs="Times New Roman" w:eastAsia="Times New Roman" w:hAnsi="Times New Roman"/>
          <w:sz w:val="18"/>
          <w:szCs w:val="18"/>
          <w:color w:val="auto"/>
        </w:rPr>
        <w:t>You may have to pay fees and expenses incurred in converting foreign currency, such as fees and expenses incurred in complying with currency exchange controls and other governmental requirements.</w:t>
      </w:r>
    </w:p>
    <w:p>
      <w:pPr>
        <w:spacing w:after="0" w:line="163"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50" w:lineRule="exact"/>
        <w:rPr>
          <w:sz w:val="20"/>
          <w:szCs w:val="20"/>
          <w:color w:val="auto"/>
        </w:rPr>
      </w:pPr>
    </w:p>
    <w:p>
      <w:pPr>
        <w:ind w:left="640" w:right="20" w:hanging="313"/>
        <w:spacing w:after="0" w:line="23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169" w:lineRule="exact"/>
        <w:rPr>
          <w:rFonts w:ascii="Times New Roman" w:cs="Times New Roman" w:eastAsia="Times New Roman" w:hAnsi="Times New Roman"/>
          <w:sz w:val="18"/>
          <w:szCs w:val="18"/>
          <w:color w:val="auto"/>
        </w:rPr>
      </w:pPr>
    </w:p>
    <w:p>
      <w:pPr>
        <w:ind w:left="640" w:hanging="313"/>
        <w:spacing w:after="0" w:line="23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 and •hold the foreign currency (without liability for interest) for the applicable 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224"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The deposit agreement and the ADRs will be interpreted in accordance with the laws of the State of New York. The rights of holders of common shares (including common shares represented by ADSs) are governed by the laws of Switzerland.</w:t>
      </w:r>
    </w:p>
    <w:p>
      <w:pPr>
        <w:spacing w:after="0" w:line="16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Except as otherwise provided in the deposit agreement, we and the depositary have agreed that any legal action arising out of the deposit agreement between us and the depositary may be instituted in a state or federal court in the City of New York, and we and the depositary have irrevocably submitted to the non-exclusive jurisdiction of such courts for such purpose.</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AS A PARTY TO THE DEPOSIT AGREEMENT, YOU IRREVOCABLY WAIVE YOUR RIGHT TO TRIAL BY JURY IN ANY LEGAL PROCEEDING AGAINST US AND/OR THE DEPOSITARY. ARISING OUT OF OR RELATING TO THE DEPOSIT AGREEMENT, THE ADRs OR THE TRANSACTIONS CONTEMPLATED THEREIN.</w:t>
      </w:r>
    </w:p>
    <w:p>
      <w:pPr>
        <w:spacing w:after="0" w:line="173"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Such waiver of your right to trial by jury may apply to any claim under U.S. federal securities laws. If we or the depositary opposed a jury trial demand based on such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04"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13"/>
          <w:szCs w:val="13"/>
          <w:color w:val="auto"/>
        </w:rPr>
        <w:t>Homburger AG</w:t>
      </w:r>
    </w:p>
    <w:p>
      <w:pPr>
        <w:ind w:left="20"/>
        <w:spacing w:after="0" w:line="214" w:lineRule="auto"/>
        <w:rPr>
          <w:sz w:val="20"/>
          <w:szCs w:val="20"/>
          <w:color w:val="auto"/>
        </w:rPr>
      </w:pPr>
      <w:r>
        <w:rPr>
          <w:rFonts w:ascii="Arial" w:cs="Arial" w:eastAsia="Arial" w:hAnsi="Arial"/>
          <w:sz w:val="13"/>
          <w:szCs w:val="13"/>
          <w:color w:val="auto"/>
        </w:rPr>
        <w:t>Prime Tower</w:t>
      </w:r>
    </w:p>
    <w:p>
      <w:pPr>
        <w:ind w:left="20"/>
        <w:spacing w:after="0" w:line="214" w:lineRule="auto"/>
        <w:rPr>
          <w:sz w:val="20"/>
          <w:szCs w:val="20"/>
          <w:color w:val="auto"/>
        </w:rPr>
      </w:pPr>
      <w:r>
        <w:rPr>
          <w:rFonts w:ascii="Arial" w:cs="Arial" w:eastAsia="Arial" w:hAnsi="Arial"/>
          <w:sz w:val="13"/>
          <w:szCs w:val="13"/>
          <w:color w:val="auto"/>
        </w:rPr>
        <w:t>Hardstrasse 201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CH-8005 Zürich</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homburger.ch</w:t>
      </w:r>
    </w:p>
    <w:p>
      <w:pPr>
        <w:ind w:left="20"/>
        <w:spacing w:after="0"/>
        <w:rPr>
          <w:sz w:val="20"/>
          <w:szCs w:val="20"/>
          <w:color w:val="auto"/>
        </w:rPr>
      </w:pPr>
      <w:r>
        <w:rPr>
          <w:rFonts w:ascii="Arial" w:cs="Arial" w:eastAsia="Arial" w:hAnsi="Arial"/>
          <w:sz w:val="13"/>
          <w:szCs w:val="13"/>
          <w:color w:val="auto"/>
        </w:rPr>
        <w:t>+41 43 222 10 00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7002145</wp:posOffset>
            </wp:positionH>
            <wp:positionV relativeFrom="paragraph">
              <wp:posOffset>2009140</wp:posOffset>
            </wp:positionV>
            <wp:extent cx="135890" cy="755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890" cy="75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Molecular Partners AG</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Wagistrasse 14</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8952 Schlieren</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Switzerland</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24, 2026</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Molecular Partners AG - Registration Statement on Form S-8 – Exhibit 5.1</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jc w:val="both"/>
        <w:spacing w:after="0" w:line="284" w:lineRule="exact"/>
        <w:rPr>
          <w:sz w:val="20"/>
          <w:szCs w:val="20"/>
          <w:color w:val="auto"/>
        </w:rPr>
      </w:pPr>
      <w:r>
        <w:rPr>
          <w:rFonts w:ascii="Arial" w:cs="Arial" w:eastAsia="Arial" w:hAnsi="Arial"/>
          <w:sz w:val="18"/>
          <w:szCs w:val="18"/>
          <w:color w:val="auto"/>
        </w:rPr>
        <w:t xml:space="preserve">We have acted as special Swiss counsel to Molecular Partners AG, a stock corporation incorporated under the laws of Switzerland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of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(the</w:t>
      </w:r>
      <w:r>
        <w:rPr>
          <w:rFonts w:ascii="Arial" w:cs="Arial" w:eastAsia="Arial" w:hAnsi="Arial"/>
          <w:sz w:val="18"/>
          <w:szCs w:val="18"/>
          <w:b w:val="1"/>
          <w:bCs w:val="1"/>
          <w:color w:val="auto"/>
        </w:rPr>
        <w:t xml:space="preserve"> Registration Statement</w:t>
      </w:r>
      <w:r>
        <w:rPr>
          <w:rFonts w:ascii="Arial" w:cs="Arial" w:eastAsia="Arial" w:hAnsi="Arial"/>
          <w:sz w:val="18"/>
          <w:szCs w:val="18"/>
          <w:color w:val="auto"/>
        </w:rPr>
        <w:t>) to be filed with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on the date hereof for the purpose of registering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xml:space="preserve">) 3,103,029 registered shares in the Company with a nominal value of CHF 0.10 each (the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that may be issued by the Company under (i) the Company's Performance Share Plan 2026 – Employees, as approved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directors of the Company on March 10, 2026 (the </w:t>
      </w:r>
      <w:r>
        <w:rPr>
          <w:rFonts w:ascii="Arial" w:cs="Arial" w:eastAsia="Arial" w:hAnsi="Arial"/>
          <w:sz w:val="18"/>
          <w:szCs w:val="18"/>
          <w:b w:val="1"/>
          <w:bCs w:val="1"/>
          <w:color w:val="auto"/>
        </w:rPr>
        <w:t>PSU Employee Plan</w:t>
      </w:r>
      <w:r>
        <w:rPr>
          <w:rFonts w:ascii="Arial" w:cs="Arial" w:eastAsia="Arial" w:hAnsi="Arial"/>
          <w:sz w:val="18"/>
          <w:szCs w:val="18"/>
          <w:color w:val="auto"/>
        </w:rPr>
        <w:t xml:space="preserve">), (ii) the Company's Performance Share Plan 2026 – Management, as approved by the board of directors of the Company on March 10, 2026 (the </w:t>
      </w:r>
      <w:r>
        <w:rPr>
          <w:rFonts w:ascii="Arial" w:cs="Arial" w:eastAsia="Arial" w:hAnsi="Arial"/>
          <w:sz w:val="18"/>
          <w:szCs w:val="18"/>
          <w:b w:val="1"/>
          <w:bCs w:val="1"/>
          <w:color w:val="auto"/>
        </w:rPr>
        <w:t>PSU Management Plan</w:t>
      </w:r>
      <w:r>
        <w:rPr>
          <w:rFonts w:ascii="Arial" w:cs="Arial" w:eastAsia="Arial" w:hAnsi="Arial"/>
          <w:sz w:val="18"/>
          <w:szCs w:val="18"/>
          <w:color w:val="auto"/>
        </w:rPr>
        <w:t xml:space="preserve"> and, together with the PSU Employee Plan, the </w:t>
      </w:r>
      <w:r>
        <w:rPr>
          <w:rFonts w:ascii="Arial" w:cs="Arial" w:eastAsia="Arial" w:hAnsi="Arial"/>
          <w:sz w:val="18"/>
          <w:szCs w:val="18"/>
          <w:b w:val="1"/>
          <w:bCs w:val="1"/>
          <w:color w:val="auto"/>
        </w:rPr>
        <w:t>PSU Plans</w:t>
      </w:r>
      <w:r>
        <w:rPr>
          <w:rFonts w:ascii="Arial" w:cs="Arial" w:eastAsia="Arial" w:hAnsi="Arial"/>
          <w:sz w:val="18"/>
          <w:szCs w:val="18"/>
          <w:color w:val="auto"/>
        </w:rPr>
        <w:t xml:space="preserve">), and (iii) the Company's Restricted Share Plan 2026, as approved by the board of directors of the Company on March 10, 2026 (the </w:t>
      </w:r>
      <w:r>
        <w:rPr>
          <w:rFonts w:ascii="Arial" w:cs="Arial" w:eastAsia="Arial" w:hAnsi="Arial"/>
          <w:sz w:val="18"/>
          <w:szCs w:val="18"/>
          <w:b w:val="1"/>
          <w:bCs w:val="1"/>
          <w:color w:val="auto"/>
        </w:rPr>
        <w:t>RSU</w:t>
      </w:r>
      <w:r>
        <w:rPr>
          <w:rFonts w:ascii="Arial" w:cs="Arial" w:eastAsia="Arial" w:hAnsi="Arial"/>
          <w:sz w:val="18"/>
          <w:szCs w:val="18"/>
          <w:color w:val="auto"/>
        </w:rPr>
        <w:t xml:space="preserve"> Plan and, together with the PSU Plans, the </w:t>
      </w:r>
      <w:r>
        <w:rPr>
          <w:rFonts w:ascii="Arial" w:cs="Arial" w:eastAsia="Arial" w:hAnsi="Arial"/>
          <w:sz w:val="18"/>
          <w:szCs w:val="18"/>
          <w:b w:val="1"/>
          <w:bCs w:val="1"/>
          <w:color w:val="auto"/>
        </w:rPr>
        <w:t>Plans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such counsel, we have been requested to give our opinion as to certain legal matters under Swiss law.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ascribed to them in the Documents (as defined below).</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46B4D7"/>
        </w:rPr>
        <w:t>Basis of Opinion</w:t>
      </w:r>
    </w:p>
    <w:p>
      <w:pPr>
        <w:spacing w:after="0" w:line="289" w:lineRule="exact"/>
        <w:rPr>
          <w:sz w:val="20"/>
          <w:szCs w:val="20"/>
          <w:color w:val="auto"/>
        </w:rPr>
      </w:pPr>
    </w:p>
    <w:p>
      <w:pPr>
        <w:jc w:val="both"/>
        <w:spacing w:after="0" w:line="345"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Such laws and the interpretation thereof are subject to change. In the absence of explicit statutory law, we base our opinion solely on our independent professional judgment. This opinion is also confined to the matters stated herein and the Documents (as defined below), and is not to be read as extending, by implication or otherwise, to any agreement or document referred to in any of the Documents (as defined below) or any other matter.</w:t>
      </w:r>
    </w:p>
    <w:p>
      <w:pPr>
        <w:spacing w:after="0" w:line="132"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For purposes of this opinion we have not conducted any due diligence or similar investigation as to factual circumstances, which are or may be referred to in the Documents, and we express no opinion as to the accuracy of representations and warranties of facts set out in the Documents or the factual background assumed therein.</w:t>
      </w:r>
    </w:p>
    <w:p>
      <w:pPr>
        <w:sectPr>
          <w:pgSz w:w="11900" w:h="16838" w:orient="portrait"/>
          <w:cols w:equalWidth="0" w:num="1">
            <w:col w:w="11240"/>
          </w:cols>
          <w:pgMar w:left="320" w:top="16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969696"/>
        </w:rPr>
        <w:t>1/6</w:t>
      </w:r>
    </w:p>
    <w:p>
      <w:pPr>
        <w:sectPr>
          <w:pgSz w:w="11900" w:h="16838" w:orient="portrait"/>
          <w:cols w:equalWidth="0" w:num="1">
            <w:col w:w="11240"/>
          </w:cols>
          <w:pgMar w:left="320" w:top="163" w:right="339" w:bottom="0"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7138035</wp:posOffset>
            </wp:positionH>
            <wp:positionV relativeFrom="page">
              <wp:posOffset>241300</wp:posOffset>
            </wp:positionV>
            <wp:extent cx="203835" cy="1094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3835" cy="109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367" w:lineRule="auto"/>
        <w:rPr>
          <w:sz w:val="20"/>
          <w:szCs w:val="20"/>
          <w:color w:val="auto"/>
        </w:rPr>
      </w:pPr>
      <w:r>
        <w:rPr>
          <w:rFonts w:ascii="Arial" w:cs="Arial" w:eastAsia="Arial" w:hAnsi="Arial"/>
          <w:sz w:val="18"/>
          <w:szCs w:val="18"/>
          <w:color w:val="auto"/>
        </w:rPr>
        <w:t xml:space="preserve">For purposes of this opinion, we have only reviewed originals or copies of the following documents we have deemed necessary or advisable for the purpose of rendering this opinion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02" w:lineRule="exact"/>
        <w:rPr>
          <w:sz w:val="20"/>
          <w:szCs w:val="20"/>
          <w:color w:val="auto"/>
        </w:rPr>
      </w:pPr>
    </w:p>
    <w:p>
      <w:pPr>
        <w:ind w:left="1020" w:hanging="50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 electronic copy of the Registration Statement;</w:t>
      </w:r>
    </w:p>
    <w:p>
      <w:pPr>
        <w:spacing w:after="0" w:line="326" w:lineRule="exact"/>
        <w:rPr>
          <w:rFonts w:ascii="Times New Roman" w:cs="Times New Roman" w:eastAsia="Times New Roman" w:hAnsi="Times New Roman"/>
          <w:sz w:val="18"/>
          <w:szCs w:val="18"/>
          <w:color w:val="auto"/>
        </w:rPr>
      </w:pPr>
    </w:p>
    <w:p>
      <w:pPr>
        <w:ind w:left="1000" w:hanging="488"/>
        <w:spacing w:after="0"/>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 electronic copy of the PSU Employee Plan, which is filed as Exhibit to the Registration Statement;</w:t>
      </w:r>
    </w:p>
    <w:p>
      <w:pPr>
        <w:spacing w:after="0" w:line="326" w:lineRule="exact"/>
        <w:rPr>
          <w:rFonts w:ascii="Times New Roman" w:cs="Times New Roman" w:eastAsia="Times New Roman" w:hAnsi="Times New Roman"/>
          <w:sz w:val="18"/>
          <w:szCs w:val="18"/>
          <w:color w:val="auto"/>
        </w:rPr>
      </w:pPr>
    </w:p>
    <w:p>
      <w:pPr>
        <w:ind w:left="1000" w:hanging="488"/>
        <w:spacing w:after="0"/>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 electronic copy of the PSU Management Plan, which is filed as Exhibit to the Registration Statement;</w:t>
      </w:r>
    </w:p>
    <w:p>
      <w:pPr>
        <w:spacing w:after="0" w:line="339" w:lineRule="exact"/>
        <w:rPr>
          <w:rFonts w:ascii="Times New Roman" w:cs="Times New Roman" w:eastAsia="Times New Roman" w:hAnsi="Times New Roman"/>
          <w:sz w:val="18"/>
          <w:szCs w:val="18"/>
          <w:color w:val="auto"/>
        </w:rPr>
      </w:pPr>
    </w:p>
    <w:p>
      <w:pPr>
        <w:ind w:left="1000" w:hanging="488"/>
        <w:spacing w:after="0"/>
        <w:tabs>
          <w:tab w:leader="none" w:pos="10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 electronic copy of the RSU Plan, which is filed as Exhibit to the Registration Statement;</w:t>
      </w:r>
    </w:p>
    <w:p>
      <w:pPr>
        <w:spacing w:after="0" w:line="324" w:lineRule="exact"/>
        <w:rPr>
          <w:rFonts w:ascii="Times New Roman" w:cs="Times New Roman" w:eastAsia="Times New Roman" w:hAnsi="Times New Roman"/>
          <w:sz w:val="18"/>
          <w:szCs w:val="18"/>
          <w:color w:val="auto"/>
        </w:rPr>
      </w:pPr>
    </w:p>
    <w:p>
      <w:pPr>
        <w:ind w:left="1020" w:hanging="50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an electronic copy of the articles of incorporation of the Company dated January 9, 2026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328" w:lineRule="exact"/>
        <w:rPr>
          <w:rFonts w:ascii="Times New Roman" w:cs="Times New Roman" w:eastAsia="Times New Roman" w:hAnsi="Times New Roman"/>
          <w:sz w:val="18"/>
          <w:szCs w:val="18"/>
          <w:color w:val="auto"/>
        </w:rPr>
      </w:pPr>
    </w:p>
    <w:p>
      <w:pPr>
        <w:ind w:left="1020" w:right="20" w:hanging="508"/>
        <w:spacing w:after="0" w:line="381" w:lineRule="auto"/>
        <w:tabs>
          <w:tab w:leader="none" w:pos="1013"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an electronic copy of a web-excerpt from the Commercial Register of the Canton of Zurich dated June 24, 2026, relating to the Company (the </w:t>
      </w:r>
      <w:r>
        <w:rPr>
          <w:rFonts w:ascii="Arial" w:cs="Arial" w:eastAsia="Arial" w:hAnsi="Arial"/>
          <w:sz w:val="18"/>
          <w:szCs w:val="18"/>
          <w:b w:val="1"/>
          <w:bCs w:val="1"/>
          <w:color w:val="auto"/>
        </w:rPr>
        <w:t>Excerpt</w:t>
      </w:r>
      <w:r>
        <w:rPr>
          <w:rFonts w:ascii="Arial" w:cs="Arial" w:eastAsia="Arial" w:hAnsi="Arial"/>
          <w:sz w:val="18"/>
          <w:szCs w:val="18"/>
          <w:color w:val="auto"/>
        </w:rPr>
        <w:t>); and</w:t>
      </w:r>
    </w:p>
    <w:p>
      <w:pPr>
        <w:spacing w:after="0" w:line="169" w:lineRule="exact"/>
        <w:rPr>
          <w:rFonts w:ascii="Times New Roman" w:cs="Times New Roman" w:eastAsia="Times New Roman" w:hAnsi="Times New Roman"/>
          <w:sz w:val="18"/>
          <w:szCs w:val="18"/>
          <w:color w:val="auto"/>
        </w:rPr>
      </w:pPr>
    </w:p>
    <w:p>
      <w:pPr>
        <w:ind w:left="1020" w:hanging="508"/>
        <w:spacing w:after="0" w:line="381" w:lineRule="auto"/>
        <w:tabs>
          <w:tab w:leader="none" w:pos="1009"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an electronic copy of the minutes of the board of directors of the Company dated as of March 10, 2026, approving the Plans (the </w:t>
      </w:r>
      <w:r>
        <w:rPr>
          <w:rFonts w:ascii="Arial" w:cs="Arial" w:eastAsia="Arial" w:hAnsi="Arial"/>
          <w:sz w:val="18"/>
          <w:szCs w:val="18"/>
          <w:b w:val="1"/>
          <w:bCs w:val="1"/>
          <w:color w:val="auto"/>
        </w:rPr>
        <w:t>Board Resolution</w:t>
      </w:r>
      <w:r>
        <w:rPr>
          <w:rFonts w:ascii="Arial" w:cs="Arial" w:eastAsia="Arial" w:hAnsi="Arial"/>
          <w:sz w:val="18"/>
          <w:szCs w:val="18"/>
          <w:color w:val="auto"/>
        </w:rPr>
        <w:t>).</w:t>
      </w:r>
    </w:p>
    <w:p>
      <w:pPr>
        <w:spacing w:after="0" w:line="170" w:lineRule="exact"/>
        <w:rPr>
          <w:sz w:val="20"/>
          <w:szCs w:val="20"/>
          <w:color w:val="auto"/>
        </w:rPr>
      </w:pPr>
    </w:p>
    <w:p>
      <w:pPr>
        <w:ind w:right="20"/>
        <w:spacing w:after="0" w:line="355" w:lineRule="auto"/>
        <w:rPr>
          <w:sz w:val="20"/>
          <w:szCs w:val="20"/>
          <w:color w:val="auto"/>
        </w:rPr>
      </w:pPr>
      <w:r>
        <w:rPr>
          <w:rFonts w:ascii="Arial" w:cs="Arial" w:eastAsia="Arial" w:hAnsi="Arial"/>
          <w:sz w:val="18"/>
          <w:szCs w:val="18"/>
          <w:color w:val="auto"/>
        </w:rPr>
        <w:t>No documents other than the Documents have been reviewed by us in connection with this opinion. Accordingly, we shall limit our opinion to the Documents and their legal implications under Swiss law.</w:t>
      </w:r>
    </w:p>
    <w:p>
      <w:pPr>
        <w:spacing w:after="0" w:line="122"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In this opinion, Swiss legal concepts are expressed in English terms and not in their original language. These concepts may not be identical to the concepts described by the same English terms as they exist under the laws of other jurisdictions.</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color w:val="46B4D7"/>
        </w:rPr>
        <w:t>Assumptions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 below, we have assumed the following:</w:t>
      </w:r>
    </w:p>
    <w:p>
      <w:pPr>
        <w:spacing w:after="0" w:line="234" w:lineRule="exact"/>
        <w:rPr>
          <w:sz w:val="20"/>
          <w:szCs w:val="20"/>
          <w:color w:val="auto"/>
        </w:rPr>
      </w:pPr>
    </w:p>
    <w:p>
      <w:pPr>
        <w:ind w:left="520" w:hanging="513"/>
        <w:spacing w:after="0" w:line="370" w:lineRule="auto"/>
        <w:tabs>
          <w:tab w:leader="none" w:pos="5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all documents produced to us as originals are authentic and complete, and all documents produced to us as copies (including, without limitation, electronic copies) conform to the original;</w:t>
      </w:r>
    </w:p>
    <w:p>
      <w:pPr>
        <w:spacing w:after="0" w:line="188" w:lineRule="exact"/>
        <w:rPr>
          <w:rFonts w:ascii="Times New Roman" w:cs="Times New Roman" w:eastAsia="Times New Roman" w:hAnsi="Times New Roman"/>
          <w:sz w:val="18"/>
          <w:szCs w:val="18"/>
          <w:color w:val="auto"/>
        </w:rPr>
      </w:pPr>
    </w:p>
    <w:p>
      <w:pPr>
        <w:jc w:val="both"/>
        <w:ind w:left="520" w:hanging="513"/>
        <w:spacing w:after="0" w:line="345" w:lineRule="auto"/>
        <w:tabs>
          <w:tab w:leader="none" w:pos="516"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all documents produced to us as originals and the originals of all documents produced to us as copies were duly executed and certified, as applicable, by the individuals purported to have executed or certified, as the case may be, such documents, and any electronic or facsimile signatures thereon have been produced and used in accordance with applicable internal rules and/or procedures and the individual to whom any such electronic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969696"/>
        </w:rPr>
        <w:t>2/6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7138035</wp:posOffset>
            </wp:positionH>
            <wp:positionV relativeFrom="page">
              <wp:posOffset>241300</wp:posOffset>
            </wp:positionV>
            <wp:extent cx="203835" cy="1094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3835" cy="109410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facsimile signature belongs has consented to the use of his or her signature for each such document on which it appears;</w:t>
      </w:r>
    </w:p>
    <w:p>
      <w:pPr>
        <w:spacing w:after="0" w:line="327" w:lineRule="exact"/>
        <w:rPr>
          <w:sz w:val="20"/>
          <w:szCs w:val="20"/>
          <w:color w:val="auto"/>
        </w:rPr>
      </w:pPr>
    </w:p>
    <w:p>
      <w:pPr>
        <w:ind w:left="520" w:hanging="513"/>
        <w:spacing w:after="0"/>
        <w:tabs>
          <w:tab w:leader="none" w:pos="5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all signatures appearing on all original documents or copies thereof which we have examined are genuine and authentic;</w:t>
      </w:r>
    </w:p>
    <w:p>
      <w:pPr>
        <w:spacing w:after="0" w:line="326"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Registration Statement is within the capacity and power of, and has been validly authorized and executed by the Company;</w:t>
      </w:r>
    </w:p>
    <w:p>
      <w:pPr>
        <w:spacing w:after="0" w:line="326" w:lineRule="exact"/>
        <w:rPr>
          <w:rFonts w:ascii="Times New Roman" w:cs="Times New Roman" w:eastAsia="Times New Roman" w:hAnsi="Times New Roman"/>
          <w:sz w:val="18"/>
          <w:szCs w:val="18"/>
          <w:color w:val="auto"/>
        </w:rPr>
      </w:pPr>
    </w:p>
    <w:p>
      <w:pPr>
        <w:ind w:left="520" w:hanging="513"/>
        <w:spacing w:after="0" w:line="370" w:lineRule="auto"/>
        <w:tabs>
          <w:tab w:leader="none" w:pos="5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filing of the Registration Statement with the SEC has been authorized by all necessary actions under all applicable laws other than Swiss law;</w:t>
      </w:r>
    </w:p>
    <w:p>
      <w:pPr>
        <w:spacing w:after="0" w:line="188"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Registration Statement will be duly filed with the SEC in the form submitted to us;</w:t>
      </w:r>
    </w:p>
    <w:p>
      <w:pPr>
        <w:spacing w:after="0" w:line="339" w:lineRule="exact"/>
        <w:rPr>
          <w:rFonts w:ascii="Times New Roman" w:cs="Times New Roman" w:eastAsia="Times New Roman" w:hAnsi="Times New Roman"/>
          <w:sz w:val="18"/>
          <w:szCs w:val="18"/>
          <w:color w:val="auto"/>
        </w:rPr>
      </w:pPr>
    </w:p>
    <w:p>
      <w:pPr>
        <w:ind w:left="520" w:hanging="513"/>
        <w:spacing w:after="0" w:line="354" w:lineRule="auto"/>
        <w:tabs>
          <w:tab w:leader="none" w:pos="516"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Registration Statement is correct, complete, up-to-date and in full force and effect and no changes have been made or should have been or should be reflected in the Registration Statement as of the date hereof;</w:t>
      </w:r>
    </w:p>
    <w:p>
      <w:pPr>
        <w:spacing w:after="0" w:line="203" w:lineRule="exact"/>
        <w:rPr>
          <w:rFonts w:ascii="Times New Roman" w:cs="Times New Roman" w:eastAsia="Times New Roman" w:hAnsi="Times New Roman"/>
          <w:sz w:val="18"/>
          <w:szCs w:val="18"/>
          <w:color w:val="auto"/>
        </w:rPr>
      </w:pPr>
    </w:p>
    <w:p>
      <w:pPr>
        <w:ind w:left="520" w:hanging="513"/>
        <w:spacing w:after="0" w:line="370" w:lineRule="auto"/>
        <w:tabs>
          <w:tab w:leader="none" w:pos="516"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Excerpt and the Articles are correct, complete and up-to-date and no changes have been made or should have been or should be reflected in the Excerpt or the Articles as of the date hereof;</w:t>
      </w:r>
    </w:p>
    <w:p>
      <w:pPr>
        <w:spacing w:after="0" w:line="188"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Resolution (i) has been duly resolved, (ii) has not been amended and (iii) is in full force and effect;</w:t>
      </w:r>
    </w:p>
    <w:p>
      <w:pPr>
        <w:spacing w:after="0" w:line="326" w:lineRule="exact"/>
        <w:rPr>
          <w:rFonts w:ascii="Times New Roman" w:cs="Times New Roman" w:eastAsia="Times New Roman" w:hAnsi="Times New Roman"/>
          <w:sz w:val="18"/>
          <w:szCs w:val="18"/>
          <w:color w:val="auto"/>
        </w:rPr>
      </w:pPr>
    </w:p>
    <w:p>
      <w:pPr>
        <w:jc w:val="both"/>
        <w:ind w:left="520" w:hanging="513"/>
        <w:spacing w:after="0" w:line="355" w:lineRule="auto"/>
        <w:tabs>
          <w:tab w:leader="none" w:pos="517"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PSU Plans and the RSU Plan (i) are unchanged and correct, complete and up-to-date and in full force and effect as of the date hereof and (ii) no changes have been made which should have been or should be reflected in the PSU Plans or the RSU Plan, as the case may be, as of the date hereof;</w:t>
      </w:r>
    </w:p>
    <w:p>
      <w:pPr>
        <w:spacing w:after="0" w:line="202" w:lineRule="exact"/>
        <w:rPr>
          <w:rFonts w:ascii="Times New Roman" w:cs="Times New Roman" w:eastAsia="Times New Roman" w:hAnsi="Times New Roman"/>
          <w:sz w:val="18"/>
          <w:szCs w:val="18"/>
          <w:color w:val="auto"/>
        </w:rPr>
      </w:pPr>
    </w:p>
    <w:p>
      <w:pPr>
        <w:ind w:left="520" w:hanging="513"/>
        <w:spacing w:after="0" w:line="354" w:lineRule="auto"/>
        <w:tabs>
          <w:tab w:leader="none" w:pos="516"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to the extent relevant for purposes of this opinion, any and all information contained in the Documents is, and all material statements made to us in connection with the Documents are and will be, true, complete and accurate at all relevant times;</w:t>
      </w:r>
    </w:p>
    <w:p>
      <w:pPr>
        <w:spacing w:after="0" w:line="216" w:lineRule="exact"/>
        <w:rPr>
          <w:rFonts w:ascii="Times New Roman" w:cs="Times New Roman" w:eastAsia="Times New Roman" w:hAnsi="Times New Roman"/>
          <w:sz w:val="18"/>
          <w:szCs w:val="18"/>
          <w:color w:val="auto"/>
        </w:rPr>
      </w:pPr>
    </w:p>
    <w:p>
      <w:pPr>
        <w:ind w:left="520" w:hanging="513"/>
        <w:spacing w:after="0" w:line="354" w:lineRule="auto"/>
        <w:tabs>
          <w:tab w:leader="none" w:pos="517"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any New Shares issued will be listed on the Nasdaq Stock Market LLC and on the SIX Swiss Exchange in accordance with applicable laws and regulations;</w:t>
      </w:r>
    </w:p>
    <w:p>
      <w:pPr>
        <w:spacing w:after="0" w:line="216" w:lineRule="exact"/>
        <w:rPr>
          <w:rFonts w:ascii="Times New Roman" w:cs="Times New Roman" w:eastAsia="Times New Roman" w:hAnsi="Times New Roman"/>
          <w:sz w:val="18"/>
          <w:szCs w:val="18"/>
          <w:color w:val="auto"/>
        </w:rPr>
      </w:pPr>
    </w:p>
    <w:p>
      <w:pPr>
        <w:jc w:val="both"/>
        <w:ind w:left="520" w:hanging="513"/>
        <w:spacing w:after="0" w:line="340" w:lineRule="auto"/>
        <w:tabs>
          <w:tab w:leader="none" w:pos="512"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all authorizations, approvals, consents, licenses, exemptions and other requirements for the filing of the Registration Statement or for any other activities carried on in view of, or in connection with, the performance of the obligations expressed to be undertaken by the Company in the Registration Statement have been duly obtained and are and will remain in full force and effect, and any related conditions to which the parties thereto are subject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969696"/>
        </w:rPr>
        <w:t>3/6</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7138035</wp:posOffset>
            </wp:positionH>
            <wp:positionV relativeFrom="page">
              <wp:posOffset>241300</wp:posOffset>
            </wp:positionV>
            <wp:extent cx="203835" cy="1094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03835" cy="109410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520" w:hanging="513"/>
        <w:spacing w:after="0" w:line="337" w:lineRule="auto"/>
        <w:tabs>
          <w:tab w:leader="none" w:pos="516"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any New Shares to be issued out of the capital range of the Company, the Company will have at the time of issuance of New Shares according to article 3a of the Articles or such article replacing article 3a of the Articles sufficient available shares under the capital range to issue the required number of New Shares to be delivered to holders of PSUs or RSUs, and prior to the issuance of the New Shares, the board of directors of the Company will have (i) resolved in the presence of a notary on the execution of a capital increase according to article 3a of the Articles or such article replacing article 3a of the Articles, (ii) validly excluded the preemptive rights of the existing shareholders for purposes of the issuance of the New Shares according to article 3a of the Articles or such article replacing article 3a of the Articles, (iii) issued a capital increase report with respect to the capital increase and (iv) made the corresponding declarations required for implementing the capital increase and the amendment of the Articles and such resolutions will not have been amended and will be in full force and effect until the issuance of all such New Shares, the nominal value of the New Shares will have been paid by or on behalf of the plan participant and the plan participant (or someone acting on his/her behalf) will have signed a subscription form in accordance with Swiss law for the New Shares;</w:t>
      </w:r>
    </w:p>
    <w:p>
      <w:pPr>
        <w:spacing w:after="0" w:line="221" w:lineRule="exact"/>
        <w:rPr>
          <w:rFonts w:ascii="Times New Roman" w:cs="Times New Roman" w:eastAsia="Times New Roman" w:hAnsi="Times New Roman"/>
          <w:sz w:val="18"/>
          <w:szCs w:val="18"/>
          <w:color w:val="auto"/>
        </w:rPr>
      </w:pPr>
    </w:p>
    <w:p>
      <w:pPr>
        <w:jc w:val="both"/>
        <w:ind w:left="520" w:hanging="513"/>
        <w:spacing w:after="0" w:line="337" w:lineRule="auto"/>
        <w:tabs>
          <w:tab w:leader="none" w:pos="516"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any New Shares to be issued out of the conditional share capital for employee participation of the Company, (i) the Company will have at the time of issuance of New Shares according to article 3b of the Articles or such article replacing article 3b of the Articles sufficient conditional share capital to issue the required number of New Shares to be delivered to holders of PSUs or RSUs, (ii) the plan participant (or someone acting on his/her behalf) will deliver prior to the issuance of the New Shares an exercise and acquisition declaration for the New Shares in accordance with Swiss law, (iii) prior to the issuance of the New Shares the nominal value of the New Shares will have been paid by or on behalf of the plan participant, (iv) the requisite reports of the Company's auditors according to article 653f of the Swiss Code of Obligations (</w:t>
      </w:r>
      <w:r>
        <w:rPr>
          <w:rFonts w:ascii="Arial" w:cs="Arial" w:eastAsia="Arial" w:hAnsi="Arial"/>
          <w:sz w:val="18"/>
          <w:szCs w:val="18"/>
          <w:b w:val="1"/>
          <w:bCs w:val="1"/>
          <w:color w:val="auto"/>
        </w:rPr>
        <w:t>CO</w:t>
      </w:r>
      <w:r>
        <w:rPr>
          <w:rFonts w:ascii="Arial" w:cs="Arial" w:eastAsia="Arial" w:hAnsi="Arial"/>
          <w:sz w:val="18"/>
          <w:szCs w:val="18"/>
          <w:color w:val="auto"/>
        </w:rPr>
        <w:t>), the amendments of the Articles according to article 653g CO, and the entry of the corresponding share capital increase into the Commercial Register of the Canton of Zurich will be made in accordance with the requirements of the CO and (v) all necessary actions for the issuance of New Shares from the Company’s conditional capital will be taken;</w:t>
      </w:r>
    </w:p>
    <w:p>
      <w:pPr>
        <w:spacing w:after="0" w:line="218" w:lineRule="exact"/>
        <w:rPr>
          <w:rFonts w:ascii="Times New Roman" w:cs="Times New Roman" w:eastAsia="Times New Roman" w:hAnsi="Times New Roman"/>
          <w:sz w:val="18"/>
          <w:szCs w:val="18"/>
          <w:color w:val="auto"/>
        </w:rPr>
      </w:pPr>
    </w:p>
    <w:p>
      <w:pPr>
        <w:jc w:val="both"/>
        <w:ind w:left="520" w:hanging="513"/>
        <w:spacing w:after="0" w:line="340" w:lineRule="auto"/>
        <w:tabs>
          <w:tab w:leader="none" w:pos="516"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any New Shares to be issued in an ordinary capital increase, prior to the issuance of any New Shares, (i) the shareholders will have resolved to increase the share capital of the Company and (ii) the board of directors of the Company will have (x) resolved in the presence of a notary on the execution of a capital increase, (y) validly excluded the preemptive rights of the existing shareholders for purposes of the issuance of the New Shares, (z) issued a capital increase report with respect to the capital increase and made the corresponding declarations required for implementing the capital increase, the amendment of the Articles and such resolutions; the nominal value of the New Shares will have been paid by or on behalf of the plan participant and the plan participant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969696"/>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7138035</wp:posOffset>
            </wp:positionH>
            <wp:positionV relativeFrom="page">
              <wp:posOffset>241300</wp:posOffset>
            </wp:positionV>
            <wp:extent cx="203835" cy="1094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3835" cy="109410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someone acting on his/her behalf) will have signed a subscription form for the New Shares in accordance with Swiss law;</w:t>
      </w:r>
    </w:p>
    <w:p>
      <w:pPr>
        <w:spacing w:after="0" w:line="327" w:lineRule="exact"/>
        <w:rPr>
          <w:sz w:val="20"/>
          <w:szCs w:val="20"/>
          <w:color w:val="auto"/>
        </w:rPr>
      </w:pPr>
    </w:p>
    <w:p>
      <w:pPr>
        <w:ind w:left="540" w:hanging="513"/>
        <w:spacing w:after="0" w:line="370" w:lineRule="auto"/>
        <w:tabs>
          <w:tab w:leader="none" w:pos="536"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all New Shares will be issued in the manner referred to in the PSU Plans and the RSU Plan and pursuant to the agreements which accompany the PSU Plans and the RSU Plan;</w:t>
      </w:r>
    </w:p>
    <w:p>
      <w:pPr>
        <w:spacing w:after="0" w:line="188" w:lineRule="exact"/>
        <w:rPr>
          <w:rFonts w:ascii="Times New Roman" w:cs="Times New Roman" w:eastAsia="Times New Roman" w:hAnsi="Times New Roman"/>
          <w:sz w:val="18"/>
          <w:szCs w:val="18"/>
          <w:color w:val="auto"/>
        </w:rPr>
      </w:pPr>
    </w:p>
    <w:p>
      <w:pPr>
        <w:ind w:left="520" w:hanging="493"/>
        <w:spacing w:after="0"/>
        <w:tabs>
          <w:tab w:leader="none" w:pos="5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has not entered and will not enter into any transaction which could be construed as repayment of share capital;</w:t>
      </w:r>
    </w:p>
    <w:p>
      <w:pPr>
        <w:spacing w:after="0" w:line="326" w:lineRule="exact"/>
        <w:rPr>
          <w:rFonts w:ascii="Times New Roman" w:cs="Times New Roman" w:eastAsia="Times New Roman" w:hAnsi="Times New Roman"/>
          <w:sz w:val="18"/>
          <w:szCs w:val="18"/>
          <w:color w:val="auto"/>
        </w:rPr>
      </w:pPr>
    </w:p>
    <w:p>
      <w:pPr>
        <w:ind w:left="520" w:hanging="493"/>
        <w:spacing w:after="0"/>
        <w:tabs>
          <w:tab w:leader="none" w:pos="5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is, at the date hereof, not insolvent or over-indebted (within the meaning of article 725b CO); and</w:t>
      </w:r>
    </w:p>
    <w:p>
      <w:pPr>
        <w:spacing w:after="0" w:line="326" w:lineRule="exact"/>
        <w:rPr>
          <w:rFonts w:ascii="Times New Roman" w:cs="Times New Roman" w:eastAsia="Times New Roman" w:hAnsi="Times New Roman"/>
          <w:sz w:val="18"/>
          <w:szCs w:val="18"/>
          <w:color w:val="auto"/>
        </w:rPr>
      </w:pPr>
    </w:p>
    <w:p>
      <w:pPr>
        <w:ind w:left="520" w:hanging="493"/>
        <w:spacing w:after="0"/>
        <w:tabs>
          <w:tab w:leader="none" w:pos="5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no laws (other than those of Switzerland) affect any of the conclusions stated in this opinion.</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1"/>
          <w:szCs w:val="21"/>
          <w:color w:val="46B4D7"/>
        </w:rPr>
        <w:t>Opinion</w:t>
      </w:r>
    </w:p>
    <w:p>
      <w:pPr>
        <w:spacing w:after="0" w:line="289" w:lineRule="exact"/>
        <w:rPr>
          <w:sz w:val="20"/>
          <w:szCs w:val="20"/>
          <w:color w:val="auto"/>
        </w:rPr>
      </w:pPr>
    </w:p>
    <w:p>
      <w:pPr>
        <w:jc w:val="both"/>
        <w:ind w:left="20"/>
        <w:spacing w:after="0" w:line="340" w:lineRule="auto"/>
        <w:rPr>
          <w:sz w:val="20"/>
          <w:szCs w:val="20"/>
          <w:color w:val="auto"/>
        </w:rPr>
      </w:pPr>
      <w:r>
        <w:rPr>
          <w:rFonts w:ascii="Arial" w:cs="Arial" w:eastAsia="Arial" w:hAnsi="Arial"/>
          <w:sz w:val="18"/>
          <w:szCs w:val="18"/>
          <w:color w:val="auto"/>
        </w:rPr>
        <w:t>Based on the foregoing and subject to the qualifications set out below, we are of the opinion that the New Shares, if and when issued and paid for pursuant to the Articles and Swiss law – in particular after such New Shares have been validly subscribed for and the issue price for such New Shares corresponding at least to the nominal value of such New Shares has been paid-in in accordance with the Articles and Swiss law, and upon registration of the relevant capital increase with the Commercial Register of the Canton of Zurich (if applicable) and the electronic publication of such registration in the Swiss Official Gazette of Commerce (if applicable) – and entered into the Company's book of uncertificated securities, will be validly issued, fully paid as to their nominal value and non-assessable.</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color w:val="46B4D7"/>
        </w:rPr>
        <w:t>Qualifications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above opinions are subject to the following qualifications:</w:t>
      </w:r>
    </w:p>
    <w:p>
      <w:pPr>
        <w:spacing w:after="0" w:line="247" w:lineRule="exact"/>
        <w:rPr>
          <w:sz w:val="20"/>
          <w:szCs w:val="20"/>
          <w:color w:val="auto"/>
        </w:rPr>
      </w:pPr>
    </w:p>
    <w:p>
      <w:pPr>
        <w:jc w:val="both"/>
        <w:ind w:left="540" w:hanging="513"/>
        <w:spacing w:after="0" w:line="348" w:lineRule="auto"/>
        <w:tabs>
          <w:tab w:leader="none" w:pos="53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lawyers of our firm are members of the Zurich bar and do not hold themselves out to be experts in any laws other than the laws of Switzerland. Accordingly, we are opining herein as to Swiss law only and we express no opinion with respect to the applicability or the effect of the laws of any other jurisdiction to or on the matters covered herein.</w:t>
      </w:r>
    </w:p>
    <w:p>
      <w:pPr>
        <w:spacing w:after="0" w:line="208" w:lineRule="exact"/>
        <w:rPr>
          <w:rFonts w:ascii="Arial" w:cs="Arial" w:eastAsia="Arial" w:hAnsi="Arial"/>
          <w:sz w:val="18"/>
          <w:szCs w:val="18"/>
          <w:color w:val="auto"/>
        </w:rPr>
      </w:pPr>
    </w:p>
    <w:p>
      <w:pPr>
        <w:jc w:val="both"/>
        <w:ind w:left="540" w:hanging="513"/>
        <w:spacing w:after="0" w:line="348" w:lineRule="auto"/>
        <w:tabs>
          <w:tab w:leader="none" w:pos="53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exercise of voting rights and rights related thereto with respect to any New Shares is only permissible after registration in the Company's share register as a shareholder with voting rights in accordance with the provisions of, and subject to the limitations provided in, the Articles.</w:t>
      </w:r>
    </w:p>
    <w:p>
      <w:pPr>
        <w:spacing w:after="0" w:line="221" w:lineRule="exact"/>
        <w:rPr>
          <w:rFonts w:ascii="Arial" w:cs="Arial" w:eastAsia="Arial" w:hAnsi="Arial"/>
          <w:sz w:val="18"/>
          <w:szCs w:val="18"/>
          <w:color w:val="auto"/>
        </w:rPr>
      </w:pPr>
    </w:p>
    <w:p>
      <w:pPr>
        <w:ind w:left="540" w:hanging="513"/>
        <w:spacing w:after="0" w:line="355" w:lineRule="auto"/>
        <w:tabs>
          <w:tab w:leader="none" w:pos="5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express no opinion as to tax or regulatory matters or as to any commercial, accounting, calculating, auditing or other non-legal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969696"/>
        </w:rPr>
        <w:t>5/6</w:t>
      </w:r>
    </w:p>
    <w:p>
      <w:pPr>
        <w:sectPr>
          <w:pgSz w:w="11900" w:h="16838" w:orient="portrait"/>
          <w:cols w:equalWidth="0" w:num="1">
            <w:col w:w="11260"/>
          </w:cols>
          <w:pgMar w:left="300" w:top="1440"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7138035</wp:posOffset>
            </wp:positionH>
            <wp:positionV relativeFrom="page">
              <wp:posOffset>241300</wp:posOffset>
            </wp:positionV>
            <wp:extent cx="203835" cy="1094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3835" cy="109410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520" w:hanging="513"/>
        <w:spacing w:after="0" w:line="340" w:lineRule="auto"/>
        <w:tabs>
          <w:tab w:leader="none" w:pos="5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express no opinion as to whether the Registration Statement is accurate, true, correct, complete or not misleading. In particular, and without limitation to the foregoing, we express no opinion on whether the Registration Statement provides sufficient information for investors to reach an informed assessment of the Company, any companies within the Company’s consolidation perimeter and the New Shares.</w:t>
      </w:r>
    </w:p>
    <w:p>
      <w:pPr>
        <w:spacing w:after="0" w:line="229" w:lineRule="exact"/>
        <w:rPr>
          <w:rFonts w:ascii="Arial" w:cs="Arial" w:eastAsia="Arial" w:hAnsi="Arial"/>
          <w:sz w:val="18"/>
          <w:szCs w:val="18"/>
          <w:color w:val="auto"/>
        </w:rPr>
      </w:pPr>
    </w:p>
    <w:p>
      <w:pPr>
        <w:jc w:val="both"/>
        <w:ind w:left="520" w:hanging="513"/>
        <w:spacing w:after="0" w:line="348" w:lineRule="auto"/>
        <w:tabs>
          <w:tab w:leader="none" w:pos="5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issuance of the New Shares out of the conditional capital of the Company must be confirmed by the auditor of the Company, and amended Articles reflecting the issuance of New Shares from conditional capital, together with said confirmation by the Company's auditor, must be filed with the competent commercial register.</w:t>
      </w:r>
    </w:p>
    <w:p>
      <w:pPr>
        <w:spacing w:after="0" w:line="208"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express no opinion as regards the exclusion of shareholders' pre-emptive subscription rights.</w:t>
      </w:r>
    </w:p>
    <w:p>
      <w:pPr>
        <w:spacing w:after="0" w:line="327"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341"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We have issued this opinion as of the date hereof and we assume no obligation to advise you of any changes that are made or brought to our attention hereafter.</w:t>
      </w:r>
    </w:p>
    <w:p>
      <w:pPr>
        <w:spacing w:after="0" w:line="203"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This letter is addressed to you in connection with the Registration Statement. No other person may rely on this opinion for any purpose. We hereby consent to the filing of this letter as an exhibit to the Registration Statement. In giving such consent, we do not thereby admit that we are in the category of persons whose consent is required under Section 7 of the Securities Act.</w:t>
      </w:r>
    </w:p>
    <w:p>
      <w:pPr>
        <w:spacing w:after="0" w:line="204"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Without our prior written consent, this opinion may not (in full or in part) be copied, furnished or quoted to any other person except your advisors and representatives in connection with the matters set forth herein.</w:t>
      </w:r>
    </w:p>
    <w:p>
      <w:pPr>
        <w:spacing w:after="0" w:line="188"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This opinion shall be governed by and construed in accordance with the laws of Switzerland. We confirm our understanding that all disputes arising out of or in connection with this opinion shall be subject to the exclusive jurisdiction of the courts of the Canton of Zurich, Switzerland, venue being Zurich 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 Homburger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969696"/>
        </w:rPr>
        <w:t>6/6</w:t>
      </w:r>
    </w:p>
    <w:p>
      <w:pPr>
        <w:sectPr>
          <w:pgSz w:w="11900" w:h="16838" w:orient="portrait"/>
          <w:cols w:equalWidth="0" w:num="1">
            <w:col w:w="11240"/>
          </w:cols>
          <w:pgMar w:left="320" w:top="144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ind w:right="360"/>
        <w:spacing w:after="0" w:line="309" w:lineRule="auto"/>
        <w:rPr>
          <w:sz w:val="20"/>
          <w:szCs w:val="20"/>
          <w:color w:val="auto"/>
        </w:rPr>
      </w:pPr>
      <w:r>
        <w:rPr>
          <w:rFonts w:ascii="Arial" w:cs="Arial" w:eastAsia="Arial" w:hAnsi="Arial"/>
          <w:sz w:val="18"/>
          <w:szCs w:val="18"/>
          <w:color w:val="auto"/>
        </w:rPr>
        <w:t>We consent to the use of our report dated March 10, 2026, with respect to the consolidated financial statements of Molecular Partners AG, incorporated herein by reference.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KPMG AG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Zurich, Switzerland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June 24, 2026</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Letter"/>
      <w:start w:val="1"/>
    </w:lvl>
  </w:abstractNum>
  <w:abstractNum w:abstractNumId="1">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D1D5AE9"/>
    <w:multiLevelType w:val="hybridMultilevel"/>
    <w:lvl w:ilvl="0">
      <w:lvlJc w:val="left"/>
      <w:lvlText w:val="%1"/>
      <w:numFmt w:val="lowerLetter"/>
      <w:start w:val="1"/>
    </w:lvl>
    <w:lvl w:ilvl="1">
      <w:lvlJc w:val="left"/>
      <w:lvlText w:val="(%2)"/>
      <w:numFmt w:val="decimal"/>
      <w:start w:val="2"/>
    </w:lvl>
  </w:abstractNum>
  <w:abstractNum w:abstractNumId="3">
    <w:nsid w:val="6763845E"/>
    <w:multiLevelType w:val="hybridMultilevel"/>
    <w:lvl w:ilvl="0">
      <w:lvlJc w:val="left"/>
      <w:lvlText w:val="(%1)"/>
      <w:numFmt w:val="lowerLetter"/>
      <w:start w:val="2"/>
    </w:lvl>
    <w:lvl w:ilvl="1">
      <w:lvlJc w:val="left"/>
      <w:lvlText w:val="%2"/>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lowerRoman"/>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3"/>
    </w:lvl>
  </w:abstractNum>
  <w:abstractNum w:abstractNumId="39">
    <w:nsid w:val="3855585C"/>
    <w:multiLevelType w:val="hybridMultilevel"/>
    <w:lvl w:ilvl="0">
      <w:lvlJc w:val="left"/>
      <w:lvlText w:val="(%1)"/>
      <w:numFmt w:val="lowerLetter"/>
      <w:start w:val="14"/>
    </w:lvl>
  </w:abstractNum>
  <w:abstractNum w:abstractNumId="40">
    <w:nsid w:val="70A64E2A"/>
    <w:multiLevelType w:val="hybridMultilevel"/>
    <w:lvl w:ilvl="0">
      <w:lvlJc w:val="left"/>
      <w:lvlText w:val="(%1)"/>
      <w:numFmt w:val="lowerLetter"/>
      <w:start w:val="17"/>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lowerLetter"/>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13" Type="http://schemas.openxmlformats.org/officeDocument/2006/relationships/hyperlink" Target="https://www.sec.gov/Archives/edgar/data/1745114/000174511426000009/a11aoi_molecularpartnersx9.htm" TargetMode="External"/><Relationship Id="rId14" Type="http://schemas.openxmlformats.org/officeDocument/2006/relationships/hyperlink" Target="https://www.sec.gov/Archives/edgar/data/1745114/000174511422000004/a21-depositagreement.htm" TargetMode="External"/><Relationship Id="rId15" Type="http://schemas.openxmlformats.org/officeDocument/2006/relationships/hyperlink" Target="https://www.sec.gov/Archives/edgar/data/1745114/000174511422000004/a21-depositagreement.htm#iea4678c1698c48738b4aadb74199c3f0_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2026-06-24T15:17:43Z</dcterms:created>
  <dcterms:modified xsi:type="dcterms:W3CDTF">2026-06-24T15:17:43Z</dcterms:modified>
</cp:coreProperties>
</file>