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Molecular Partners AG</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Wagistrasse 14</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8952 Zurich-Schlieren</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May 1,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May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320" w:top="111" w:right="8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Molecular Partners AG</w:t>
            </w: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 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PATRICK AMSTUTZ</w:t>
            </w:r>
          </w:p>
        </w:tc>
      </w:tr>
      <w:tr>
        <w:trPr>
          <w:trHeight w:val="218"/>
        </w:trPr>
        <w:tc>
          <w:tcPr>
            <w:tcW w:w="7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Patrick Amstutz</w:t>
            </w:r>
          </w:p>
        </w:tc>
      </w:t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180"/>
        <w:spacing w:after="0" w:line="287" w:lineRule="auto"/>
        <w:rPr>
          <w:sz w:val="20"/>
          <w:szCs w:val="20"/>
          <w:color w:val="auto"/>
        </w:rPr>
      </w:pPr>
      <w:r>
        <w:rPr>
          <w:rFonts w:ascii="Times New Roman" w:cs="Times New Roman" w:eastAsia="Times New Roman" w:hAnsi="Times New Roman"/>
          <w:sz w:val="25"/>
          <w:szCs w:val="25"/>
          <w:b w:val="1"/>
          <w:bCs w:val="1"/>
          <w:color w:val="auto"/>
        </w:rPr>
        <w:t>Molecular Partners publishes Phase 1 MP0317 data in Nature Cancer demonstrating tumor-localized CD40 activation and tumor microenvironment remodeling</w:t>
      </w:r>
    </w:p>
    <w:p>
      <w:pPr>
        <w:spacing w:after="0" w:line="120" w:lineRule="exact"/>
        <w:rPr>
          <w:sz w:val="20"/>
          <w:szCs w:val="20"/>
          <w:color w:val="auto"/>
        </w:rPr>
      </w:pPr>
    </w:p>
    <w:p>
      <w:pPr>
        <w:ind w:left="540" w:right="220"/>
        <w:spacing w:after="0" w:line="262" w:lineRule="auto"/>
        <w:rPr>
          <w:sz w:val="20"/>
          <w:szCs w:val="20"/>
          <w:color w:val="auto"/>
        </w:rPr>
      </w:pPr>
      <w:r>
        <w:rPr>
          <w:rFonts w:ascii="Times New Roman" w:cs="Times New Roman" w:eastAsia="Times New Roman" w:hAnsi="Times New Roman"/>
          <w:sz w:val="22"/>
          <w:szCs w:val="22"/>
          <w:i w:val="1"/>
          <w:iCs w:val="1"/>
          <w:color w:val="auto"/>
        </w:rPr>
        <w:t>Positive Phase 1 data confirm MP0317’s tumor-localized CD40 activation with a favorable safety profile in patients with advanced cancer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i w:val="1"/>
          <w:iCs w:val="1"/>
          <w:color w:val="auto"/>
        </w:rPr>
        <w:t>Pharmacokinetic profile of MP0317 well suited for combination treatment settings, including checkpoint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3" w:lineRule="exact"/>
        <w:rPr>
          <w:sz w:val="20"/>
          <w:szCs w:val="20"/>
          <w:color w:val="auto"/>
        </w:rPr>
      </w:pPr>
    </w:p>
    <w:p>
      <w:pPr>
        <w:ind w:left="540" w:right="460"/>
        <w:spacing w:after="0" w:line="262" w:lineRule="auto"/>
        <w:rPr>
          <w:sz w:val="20"/>
          <w:szCs w:val="20"/>
          <w:color w:val="auto"/>
        </w:rPr>
      </w:pPr>
      <w:r>
        <w:rPr>
          <w:rFonts w:ascii="Times New Roman" w:cs="Times New Roman" w:eastAsia="Times New Roman" w:hAnsi="Times New Roman"/>
          <w:sz w:val="22"/>
          <w:szCs w:val="22"/>
          <w:i w:val="1"/>
          <w:iCs w:val="1"/>
          <w:color w:val="auto"/>
        </w:rPr>
        <w:t>Randomized Phase 2 investigator-initiated trial of MP0317 in front-line cholangiocarcinoma open with patient dosing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 xml:space="preserve">ZURICH-SCHLIEREN, Switzerland and CONCORD, Mass., May 01, 2026 (GLOBE NEWSWIRE) -- </w:t>
      </w:r>
      <w:r>
        <w:rPr>
          <w:rFonts w:ascii="Times New Roman" w:cs="Times New Roman" w:eastAsia="Times New Roman" w:hAnsi="Times New Roman"/>
          <w:sz w:val="22"/>
          <w:szCs w:val="22"/>
          <w:b w:val="1"/>
          <w:bCs w:val="1"/>
          <w:color w:val="auto"/>
        </w:rPr>
        <w:t>Ad hoc announcement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pursuant to Art. 53 LR </w:t>
      </w:r>
      <w:r>
        <w:rPr>
          <w:rFonts w:ascii="Times New Roman" w:cs="Times New Roman" w:eastAsia="Times New Roman" w:hAnsi="Times New Roman"/>
          <w:sz w:val="22"/>
          <w:szCs w:val="22"/>
          <w:color w:val="auto"/>
        </w:rPr>
        <w:t>Molecular Partners AG (SIX: MOLN; NASDAQ: MOLN), a clinical-stage biotech company developing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novel class of custom-built protein drugs known as DARPin therapeutics (“Molecular Partners” or the “Company”), today announced the publication of Phase 1 clinical data in </w:t>
      </w:r>
      <w:r>
        <w:rPr>
          <w:rFonts w:ascii="Times New Roman" w:cs="Times New Roman" w:eastAsia="Times New Roman" w:hAnsi="Times New Roman"/>
          <w:sz w:val="22"/>
          <w:szCs w:val="22"/>
          <w:i w:val="1"/>
          <w:iCs w:val="1"/>
          <w:color w:val="auto"/>
        </w:rPr>
        <w:t>Nature Cancer</w:t>
      </w:r>
      <w:r>
        <w:rPr>
          <w:rFonts w:ascii="Times New Roman" w:cs="Times New Roman" w:eastAsia="Times New Roman" w:hAnsi="Times New Roman"/>
          <w:sz w:val="22"/>
          <w:szCs w:val="22"/>
          <w:color w:val="auto"/>
        </w:rPr>
        <w:t xml:space="preserve"> demonstrating the potential of the tumor-localized CD40 agonist, MP0317, to modulate the tumor microenvironment (TME). MP0317 is designed to activate immune cells specifically within the TME by anchoring to fibroblast activation protein (FAP), which is expressed in high amounts in the stroma of various solid tumors. This tumor-localized approach has the potential to deliver greater efficacy with fewer side effects compared to systemic CD40-targeting therapies.</w:t>
      </w:r>
    </w:p>
    <w:p>
      <w:pPr>
        <w:spacing w:after="0" w:line="178"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The peer-reviewed paper published by Steehgs et al., entitled “</w:t>
      </w:r>
      <w:r>
        <w:rPr>
          <w:rFonts w:ascii="Times New Roman" w:cs="Times New Roman" w:eastAsia="Times New Roman" w:hAnsi="Times New Roman"/>
          <w:sz w:val="22"/>
          <w:szCs w:val="22"/>
          <w:i w:val="1"/>
          <w:iCs w:val="1"/>
          <w:color w:val="auto"/>
        </w:rPr>
        <w:t>Tumor-localized CD40 agonism with MP0317, a FAPxCD40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DARPin, reprograms the tumor microenvironment - results of a Phase 1 monotherapy study</w:t>
      </w:r>
      <w:r>
        <w:rPr>
          <w:rFonts w:ascii="Times New Roman" w:cs="Times New Roman" w:eastAsia="Times New Roman" w:hAnsi="Times New Roman"/>
          <w:sz w:val="22"/>
          <w:szCs w:val="22"/>
          <w:color w:val="auto"/>
        </w:rPr>
        <w:t>”, reports the positive results from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completed Phase 1 dose escalation study of MP0317 (NCT05098405). The comprehensive biomarker data confirm proof-of-mechanism for MP0317, including tumor-localized activation of the CD40 pathway and evidence of TME remodeling in patients with advanced solid tumors. MP0317 displayed a favorable safety profile up to the highest tested dose and serum pharmacokinetics confirmed suitability for dosing either weekly or every three weeks. Of the 46 patients in the study, one patient achieved an unconfirmed partial response and 14 patients stable disease in this heterogeneous population with advanced diseases. Data were presented at the 2024 Annual Meetings of the American Society of Clinical Oncology (ASCO) and of the Society for Immunotherapy of Cancer (SITC).</w:t>
      </w:r>
    </w:p>
    <w:p>
      <w:pPr>
        <w:spacing w:after="0" w:line="174"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2"/>
          <w:szCs w:val="22"/>
          <w:color w:val="auto"/>
        </w:rPr>
        <w:t xml:space="preserve">"The Phase 1 data published in </w:t>
      </w:r>
      <w:r>
        <w:rPr>
          <w:rFonts w:ascii="Times New Roman" w:cs="Times New Roman" w:eastAsia="Times New Roman" w:hAnsi="Times New Roman"/>
          <w:sz w:val="22"/>
          <w:szCs w:val="22"/>
          <w:i w:val="1"/>
          <w:iCs w:val="1"/>
          <w:color w:val="auto"/>
        </w:rPr>
        <w:t>Nature Cancer</w:t>
      </w:r>
      <w:r>
        <w:rPr>
          <w:rFonts w:ascii="Times New Roman" w:cs="Times New Roman" w:eastAsia="Times New Roman" w:hAnsi="Times New Roman"/>
          <w:sz w:val="22"/>
          <w:szCs w:val="22"/>
          <w:color w:val="auto"/>
        </w:rPr>
        <w:t xml:space="preserve"> demonstrate the promising ability of MP0317 to turn cold tumors hot by locally modulating the tumor microenvironment, while avoiding systemic toxicities often seen with untargeted CD40 agonists. These data support further clinical evaluation of MP0317 in combination with other immunotherapy modalities, such as checkpoint inhibitors,” said coordinating investigator Philippe Cassier, M.D., Ph.D., of the Centre Léon Bérard in Lyon, France. “We are currently enrolling patients with cholangiocarcinoma in an investigator-initiated Phase 2 study of MP0317 in combination with standard of care chemotherapy and anti-PDL1 therapy, led by Prof. Christophe Borg, and look forward to assessing its clinical benefit for patients.”</w:t>
      </w:r>
    </w:p>
    <w:p>
      <w:pPr>
        <w:spacing w:after="0" w:line="18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An investigator-initiated, proof-of-concept Phase 2 study of MP0317 combined with standard-of-care (SoC) for the treatment of patients with advanced cholangiocarcinoma is now open with eight sites activated (NCT07036380) and patient dosing ongoing. The multicenter study aims to recruit 75 patients in France, randomized 2-to-1 with 50 patients in the experimental arm, and 25 in the control arm. The objective of the study is to assess the clinical benefit of MP0317 combined with SoC comprising the immunotherapy durvalumab, an anti-PD-L1 checkpoint inhibitor, plus gemcitabine-cisplatin-based chemotherapy, compared to SoC alone. The TME is known to play a crucial role in cholangiocarcinoma development and treatment resistance. MP0317 is hypothesized to lead to immune-mediated reshaping of the TME, thereby improving the 12-month progression-free survival rate of patients compared to those treated with SoC alone.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publication in </w:t>
      </w:r>
      <w:r>
        <w:rPr>
          <w:rFonts w:ascii="Times New Roman" w:cs="Times New Roman" w:eastAsia="Times New Roman" w:hAnsi="Times New Roman"/>
          <w:sz w:val="22"/>
          <w:szCs w:val="22"/>
          <w:i w:val="1"/>
          <w:iCs w:val="1"/>
          <w:color w:val="auto"/>
        </w:rPr>
        <w:t>Nature Cancer</w:t>
      </w:r>
      <w:r>
        <w:rPr>
          <w:rFonts w:ascii="Times New Roman" w:cs="Times New Roman" w:eastAsia="Times New Roman" w:hAnsi="Times New Roman"/>
          <w:sz w:val="22"/>
          <w:szCs w:val="22"/>
          <w:color w:val="auto"/>
        </w:rPr>
        <w:t xml:space="preserve"> is available online and accessible via the following URL: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https://www.nature.com/articles/s43018-026-01150-1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Molecular Partners AG</w:t>
      </w:r>
    </w:p>
    <w:p>
      <w:pPr>
        <w:spacing w:after="0" w:line="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www.molecularpartners.com and find us on LinkedIn and Twitter / X @MolecularPrtnrs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details, please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Seth Lewis, EVP Corporate Finance</w:t>
      </w:r>
    </w:p>
    <w:p>
      <w:pPr>
        <w:spacing w:after="0" w:line="230" w:lineRule="auto"/>
        <w:rPr>
          <w:sz w:val="20"/>
          <w:szCs w:val="20"/>
          <w:color w:val="auto"/>
        </w:rPr>
      </w:pPr>
      <w:r>
        <w:rPr>
          <w:rFonts w:ascii="Times New Roman" w:cs="Times New Roman" w:eastAsia="Times New Roman" w:hAnsi="Times New Roman"/>
          <w:sz w:val="22"/>
          <w:szCs w:val="22"/>
          <w:color w:val="auto"/>
        </w:rPr>
        <w:t>Concord, Massachusetts, U.S.</w:t>
      </w:r>
    </w:p>
    <w:p>
      <w:pPr>
        <w:spacing w:after="0" w:line="231" w:lineRule="auto"/>
        <w:rPr>
          <w:sz w:val="20"/>
          <w:szCs w:val="20"/>
          <w:color w:val="auto"/>
        </w:rPr>
      </w:pPr>
      <w:r>
        <w:rPr>
          <w:rFonts w:ascii="Times New Roman" w:cs="Times New Roman" w:eastAsia="Times New Roman" w:hAnsi="Times New Roman"/>
          <w:sz w:val="22"/>
          <w:szCs w:val="22"/>
          <w:color w:val="auto"/>
        </w:rPr>
        <w:t>seth.lewis@molecularpartners.com</w:t>
      </w:r>
    </w:p>
    <w:p>
      <w:pPr>
        <w:spacing w:after="0"/>
        <w:rPr>
          <w:sz w:val="20"/>
          <w:szCs w:val="20"/>
          <w:color w:val="auto"/>
        </w:rPr>
      </w:pPr>
      <w:r>
        <w:rPr>
          <w:rFonts w:ascii="Times New Roman" w:cs="Times New Roman" w:eastAsia="Times New Roman" w:hAnsi="Times New Roman"/>
          <w:sz w:val="22"/>
          <w:szCs w:val="22"/>
          <w:color w:val="auto"/>
        </w:rPr>
        <w:t>Tel: +1 781 420 2361</w:t>
      </w:r>
    </w:p>
    <w:p>
      <w:pPr>
        <w:sectPr>
          <w:pgSz w:w="11900" w:h="16838" w:orient="portrait"/>
          <w:cols w:equalWidth="0" w:num="1">
            <w:col w:w="11240"/>
          </w:cols>
          <w:pgMar w:left="320" w:top="108" w:right="339" w:bottom="224"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Laura Jeanbart, PhD, Head of Portfolio Management &amp; 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Zurich-Schlieren, Switzerland</w:t>
      </w:r>
    </w:p>
    <w:p>
      <w:pPr>
        <w:spacing w:after="0" w:line="230" w:lineRule="auto"/>
        <w:rPr>
          <w:sz w:val="20"/>
          <w:szCs w:val="20"/>
          <w:color w:val="auto"/>
        </w:rPr>
      </w:pPr>
      <w:r>
        <w:rPr>
          <w:rFonts w:ascii="Times New Roman" w:cs="Times New Roman" w:eastAsia="Times New Roman" w:hAnsi="Times New Roman"/>
          <w:sz w:val="22"/>
          <w:szCs w:val="22"/>
          <w:color w:val="auto"/>
        </w:rPr>
        <w:t>laura.jeanbart@molecularpartners.com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+41 44 575 19 35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1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w:t>
      </w:r>
    </w:p>
    <w:p>
      <w:pPr>
        <w:spacing w:after="0" w:line="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at www.molecularpartners.com. In addition, this press release contains information relating to interim data as of the relevant data cutoff date, results of which may differ from topline results that may be obtained in the future.</w:t>
      </w:r>
    </w:p>
    <w:p>
      <w:pPr>
        <w:spacing w:after="0" w:line="17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2026-05-01T08:28:49Z</dcterms:created>
  <dcterms:modified xsi:type="dcterms:W3CDTF">2026-05-01T08:28:49Z</dcterms:modified>
</cp:coreProperties>
</file>