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U.S. Securities and Exchange Commission on June 14,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333-255447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MOLECULAR PARTNERS AG</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5"/>
              </w:rPr>
              <w:t>Switzerland</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2836</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1"/>
              </w:rPr>
              <w:t>Not applicable</w:t>
            </w:r>
          </w:p>
        </w:tc>
      </w:tr>
      <w:tr>
        <w:trPr>
          <w:trHeight w:val="192"/>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Identification Number)</w:t>
            </w:r>
          </w:p>
        </w:tc>
      </w:tr>
      <w:tr>
        <w:trPr>
          <w:trHeight w:val="259"/>
        </w:trPr>
        <w:tc>
          <w:tcPr>
            <w:tcW w:w="2840" w:type="dxa"/>
            <w:vAlign w:val="bottom"/>
          </w:tcPr>
          <w:p>
            <w:pPr>
              <w:spacing w:after="0"/>
              <w:rPr>
                <w:sz w:val="22"/>
                <w:szCs w:val="22"/>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Wagistrasse 14</w:t>
            </w:r>
          </w:p>
        </w:tc>
        <w:tc>
          <w:tcPr>
            <w:tcW w:w="2520" w:type="dxa"/>
            <w:vAlign w:val="bottom"/>
          </w:tcPr>
          <w:p>
            <w:pPr>
              <w:spacing w:after="0"/>
              <w:rPr>
                <w:sz w:val="22"/>
                <w:szCs w:val="22"/>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8952 Zürich-Schlieren</w:t>
            </w:r>
          </w:p>
        </w:tc>
        <w:tc>
          <w:tcPr>
            <w:tcW w:w="25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5"/>
              </w:rPr>
              <w:t>Switzerland</w:t>
            </w:r>
          </w:p>
        </w:tc>
        <w:tc>
          <w:tcPr>
            <w:tcW w:w="2520" w:type="dxa"/>
            <w:vAlign w:val="bottom"/>
          </w:tcPr>
          <w:p>
            <w:pPr>
              <w:spacing w:after="0"/>
              <w:rPr>
                <w:sz w:val="14"/>
                <w:szCs w:val="14"/>
                <w:color w:val="auto"/>
              </w:rPr>
            </w:pPr>
          </w:p>
        </w:tc>
      </w:tr>
      <w:tr>
        <w:trPr>
          <w:trHeight w:val="178"/>
        </w:trPr>
        <w:tc>
          <w:tcPr>
            <w:tcW w:w="2840" w:type="dxa"/>
            <w:vAlign w:val="bottom"/>
          </w:tcPr>
          <w:p>
            <w:pPr>
              <w:spacing w:after="0"/>
              <w:rPr>
                <w:sz w:val="15"/>
                <w:szCs w:val="15"/>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Telephone: +41 44 755 77 00</w:t>
            </w:r>
          </w:p>
        </w:tc>
        <w:tc>
          <w:tcPr>
            <w:tcW w:w="252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107950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Molecular Partners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245 Main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Cambridge, Massachusetts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(781) 420 2361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116205</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9" w:lineRule="exact"/>
        <w:rPr>
          <w:sz w:val="24"/>
          <w:szCs w:val="24"/>
          <w:color w:val="auto"/>
        </w:rPr>
      </w:pPr>
    </w:p>
    <w:tbl>
      <w:tblPr>
        <w:tblLayout w:type="fixed"/>
        <w:tblInd w:w="58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Copies to:</w:t>
            </w:r>
          </w:p>
        </w:tc>
        <w:tc>
          <w:tcPr>
            <w:tcW w:w="2280" w:type="dxa"/>
            <w:vAlign w:val="bottom"/>
          </w:tcPr>
          <w:p>
            <w:pPr>
              <w:spacing w:after="0"/>
              <w:rPr>
                <w:sz w:val="16"/>
                <w:szCs w:val="16"/>
                <w:color w:val="auto"/>
              </w:rPr>
            </w:pPr>
          </w:p>
        </w:tc>
      </w:tr>
      <w:tr>
        <w:trPr>
          <w:trHeight w:val="196"/>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Divakar Gupta</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Dieter Gericke</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Deanna Kirkpatrick</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Thomas Reutter</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88"/>
              </w:rPr>
              <w:t>Ryan Sansom</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Lorenzo Togni</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2"/>
              </w:rPr>
              <w:t>Yasin Keshvargar</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3"/>
              </w:rPr>
              <w:t>Alexander von Jeinsen</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2"/>
              </w:rPr>
              <w:t>Brandon Fenn</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Homburger AG</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7"/>
              </w:rPr>
              <w:t>Davis Polk &amp; Wardwell LLP</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5"/>
              </w:rPr>
              <w:t>Advestra AG</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Cooley LLP</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5"/>
              </w:rPr>
              <w:t>Prime Tower</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450 Lexington Avenue</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89"/>
              </w:rPr>
              <w:t>Uraniastrasse 9</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0"/>
              </w:rPr>
              <w:t>55 Hudson Yards</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89"/>
              </w:rPr>
              <w:t>Hardstrasse 201</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New York, NY 10017</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6"/>
              </w:rPr>
              <w:t>CH-8001</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New York, New York 10001</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CH-8005 Zurich</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Telephone: (212) 450-4000</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5"/>
              </w:rPr>
              <w:t>Zurich, Switzerland</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3"/>
              </w:rPr>
              <w:t>Telephone: (212) 479-6000</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Switzerland</w:t>
            </w:r>
          </w:p>
        </w:tc>
        <w:tc>
          <w:tcPr>
            <w:tcW w:w="3240" w:type="dxa"/>
            <w:vAlign w:val="bottom"/>
          </w:tcPr>
          <w:p>
            <w:pPr>
              <w:spacing w:after="0"/>
              <w:rPr>
                <w:sz w:val="14"/>
                <w:szCs w:val="14"/>
                <w:color w:val="auto"/>
              </w:rPr>
            </w:pP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Telephone: + 41 58 510 92 00</w:t>
            </w:r>
          </w:p>
        </w:tc>
      </w:tr>
      <w:tr>
        <w:trPr>
          <w:trHeight w:val="182"/>
        </w:trPr>
        <w:tc>
          <w:tcPr>
            <w:tcW w:w="2220" w:type="dxa"/>
            <w:vAlign w:val="bottom"/>
          </w:tcPr>
          <w:p>
            <w:pPr>
              <w:spacing w:after="0"/>
              <w:rPr>
                <w:sz w:val="15"/>
                <w:szCs w:val="15"/>
                <w:color w:val="auto"/>
              </w:rPr>
            </w:pP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1"/>
              </w:rPr>
              <w:t>Telephone: +41 43 222 16 59</w:t>
            </w:r>
          </w:p>
        </w:tc>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127635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As soon as practicable after this Registration Statement becomes effective.</w:t>
      </w:r>
    </w:p>
    <w:p>
      <w:pPr>
        <w:spacing w:after="0" w:line="39"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80"/>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1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60"/>
        <w:spacing w:after="0" w:line="216"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ind w:right="440" w:firstLine="8"/>
        <w:spacing w:after="0" w:line="258"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PROPOSED</w:t>
            </w:r>
          </w:p>
        </w:tc>
        <w:tc>
          <w:tcPr>
            <w:tcW w:w="3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00" w:type="dxa"/>
            <w:vAlign w:val="bottom"/>
          </w:tcPr>
          <w:p>
            <w:pPr>
              <w:spacing w:after="0"/>
              <w:rPr>
                <w:sz w:val="14"/>
                <w:szCs w:val="14"/>
                <w:color w:val="auto"/>
              </w:rPr>
            </w:pPr>
          </w:p>
        </w:tc>
        <w:tc>
          <w:tcPr>
            <w:tcW w:w="184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MAXIMUM AGGREGATE</w:t>
            </w:r>
          </w:p>
        </w:tc>
        <w:tc>
          <w:tcPr>
            <w:tcW w:w="300" w:type="dxa"/>
            <w:vAlign w:val="bottom"/>
          </w:tcPr>
          <w:p>
            <w:pPr>
              <w:spacing w:after="0"/>
              <w:rPr>
                <w:sz w:val="14"/>
                <w:szCs w:val="14"/>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b w:val="1"/>
                <w:bCs w:val="1"/>
                <w:color w:val="auto"/>
              </w:rPr>
              <w:t>AMOUNT OF</w:t>
            </w:r>
          </w:p>
        </w:tc>
      </w:tr>
      <w:tr>
        <w:trPr>
          <w:trHeight w:val="186"/>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00" w:type="dxa"/>
            <w:vAlign w:val="bottom"/>
          </w:tcPr>
          <w:p>
            <w:pPr>
              <w:spacing w:after="0"/>
              <w:rPr>
                <w:sz w:val="16"/>
                <w:szCs w:val="16"/>
                <w:color w:val="auto"/>
              </w:rPr>
            </w:pPr>
          </w:p>
        </w:tc>
        <w:tc>
          <w:tcPr>
            <w:tcW w:w="18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OFFERING PRICE(1)</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REGISTRATION FEE(2)(3)</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4"/>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Shares, CHF 0.10 nominal value per share(4)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93,633,000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10,215.36</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4"/>
          <w:szCs w:val="24"/>
          <w:color w:val="auto"/>
        </w:rPr>
      </w:pPr>
    </w:p>
    <w:p>
      <w:pPr>
        <w:ind w:right="20" w:firstLine="8"/>
        <w:spacing w:after="0" w:line="260" w:lineRule="auto"/>
        <w:tabs>
          <w:tab w:leader="none" w:pos="292"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common shares represented by American Depositary Shares, or ADSs, which the underwriters have the option to purchase to cover over-allotments, if any. See “Underwriting.”</w:t>
      </w: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12" w:lineRule="exact"/>
        <w:rPr>
          <w:rFonts w:ascii="Arial" w:cs="Arial" w:eastAsia="Arial" w:hAnsi="Arial"/>
          <w:sz w:val="13"/>
          <w:szCs w:val="13"/>
          <w:color w:val="auto"/>
        </w:rPr>
      </w:pP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previously paid a registration fee of $10,910 in relation to its filing of its initial Registration Statement on Form F-1 (No. 333-255447) on April 22, 2021.</w:t>
      </w:r>
    </w:p>
    <w:p>
      <w:pPr>
        <w:spacing w:after="0" w:line="12" w:lineRule="exact"/>
        <w:rPr>
          <w:rFonts w:ascii="Arial" w:cs="Arial" w:eastAsia="Arial" w:hAnsi="Arial"/>
          <w:sz w:val="13"/>
          <w:szCs w:val="13"/>
          <w:color w:val="auto"/>
        </w:rPr>
      </w:pPr>
    </w:p>
    <w:p>
      <w:pPr>
        <w:ind w:right="460" w:firstLine="8"/>
        <w:spacing w:after="0" w:line="280" w:lineRule="auto"/>
        <w:tabs>
          <w:tab w:leader="none" w:pos="285"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common shares will be in the form of ADSs, with each ADS representing one common share of the registrant. ADSs issuable upon deposit of the common shares registered hereby have been registered pursuant to a separate registration statement on Form F-6.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121920</wp:posOffset>
            </wp:positionV>
            <wp:extent cx="185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61" w:lineRule="exact"/>
        <w:rPr>
          <w:sz w:val="24"/>
          <w:szCs w:val="24"/>
          <w:color w:val="auto"/>
        </w:rPr>
      </w:pPr>
    </w:p>
    <w:p>
      <w:pPr>
        <w:ind w:right="160"/>
        <w:spacing w:after="0" w:line="286"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26"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60"/>
        <w:spacing w:after="0" w:line="262" w:lineRule="auto"/>
        <w:rPr>
          <w:sz w:val="20"/>
          <w:szCs w:val="20"/>
          <w:color w:val="auto"/>
        </w:rPr>
      </w:pPr>
      <w:r>
        <w:rPr>
          <w:rFonts w:ascii="Arial" w:cs="Arial" w:eastAsia="Arial" w:hAnsi="Arial"/>
          <w:sz w:val="18"/>
          <w:szCs w:val="18"/>
          <w:b w:val="1"/>
          <w:bCs w:val="1"/>
          <w:color w:val="A6555F"/>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6555F"/>
        </w:rPr>
        <w:t>SUBJECT TO COMPLETION, DATED June 14,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3,000,000 American Depositary Shares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3,000,000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97155</wp:posOffset>
            </wp:positionV>
            <wp:extent cx="257175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80" w:hanging="936"/>
        <w:spacing w:after="0"/>
        <w:tabs>
          <w:tab w:leader="none" w:pos="43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This is the initial public offering of our American Depositary Shares, or ADSs. We are selling 3,000,000 common shares in the form of ADSs in the United States. Each ADS represents the right to receive one common share and the ADSs may be evidenced by American Depositary Receipts, or ADRs. We have applied to list our ADSs on the Nasdaq Global Market, under the symbol “MOLN”.</w:t>
      </w:r>
    </w:p>
    <w:p>
      <w:pPr>
        <w:spacing w:after="0" w:line="21"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Our common shares are listed on the SIX Swiss Exchange Ltd, or the SIX Swiss Exchange, under the symbol “MOLN”. On June 8, 2021, the last reported sale price of our common shares on the SIX Swiss Exchange was CHF 24.40 per common share, equivalent to a price of $27.14 per ADS (</w:t>
      </w:r>
      <w:r>
        <w:rPr>
          <w:rFonts w:ascii="Arial" w:cs="Arial" w:eastAsia="Arial" w:hAnsi="Arial"/>
          <w:sz w:val="15"/>
          <w:szCs w:val="15"/>
          <w:color w:val="auto"/>
        </w:rPr>
        <w:t>based on an exchange rate of CHF 1.00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$1.1123, the noon buying rate of the Federal Reserve Bank of New York on June 4, 2021)</w:t>
      </w:r>
      <w:r>
        <w:rPr>
          <w:rFonts w:ascii="Arial" w:cs="Arial" w:eastAsia="Arial" w:hAnsi="Arial"/>
          <w:sz w:val="14"/>
          <w:szCs w:val="14"/>
          <w:color w:val="auto"/>
        </w:rPr>
        <w:t>. The offering price per common share will be determined by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prevailing market prices of our common shares on the SIX Swiss Exchange after taking into account market conditions and other factors.</w:t>
      </w:r>
    </w:p>
    <w:p>
      <w:pPr>
        <w:spacing w:after="0" w:line="45" w:lineRule="exact"/>
        <w:rPr>
          <w:sz w:val="20"/>
          <w:szCs w:val="20"/>
          <w:color w:val="auto"/>
        </w:rPr>
      </w:pPr>
    </w:p>
    <w:p>
      <w:pPr>
        <w:jc w:val="both"/>
        <w:ind w:right="40"/>
        <w:spacing w:after="0" w:line="324" w:lineRule="auto"/>
        <w:rPr>
          <w:sz w:val="20"/>
          <w:szCs w:val="20"/>
          <w:color w:val="auto"/>
        </w:rPr>
      </w:pPr>
      <w:r>
        <w:rPr>
          <w:rFonts w:ascii="Arial" w:cs="Arial" w:eastAsia="Arial" w:hAnsi="Arial"/>
          <w:sz w:val="14"/>
          <w:szCs w:val="14"/>
          <w:b w:val="1"/>
          <w:bCs w:val="1"/>
          <w:color w:val="auto"/>
        </w:rPr>
        <w:t>We are an “emerging growth company” as that term is used in the Jumpstart Our Business Startups Act of 2012 and, as such, have elected to comply with certain reduced public company reporting requirements. Investing in our ADSs involves a high degree of risk. See “Risk Factors” beginning on page 14 of this prospectus.</w:t>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Neither the United States Securities and Exchange Commission nor any U.S.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500" w:type="dxa"/>
            <w:vAlign w:val="bottom"/>
          </w:tcPr>
          <w:p>
            <w:pPr>
              <w:ind w:left="2460"/>
              <w:spacing w:after="0"/>
              <w:rPr>
                <w:sz w:val="20"/>
                <w:szCs w:val="20"/>
                <w:color w:val="auto"/>
              </w:rPr>
            </w:pPr>
            <w:r>
              <w:rPr>
                <w:rFonts w:ascii="Arial" w:cs="Arial" w:eastAsia="Arial" w:hAnsi="Arial"/>
                <w:sz w:val="14"/>
                <w:szCs w:val="14"/>
                <w:b w:val="1"/>
                <w:bCs w:val="1"/>
                <w:color w:val="auto"/>
              </w:rPr>
              <w:t>Per ADS</w:t>
            </w:r>
          </w:p>
        </w:tc>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Offering price</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30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23"/>
                <w:szCs w:val="23"/>
                <w:b w:val="1"/>
                <w:bCs w:val="1"/>
                <w:color w:val="auto"/>
                <w:vertAlign w:val="superscript"/>
              </w:rPr>
              <w:t>(1)</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Proceeds to us, before expenses</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We refer you to “Underwriting” beginning on page 237 of this prospectus for additional information regarding underwriting compensation in the offering.</w:t>
      </w:r>
    </w:p>
    <w:p>
      <w:pPr>
        <w:spacing w:after="0" w:line="59"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We have agreed to issue, at the option of the underwriters, within 30 days from the date of the underwriting agreement, up to an aggregate of 450,000 additional ADSs in the offering to be sold to the several underwriters at the applicable offering price. If the underwriters exercise this option in full, the total underwriting commissions payable by</w:t>
      </w:r>
    </w:p>
    <w:p>
      <w:pPr>
        <w:spacing w:after="0"/>
        <w:tabs>
          <w:tab w:leader="none" w:pos="1060" w:val="left"/>
          <w:tab w:leader="none" w:pos="5040" w:val="left"/>
        </w:tabs>
        <w:rPr>
          <w:sz w:val="20"/>
          <w:szCs w:val="20"/>
          <w:color w:val="auto"/>
        </w:rPr>
      </w:pPr>
      <w:r>
        <w:rPr>
          <w:rFonts w:ascii="Arial" w:cs="Arial" w:eastAsia="Arial" w:hAnsi="Arial"/>
          <w:sz w:val="16"/>
          <w:szCs w:val="16"/>
          <w:color w:val="auto"/>
        </w:rPr>
        <w:t>us will be $</w:t>
      </w:r>
      <w:r>
        <w:rPr>
          <w:sz w:val="20"/>
          <w:szCs w:val="20"/>
          <w:color w:val="auto"/>
        </w:rPr>
        <w:tab/>
      </w:r>
      <w:r>
        <w:rPr>
          <w:rFonts w:ascii="Arial" w:cs="Arial" w:eastAsia="Arial" w:hAnsi="Arial"/>
          <w:sz w:val="16"/>
          <w:szCs w:val="16"/>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913" w:right="339" w:bottom="1440" w:gutter="0" w:footer="0" w:header="0"/>
        </w:sectPr>
      </w:pPr>
    </w:p>
    <w:p>
      <w:pPr>
        <w:spacing w:after="0" w:line="4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underwriters expect to deliver the ADSs to purchasers in the offering on or about DTC.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2021 through the book-entry facilities of The Depository Trust Company, or</w:t>
      </w:r>
    </w:p>
    <w:p>
      <w:pPr>
        <w:spacing w:after="0" w:line="306" w:lineRule="exact"/>
        <w:rPr>
          <w:sz w:val="20"/>
          <w:szCs w:val="20"/>
          <w:color w:val="auto"/>
        </w:rPr>
      </w:pPr>
    </w:p>
    <w:p>
      <w:pPr>
        <w:sectPr>
          <w:pgSz w:w="11900" w:h="16838" w:orient="portrait"/>
          <w:cols w:equalWidth="0" w:num="2">
            <w:col w:w="5540" w:space="660"/>
            <w:col w:w="50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11240"/>
          </w:cols>
          <w:pgMar w:left="320" w:top="913" w:right="339" w:bottom="144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23" w:lineRule="exact"/>
        <w:rPr>
          <w:sz w:val="20"/>
          <w:szCs w:val="20"/>
          <w:color w:val="auto"/>
        </w:rPr>
      </w:pPr>
    </w:p>
    <w:p>
      <w:pPr>
        <w:sectPr>
          <w:pgSz w:w="11900" w:h="16838" w:orient="portrait"/>
          <w:cols w:equalWidth="0" w:num="3">
            <w:col w:w="4100" w:space="720"/>
            <w:col w:w="4820" w:space="720"/>
            <w:col w:w="880"/>
          </w:cols>
          <w:pgMar w:left="320" w:top="913" w:right="339" w:bottom="1440" w:gutter="0" w:footer="0" w:header="0"/>
          <w:type w:val="continuous"/>
        </w:sectPr>
      </w:pP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Bookrunner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RBC Capital Markets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Kempen &amp; Co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Prospectus dated</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913" w:right="339" w:bottom="1440" w:gutter="0" w:footer="0" w:header="0"/>
          <w:type w:val="continuous"/>
        </w:sectPr>
      </w:pPr>
    </w:p>
    <w:bookmarkStart w:id="3" w:name="page4"/>
    <w:bookmarkEnd w:id="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Page</w:t>
            </w:r>
          </w:p>
        </w:tc>
      </w:tr>
      <w:tr>
        <w:trPr>
          <w:trHeight w:val="203"/>
        </w:trPr>
        <w:tc>
          <w:tcPr>
            <w:tcW w:w="1540" w:type="dxa"/>
            <w:vAlign w:val="bottom"/>
            <w:gridSpan w:val="8"/>
          </w:tcPr>
          <w:p>
            <w:pPr>
              <w:spacing w:after="0" w:line="202"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Prospectus Summary</w:t>
              </w:r>
            </w:hyperlink>
          </w:p>
        </w:tc>
        <w:tc>
          <w:tcPr>
            <w:tcW w:w="8960" w:type="dxa"/>
            <w:vAlign w:val="bottom"/>
            <w:gridSpan w:val="18"/>
          </w:tcPr>
          <w:p>
            <w:pPr>
              <w:spacing w:after="0"/>
              <w:rPr>
                <w:sz w:val="17"/>
                <w:szCs w:val="17"/>
                <w:color w:val="auto"/>
              </w:rPr>
            </w:pPr>
          </w:p>
        </w:tc>
        <w:tc>
          <w:tcPr>
            <w:tcW w:w="720" w:type="dxa"/>
            <w:vAlign w:val="bottom"/>
            <w:gridSpan w:val="4"/>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600" w:type="dxa"/>
            <w:vAlign w:val="bottom"/>
            <w:gridSpan w:val="5"/>
          </w:tcPr>
          <w:p>
            <w:pPr>
              <w:spacing w:after="0"/>
              <w:rPr>
                <w:sz w:val="21"/>
                <w:szCs w:val="21"/>
                <w:color w:val="auto"/>
              </w:rPr>
            </w:pPr>
          </w:p>
        </w:tc>
        <w:tc>
          <w:tcPr>
            <w:tcW w:w="896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14</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Special Note Regarding Forward-Looking Statements</w:t>
              </w:r>
            </w:hyperlink>
          </w:p>
        </w:tc>
        <w:tc>
          <w:tcPr>
            <w:tcW w:w="70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r>
      <w:tr>
        <w:trPr>
          <w:trHeight w:val="250"/>
        </w:trPr>
        <w:tc>
          <w:tcPr>
            <w:tcW w:w="236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Market, Industry and Other Data</w:t>
              </w:r>
            </w:hyperlink>
          </w:p>
        </w:tc>
        <w:tc>
          <w:tcPr>
            <w:tcW w:w="1520" w:type="dxa"/>
            <w:vAlign w:val="bottom"/>
            <w:tcBorders>
              <w:top w:val="single" w:sz="8" w:color="0000FF"/>
            </w:tcBorders>
            <w:gridSpan w:val="5"/>
          </w:tcPr>
          <w:p>
            <w:pPr>
              <w:spacing w:after="0"/>
              <w:rPr>
                <w:sz w:val="21"/>
                <w:szCs w:val="21"/>
                <w:color w:val="auto"/>
              </w:rPr>
            </w:pPr>
          </w:p>
        </w:tc>
        <w:tc>
          <w:tcPr>
            <w:tcW w:w="662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81</w:t>
              </w:r>
            </w:hyperlink>
          </w:p>
        </w:tc>
        <w:tc>
          <w:tcPr>
            <w:tcW w:w="20" w:type="dxa"/>
            <w:vAlign w:val="bottom"/>
          </w:tcPr>
          <w:p>
            <w:pPr>
              <w:spacing w:after="0"/>
              <w:rPr>
                <w:sz w:val="21"/>
                <w:szCs w:val="21"/>
                <w:color w:val="auto"/>
              </w:rPr>
            </w:pPr>
          </w:p>
        </w:tc>
      </w:tr>
      <w:tr>
        <w:trPr>
          <w:trHeight w:val="250"/>
        </w:trPr>
        <w:tc>
          <w:tcPr>
            <w:tcW w:w="2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Trademarks and Service Marks</w:t>
              </w:r>
            </w:hyperlink>
          </w:p>
        </w:tc>
        <w:tc>
          <w:tcPr>
            <w:tcW w:w="8240" w:type="dxa"/>
            <w:vAlign w:val="bottom"/>
            <w:gridSpan w:val="12"/>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82</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Use of Proceeds</w:t>
              </w:r>
            </w:hyperlink>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83</w:t>
              </w:r>
            </w:hyperlink>
          </w:p>
        </w:tc>
        <w:tc>
          <w:tcPr>
            <w:tcW w:w="20" w:type="dxa"/>
            <w:vAlign w:val="bottom"/>
          </w:tcPr>
          <w:p>
            <w:pPr>
              <w:spacing w:after="0"/>
              <w:rPr>
                <w:sz w:val="21"/>
                <w:szCs w:val="21"/>
                <w:color w:val="auto"/>
              </w:rPr>
            </w:pPr>
          </w:p>
        </w:tc>
      </w:tr>
      <w:tr>
        <w:trPr>
          <w:trHeight w:val="20"/>
        </w:trPr>
        <w:tc>
          <w:tcPr>
            <w:tcW w:w="5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2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Dividend Policy</w:t>
              </w:r>
            </w:hyperlink>
          </w:p>
        </w:tc>
        <w:tc>
          <w:tcPr>
            <w:tcW w:w="70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c>
          <w:tcPr>
            <w:tcW w:w="20" w:type="dxa"/>
            <w:vAlign w:val="bottom"/>
          </w:tcPr>
          <w:p>
            <w:pPr>
              <w:spacing w:after="0"/>
              <w:rPr>
                <w:sz w:val="18"/>
                <w:szCs w:val="18"/>
                <w:color w:val="auto"/>
              </w:rPr>
            </w:pPr>
          </w:p>
        </w:tc>
      </w:tr>
      <w:tr>
        <w:trPr>
          <w:trHeight w:val="250"/>
        </w:trPr>
        <w:tc>
          <w:tcPr>
            <w:tcW w:w="1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Capitalization</w:t>
              </w:r>
            </w:hyperlink>
          </w:p>
        </w:tc>
        <w:tc>
          <w:tcPr>
            <w:tcW w:w="160" w:type="dxa"/>
            <w:vAlign w:val="bottom"/>
            <w:tcBorders>
              <w:top w:val="single" w:sz="8" w:color="0000FF"/>
            </w:tcBorders>
          </w:tcPr>
          <w:p>
            <w:pPr>
              <w:spacing w:after="0"/>
              <w:rPr>
                <w:sz w:val="21"/>
                <w:szCs w:val="21"/>
                <w:color w:val="auto"/>
              </w:rPr>
            </w:pPr>
          </w:p>
        </w:tc>
        <w:tc>
          <w:tcPr>
            <w:tcW w:w="9320" w:type="dxa"/>
            <w:vAlign w:val="bottom"/>
            <w:gridSpan w:val="19"/>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87</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Dilution</w:t>
              </w:r>
            </w:hyperlink>
          </w:p>
        </w:tc>
        <w:tc>
          <w:tcPr>
            <w:tcW w:w="7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88</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Selected Financial Data</w:t>
              </w:r>
            </w:hyperlink>
          </w:p>
        </w:tc>
        <w:tc>
          <w:tcPr>
            <w:tcW w:w="8780" w:type="dxa"/>
            <w:vAlign w:val="bottom"/>
            <w:gridSpan w:val="16"/>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4">
              <w:r>
                <w:rPr>
                  <w:rFonts w:ascii="Arial" w:cs="Arial" w:eastAsia="Arial" w:hAnsi="Arial"/>
                  <w:sz w:val="18"/>
                  <w:szCs w:val="18"/>
                  <w:color w:val="0000FF"/>
                  <w:w w:val="79"/>
                </w:rPr>
                <w:t>90</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92</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2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Business</w:t>
              </w:r>
            </w:hyperlink>
          </w:p>
        </w:tc>
        <w:tc>
          <w:tcPr>
            <w:tcW w:w="4040" w:type="dxa"/>
            <w:vAlign w:val="bottom"/>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108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73">
              <w:r>
                <w:rPr>
                  <w:rFonts w:ascii="Arial" w:cs="Arial" w:eastAsia="Arial" w:hAnsi="Arial"/>
                  <w:sz w:val="18"/>
                  <w:szCs w:val="18"/>
                  <w:color w:val="0000FF"/>
                </w:rPr>
                <w:t>Management</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3">
              <w:r>
                <w:rPr>
                  <w:rFonts w:ascii="Arial" w:cs="Arial" w:eastAsia="Arial" w:hAnsi="Arial"/>
                  <w:sz w:val="18"/>
                  <w:szCs w:val="18"/>
                  <w:color w:val="0000FF"/>
                </w:rPr>
                <w:t>169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Executive Compensation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80">
              <w:r>
                <w:rPr>
                  <w:rFonts w:ascii="Arial" w:cs="Arial" w:eastAsia="Arial" w:hAnsi="Arial"/>
                  <w:sz w:val="18"/>
                  <w:szCs w:val="18"/>
                  <w:color w:val="0000FF"/>
                </w:rPr>
                <w:t>176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gridSpan w:val="12"/>
          </w:tcPr>
          <w:p>
            <w:pPr>
              <w:spacing w:after="0"/>
              <w:rPr>
                <w:rFonts w:ascii="Arial" w:cs="Arial" w:eastAsia="Arial" w:hAnsi="Arial"/>
                <w:sz w:val="18"/>
                <w:szCs w:val="18"/>
                <w:color w:val="0000FF"/>
                <w:w w:val="88"/>
              </w:rPr>
            </w:pPr>
            <w:hyperlink w:anchor="page185">
              <w:r>
                <w:rPr>
                  <w:rFonts w:ascii="Arial" w:cs="Arial" w:eastAsia="Arial" w:hAnsi="Arial"/>
                  <w:sz w:val="18"/>
                  <w:szCs w:val="18"/>
                  <w:color w:val="0000FF"/>
                  <w:w w:val="88"/>
                </w:rPr>
                <w:t>Related Party Transactions</w:t>
              </w:r>
            </w:hyperlink>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5">
              <w:r>
                <w:rPr>
                  <w:rFonts w:ascii="Arial" w:cs="Arial" w:eastAsia="Arial" w:hAnsi="Arial"/>
                  <w:sz w:val="18"/>
                  <w:szCs w:val="18"/>
                  <w:color w:val="0000FF"/>
                </w:rPr>
                <w:t>181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gridSpan w:val="9"/>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Principal Shareholders</w:t>
              </w:r>
            </w:hyperlink>
          </w:p>
        </w:tc>
        <w:tc>
          <w:tcPr>
            <w:tcW w:w="300" w:type="dxa"/>
            <w:vAlign w:val="bottom"/>
            <w:gridSpan w:val="3"/>
          </w:tcPr>
          <w:p>
            <w:pPr>
              <w:spacing w:after="0"/>
              <w:rPr>
                <w:sz w:val="21"/>
                <w:szCs w:val="21"/>
                <w:color w:val="auto"/>
              </w:rPr>
            </w:pPr>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7">
              <w:r>
                <w:rPr>
                  <w:rFonts w:ascii="Arial" w:cs="Arial" w:eastAsia="Arial" w:hAnsi="Arial"/>
                  <w:sz w:val="18"/>
                  <w:szCs w:val="18"/>
                  <w:color w:val="0000FF"/>
                </w:rPr>
                <w:t>183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Description of Share Capital and Articles of Association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0">
              <w:r>
                <w:rPr>
                  <w:rFonts w:ascii="Arial" w:cs="Arial" w:eastAsia="Arial" w:hAnsi="Arial"/>
                  <w:sz w:val="18"/>
                  <w:szCs w:val="18"/>
                  <w:color w:val="0000FF"/>
                </w:rPr>
                <w:t>186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Limitations Affecting Shareholders of a Swiss Company</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04">
              <w:r>
                <w:rPr>
                  <w:rFonts w:ascii="Arial" w:cs="Arial" w:eastAsia="Arial" w:hAnsi="Arial"/>
                  <w:sz w:val="18"/>
                  <w:szCs w:val="18"/>
                  <w:color w:val="0000FF"/>
                </w:rPr>
                <w:t>200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80" w:type="dxa"/>
            <w:vAlign w:val="bottom"/>
            <w:gridSpan w:val="23"/>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Comparison of Shareholder Rights</w:t>
              </w:r>
            </w:hyperlink>
          </w:p>
        </w:tc>
        <w:tc>
          <w:tcPr>
            <w:tcW w:w="6420" w:type="dxa"/>
            <w:vAlign w:val="bottom"/>
            <w:gridSpan w:val="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06">
              <w:r>
                <w:rPr>
                  <w:rFonts w:ascii="Arial" w:cs="Arial" w:eastAsia="Arial" w:hAnsi="Arial"/>
                  <w:sz w:val="18"/>
                  <w:szCs w:val="18"/>
                  <w:color w:val="0000FF"/>
                </w:rPr>
                <w:t>202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Description of American Depository Shares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9">
              <w:r>
                <w:rPr>
                  <w:rFonts w:ascii="Arial" w:cs="Arial" w:eastAsia="Arial" w:hAnsi="Arial"/>
                  <w:sz w:val="18"/>
                  <w:szCs w:val="18"/>
                  <w:color w:val="0000FF"/>
                </w:rPr>
                <w:t>215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0"/>
          </w:tcPr>
          <w:p>
            <w:pPr>
              <w:spacing w:after="0"/>
              <w:rPr>
                <w:rFonts w:ascii="Arial" w:cs="Arial" w:eastAsia="Arial" w:hAnsi="Arial"/>
                <w:sz w:val="18"/>
                <w:szCs w:val="18"/>
                <w:color w:val="0000FF"/>
                <w:w w:val="95"/>
              </w:rPr>
            </w:pPr>
            <w:hyperlink w:anchor="page231">
              <w:r>
                <w:rPr>
                  <w:rFonts w:ascii="Arial" w:cs="Arial" w:eastAsia="Arial" w:hAnsi="Arial"/>
                  <w:sz w:val="18"/>
                  <w:szCs w:val="18"/>
                  <w:color w:val="0000FF"/>
                  <w:w w:val="95"/>
                </w:rPr>
                <w:t>Shares and ADSs Eligible for Future Sale</w:t>
              </w:r>
            </w:hyperlink>
          </w:p>
        </w:tc>
        <w:tc>
          <w:tcPr>
            <w:tcW w:w="7340" w:type="dxa"/>
            <w:vAlign w:val="bottom"/>
            <w:gridSpan w:val="6"/>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1">
              <w:r>
                <w:rPr>
                  <w:rFonts w:ascii="Arial" w:cs="Arial" w:eastAsia="Arial" w:hAnsi="Arial"/>
                  <w:sz w:val="18"/>
                  <w:szCs w:val="18"/>
                  <w:color w:val="0000FF"/>
                </w:rPr>
                <w:t>227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Material United States Federal Income Tax Considerations for U.S. Holders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3">
              <w:r>
                <w:rPr>
                  <w:rFonts w:ascii="Arial" w:cs="Arial" w:eastAsia="Arial" w:hAnsi="Arial"/>
                  <w:sz w:val="18"/>
                  <w:szCs w:val="18"/>
                  <w:color w:val="0000FF"/>
                </w:rPr>
                <w:t>229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tcBorders>
            <w:gridSpan w:val="6"/>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0"/>
              </w:rPr>
            </w:pPr>
            <w:hyperlink w:anchor="page238">
              <w:r>
                <w:rPr>
                  <w:rFonts w:ascii="Arial" w:cs="Arial" w:eastAsia="Arial" w:hAnsi="Arial"/>
                  <w:sz w:val="18"/>
                  <w:szCs w:val="18"/>
                  <w:color w:val="0000FF"/>
                  <w:w w:val="90"/>
                </w:rPr>
                <w:t>Swiss Tax Implications for U.S. Holders</w:t>
              </w:r>
            </w:hyperlink>
          </w:p>
        </w:tc>
        <w:tc>
          <w:tcPr>
            <w:tcW w:w="2580" w:type="dxa"/>
            <w:vAlign w:val="bottom"/>
            <w:gridSpan w:val="6"/>
          </w:tcPr>
          <w:p>
            <w:pPr>
              <w:spacing w:after="0"/>
              <w:rPr>
                <w:sz w:val="21"/>
                <w:szCs w:val="21"/>
                <w:color w:val="auto"/>
              </w:rPr>
            </w:pPr>
          </w:p>
        </w:tc>
        <w:tc>
          <w:tcPr>
            <w:tcW w:w="5040" w:type="dxa"/>
            <w:vAlign w:val="bottom"/>
            <w:gridSpan w:val="2"/>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8">
              <w:r>
                <w:rPr>
                  <w:rFonts w:ascii="Arial" w:cs="Arial" w:eastAsia="Arial" w:hAnsi="Arial"/>
                  <w:sz w:val="18"/>
                  <w:szCs w:val="18"/>
                  <w:color w:val="0000FF"/>
                </w:rPr>
                <w:t>234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tcBorders>
              <w:left w:val="single" w:sz="8" w:color="0000FF"/>
            </w:tcBorders>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4"/>
          </w:tcPr>
          <w:p>
            <w:pPr>
              <w:spacing w:after="0"/>
              <w:rPr>
                <w:rFonts w:ascii="Arial" w:cs="Arial" w:eastAsia="Arial" w:hAnsi="Arial"/>
                <w:sz w:val="18"/>
                <w:szCs w:val="18"/>
                <w:color w:val="0000FF"/>
                <w:w w:val="94"/>
              </w:rPr>
            </w:pPr>
            <w:hyperlink w:anchor="page241">
              <w:r>
                <w:rPr>
                  <w:rFonts w:ascii="Arial" w:cs="Arial" w:eastAsia="Arial" w:hAnsi="Arial"/>
                  <w:sz w:val="18"/>
                  <w:szCs w:val="18"/>
                  <w:color w:val="0000FF"/>
                  <w:w w:val="94"/>
                </w:rPr>
                <w:t>Underwriting</w:t>
              </w:r>
            </w:hyperlink>
          </w:p>
        </w:tc>
        <w:tc>
          <w:tcPr>
            <w:tcW w:w="1900" w:type="dxa"/>
            <w:vAlign w:val="bottom"/>
            <w:gridSpan w:val="14"/>
          </w:tcPr>
          <w:p>
            <w:pPr>
              <w:spacing w:after="0"/>
              <w:rPr>
                <w:sz w:val="21"/>
                <w:szCs w:val="21"/>
                <w:color w:val="auto"/>
              </w:rPr>
            </w:pPr>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1">
              <w:r>
                <w:rPr>
                  <w:rFonts w:ascii="Arial" w:cs="Arial" w:eastAsia="Arial" w:hAnsi="Arial"/>
                  <w:sz w:val="18"/>
                  <w:szCs w:val="18"/>
                  <w:color w:val="0000FF"/>
                </w:rPr>
                <w:t>237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Legal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51">
              <w:r>
                <w:rPr>
                  <w:rFonts w:ascii="Arial" w:cs="Arial" w:eastAsia="Arial" w:hAnsi="Arial"/>
                  <w:sz w:val="18"/>
                  <w:szCs w:val="18"/>
                  <w:color w:val="0000FF"/>
                </w:rPr>
                <w:t>247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FF"/>
                <w:w w:val="85"/>
              </w:rPr>
            </w:pPr>
            <w:hyperlink w:anchor="page252">
              <w:r>
                <w:rPr>
                  <w:rFonts w:ascii="Arial" w:cs="Arial" w:eastAsia="Arial" w:hAnsi="Arial"/>
                  <w:sz w:val="18"/>
                  <w:szCs w:val="18"/>
                  <w:color w:val="0000FF"/>
                  <w:w w:val="85"/>
                </w:rPr>
                <w:t>Experts</w:t>
              </w:r>
            </w:hyperlink>
          </w:p>
        </w:tc>
        <w:tc>
          <w:tcPr>
            <w:tcW w:w="440" w:type="dxa"/>
            <w:vAlign w:val="bottom"/>
            <w:gridSpan w:val="4"/>
          </w:tcPr>
          <w:p>
            <w:pPr>
              <w:spacing w:after="0"/>
              <w:rPr>
                <w:sz w:val="21"/>
                <w:szCs w:val="21"/>
                <w:color w:val="auto"/>
              </w:rPr>
            </w:pPr>
          </w:p>
        </w:tc>
        <w:tc>
          <w:tcPr>
            <w:tcW w:w="9500" w:type="dxa"/>
            <w:vAlign w:val="bottom"/>
            <w:gridSpan w:val="21"/>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2">
              <w:r>
                <w:rPr>
                  <w:rFonts w:ascii="Arial" w:cs="Arial" w:eastAsia="Arial" w:hAnsi="Arial"/>
                  <w:sz w:val="18"/>
                  <w:szCs w:val="18"/>
                  <w:color w:val="0000FF"/>
                </w:rPr>
                <w:t>248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53">
              <w:r>
                <w:rPr>
                  <w:rFonts w:ascii="Arial" w:cs="Arial" w:eastAsia="Arial" w:hAnsi="Arial"/>
                  <w:sz w:val="18"/>
                  <w:szCs w:val="18"/>
                  <w:color w:val="0000FF"/>
                </w:rPr>
                <w:t>Enforcement of Civil Liabilities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53">
              <w:r>
                <w:rPr>
                  <w:rFonts w:ascii="Arial" w:cs="Arial" w:eastAsia="Arial" w:hAnsi="Arial"/>
                  <w:sz w:val="18"/>
                  <w:szCs w:val="18"/>
                  <w:color w:val="0000FF"/>
                </w:rPr>
                <w:t>249</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0000FF"/>
                <w:w w:val="89"/>
              </w:rPr>
            </w:pPr>
            <w:hyperlink w:anchor="page255">
              <w:r>
                <w:rPr>
                  <w:rFonts w:ascii="Arial" w:cs="Arial" w:eastAsia="Arial" w:hAnsi="Arial"/>
                  <w:sz w:val="18"/>
                  <w:szCs w:val="18"/>
                  <w:color w:val="0000FF"/>
                  <w:w w:val="89"/>
                </w:rPr>
                <w:t>Expenses Related to this Offering</w:t>
              </w:r>
            </w:hyperlink>
          </w:p>
        </w:tc>
        <w:tc>
          <w:tcPr>
            <w:tcW w:w="8060" w:type="dxa"/>
            <w:vAlign w:val="bottom"/>
            <w:gridSpan w:val="9"/>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5">
              <w:r>
                <w:rPr>
                  <w:rFonts w:ascii="Arial" w:cs="Arial" w:eastAsia="Arial" w:hAnsi="Arial"/>
                  <w:sz w:val="18"/>
                  <w:szCs w:val="18"/>
                  <w:color w:val="0000FF"/>
                </w:rPr>
                <w:t>251</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1"/>
              </w:rPr>
            </w:pPr>
            <w:hyperlink w:anchor="page256">
              <w:r>
                <w:rPr>
                  <w:rFonts w:ascii="Arial" w:cs="Arial" w:eastAsia="Arial" w:hAnsi="Arial"/>
                  <w:sz w:val="18"/>
                  <w:szCs w:val="18"/>
                  <w:color w:val="0000FF"/>
                  <w:w w:val="91"/>
                </w:rPr>
                <w:t>Where You Can Find More Information</w:t>
              </w:r>
            </w:hyperlink>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6">
              <w:r>
                <w:rPr>
                  <w:rFonts w:ascii="Arial" w:cs="Arial" w:eastAsia="Arial" w:hAnsi="Arial"/>
                  <w:sz w:val="18"/>
                  <w:szCs w:val="18"/>
                  <w:color w:val="0000FF"/>
                </w:rPr>
                <w:t>252</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Index to Financial Statements</w:t>
              </w:r>
            </w:hyperlink>
          </w:p>
        </w:tc>
        <w:tc>
          <w:tcPr>
            <w:tcW w:w="762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5"/>
                <w:szCs w:val="15"/>
                <w:color w:val="0000FF"/>
                <w:w w:val="70"/>
              </w:rPr>
            </w:pPr>
            <w:r>
              <w:rPr>
                <w:rFonts w:ascii="Arial" w:cs="Arial" w:eastAsia="Arial" w:hAnsi="Arial"/>
                <w:sz w:val="15"/>
                <w:szCs w:val="15"/>
                <w:color w:val="0000FF"/>
                <w:w w:val="70"/>
              </w:rPr>
              <w:t>F-</w:t>
            </w:r>
            <w:hyperlink w:anchor="page257">
              <w:r>
                <w:rPr>
                  <w:rFonts w:ascii="Arial" w:cs="Arial" w:eastAsia="Arial" w:hAnsi="Arial"/>
                  <w:sz w:val="15"/>
                  <w:szCs w:val="15"/>
                  <w:color w:val="0000FF"/>
                  <w:w w:val="70"/>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jurisdiction of incorporation is Switzerland and our registered office is in Schlieren, Canton of Zurich, Switzerland.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U.S. domestic issuers whose securities are registered under the Securities Exchange Act of 1934, as amended, referred to herein as the Exchange Act.</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Swiss francs, all references to “CHF” and “Swiss francs” mean Swiss francs and all references to “U.S. dollars,” “$,” “US$” and “USD” mean United States dollars. Throughout this prospectus, references to ADSs mean ADSs or common shares represented by such ADSs,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5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Because it is only a summary, it does not contain all of the information that you should consider before investing in our American Depositary Shares, or ADSs, and it is qualified in its entirety by, and should be read with, the more detailed information appearing elsewhere in this prospectus. You should read the entire prospectus and the registration statement of which this prospectus is a part carefully and in their entirety, including the information discussed under “Risk Factors,” “Business,” “Management’s Discussion and Analysis of Financial Condition and Results of Operations” and our financial statements and the related notes included elsewhere in this prospectus, before deciding to buy our ADSs. Unless the context requires otherwise, references in this prospectus to the “Company,” “Molecular Partners,” “we,” “us” and “our” refer to Molecular Partners AG and its wholly-owned subsidiary.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therapeutics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116"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Our in-house DARPin programs are initially focused on infectious diseases, where we see potential in our first COVID-19 antiviral therapeutic product candidates in partnership with Novartis, and on our oncology program, where we see potential in the utility and flexibility of our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60"/>
          </w:cols>
          <w:pgMar w:left="1000" w:top="1440" w:right="10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055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r>
        <w:rPr>
          <w:rFonts w:ascii="Arial" w:cs="Arial" w:eastAsia="Arial" w:hAnsi="Arial"/>
          <w:sz w:val="18"/>
          <w:szCs w:val="18"/>
          <w:color w:val="auto"/>
        </w:rPr>
        <w: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our DARPin molecules have distinct features to elicit specific therapeutic actions for a particular target, each DARPin therapeutic modality can be utilized across multiple programs. We believe the key advantages of our DARPin platform include the: (i) ability of our DARPin product candidates to target multiple escape pathways in parallel; (ii) capacity to find and address new biology on known targets by using our DARPin approach; (iii) flexible architecture of our DARPin product candidates enabling them to engage and locally activate immune cells; (iv) ability of the pharmacokinetic profile for each of our DARPin product candidates to be tailored depending on the relevant therapeutic application targeted; and (v) established and efficient process and ease of storage of our DARPin product candidates.</w:t>
      </w:r>
    </w:p>
    <w:p>
      <w:pPr>
        <w:spacing w:after="0" w:line="1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 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16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Once we develop a DARPin modality for one program, we can utilize it for some or all of the programs that follow. This figure depicts our various therapeutic modalities across our pipeline programs. Blue shading reflects the stage of development of each program.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initiated enrollment in May 2021, with interim data expected in August 2021 and full data expected in 2022. We are presently enrolling up to 40 patients in a Phase 2 study for ensovibep in the Netherlands, which was initiated in March 2021. Ensovibep has demonstrated a favorable tolerability profile to date, in its Phase 1 trial of 23 healthy volunteers since commencement in 2020. In June 2021, we announced that ensovibep received U.S. Food and Drug Administration, or FDA, fast track designation for the treatment of COVID-19 in the hospitalized and ambulatory settings. Furthermore, we have partnered with Novartis to develop, manufacture and commercialize ensovibep and MP0423, which we believe will allow us to develop this product candidate as a therapeutic for the treatment of COVID-19. Our clinical development strategy aims to achieve potential emergency use authorization for ensovibep.</w:t>
      </w:r>
    </w:p>
    <w:p>
      <w:pPr>
        <w:spacing w:after="0" w:line="10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differentiated multi-specific binding approach of product candidates in our infectious disease program offers potentially broader efficacy – across both therapeutic and prophylactic settings – and reduces the potential for the development of viral drug resistance. Preclinical potency data suggests that our COVID-19 antiviral therapeutic</w:t>
      </w:r>
    </w:p>
    <w:p>
      <w:pPr>
        <w:sectPr>
          <w:pgSz w:w="11900" w:h="16838" w:orient="portrait"/>
          <w:cols w:equalWidth="0" w:num="1">
            <w:col w:w="9740"/>
          </w:cols>
          <w:pgMar w:left="1000" w:top="144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40"/>
          </w:cols>
          <w:pgMar w:left="1000" w:top="1440" w:right="11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930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9303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may be administrable as a subcutaneous injection, which could represent a significant advantage for ease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Ensovibep is constructed from three RBD binding DARPin domains and two HSA binding half-life extension DARPin domains.</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Given the potential of DARPin molecules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38"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 Our first product candidates were constructed to be activated only within a tumor or its supporting tissue, thereby avoiding systemic activation and minimizing adverse events.</w:t>
      </w:r>
    </w:p>
    <w:p>
      <w:pPr>
        <w:spacing w:after="0" w:line="1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and we are currently conducting dosing regimen adaptations to identify the dosing regimen to obtain sustained 4-1BB activation. We believe AMG 506 (MP0310) could be particularly relevant as a combination agent with potential combination studies in collaboration with Amgen.</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MP0317, the second product candidate in our oncology program, is designed to bind CD40 and FAP.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that integrate the CD3-targeting approach to T-cell engagement into a multi-DARPin format that addresses the key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6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6511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challenges of CD3 targeting. We are initially focused on targeting AML and other liquid tumors, with initial data presented at the 2021 American Academy for Cancer Research, or 2021 AACR,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can control the activation of our multi-specific T cell to be restricted to a specific location and/or activated slowly to avoid adverse events related to misdirected or overly strong activity.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pMHC DARPin molecules can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We have demonstrated proof-of-concept for the ability of DARPin therapeutics to effectively drug pMHC complexes. We have screened multiple single-domain DARPin proteins for optimal binding to a range of pMHC complexes, which may be used to design DARPin product candidates with specific and potent diseased cell killing effects.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was designed to bind to and inhibit vascular endothelial growth factor, or VEGF, and hepatocyte growth factor, or HGF.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MP0274 evidenced the ability to bind on HER2 in a fully inactive conformation and act as an allosteric inhibitor.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A strategic decision has been made to de-prioritize</w:t>
      </w:r>
    </w:p>
    <w:p>
      <w:pPr>
        <w:sectPr>
          <w:pgSz w:w="11900" w:h="16838" w:orient="portrait"/>
          <w:cols w:equalWidth="0" w:num="1">
            <w:col w:w="9880"/>
          </w:cols>
          <w:pgMar w:left="1000" w:top="1440" w:right="101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095"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9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 w:right="560"/>
        <w:spacing w:after="0" w:line="277" w:lineRule="auto"/>
        <w:rPr>
          <w:sz w:val="20"/>
          <w:szCs w:val="20"/>
          <w:color w:val="auto"/>
        </w:rPr>
      </w:pPr>
      <w:r>
        <w:rPr>
          <w:rFonts w:ascii="Arial" w:cs="Arial" w:eastAsia="Arial" w:hAnsi="Arial"/>
          <w:sz w:val="18"/>
          <w:szCs w:val="18"/>
          <w:color w:val="auto"/>
        </w:rPr>
        <w:t>the product candidates in favor of investing in programs where a clear clinical differentiation could be made through the DARPin constructs.</w:t>
      </w:r>
    </w:p>
    <w:p>
      <w:pPr>
        <w:spacing w:after="0" w:line="1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ind w:left="6"/>
        <w:spacing w:after="0" w:line="289" w:lineRule="auto"/>
        <w:rPr>
          <w:sz w:val="20"/>
          <w:szCs w:val="20"/>
          <w:color w:val="auto"/>
        </w:rPr>
      </w:pPr>
      <w:r>
        <w:rPr>
          <w:rFonts w:ascii="Arial" w:cs="Arial" w:eastAsia="Arial" w:hAnsi="Arial"/>
          <w:sz w:val="16"/>
          <w:szCs w:val="16"/>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Team</w:t>
      </w:r>
    </w:p>
    <w:p>
      <w:pPr>
        <w:spacing w:after="0" w:line="152" w:lineRule="exact"/>
        <w:rPr>
          <w:sz w:val="20"/>
          <w:szCs w:val="20"/>
          <w:color w:val="auto"/>
        </w:rPr>
      </w:pPr>
    </w:p>
    <w:p>
      <w:pPr>
        <w:ind w:left="6" w:right="40"/>
        <w:spacing w:after="0" w:line="257" w:lineRule="auto"/>
        <w:rPr>
          <w:sz w:val="20"/>
          <w:szCs w:val="20"/>
          <w:color w:val="auto"/>
        </w:rPr>
      </w:pPr>
      <w:r>
        <w:rPr>
          <w:rFonts w:ascii="Arial" w:cs="Arial" w:eastAsia="Arial" w:hAnsi="Arial"/>
          <w:sz w:val="18"/>
          <w:szCs w:val="18"/>
          <w:color w:val="auto"/>
        </w:rPr>
        <w:t>Molecular Partners is an international working environment comprised of 150+ individuals from numerous disciplines who contribute to our shared values of scientific excellence, respectful teamwork and personal aspiration.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107" w:lineRule="exact"/>
        <w:rPr>
          <w:sz w:val="20"/>
          <w:szCs w:val="20"/>
          <w:color w:val="auto"/>
        </w:rPr>
      </w:pPr>
    </w:p>
    <w:p>
      <w:pPr>
        <w:jc w:val="both"/>
        <w:ind w:left="6" w:right="100"/>
        <w:spacing w:after="0" w:line="287" w:lineRule="auto"/>
        <w:rPr>
          <w:sz w:val="20"/>
          <w:szCs w:val="20"/>
          <w:color w:val="auto"/>
        </w:rPr>
      </w:pPr>
      <w:r>
        <w:rPr>
          <w:rFonts w:ascii="Arial" w:cs="Arial" w:eastAsia="Arial" w:hAnsi="Arial"/>
          <w:sz w:val="16"/>
          <w:szCs w:val="16"/>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w:t>
      </w:r>
    </w:p>
    <w:p>
      <w:pPr>
        <w:spacing w:after="0" w:line="2" w:lineRule="exact"/>
        <w:rPr>
          <w:sz w:val="20"/>
          <w:szCs w:val="20"/>
          <w:color w:val="auto"/>
        </w:rPr>
      </w:pPr>
    </w:p>
    <w:p>
      <w:pPr>
        <w:ind w:left="6" w:right="380"/>
        <w:spacing w:after="0" w:line="260" w:lineRule="auto"/>
        <w:rPr>
          <w:sz w:val="20"/>
          <w:szCs w:val="20"/>
          <w:color w:val="auto"/>
        </w:rPr>
      </w:pPr>
      <w:r>
        <w:rPr>
          <w:rFonts w:ascii="Arial" w:cs="Arial" w:eastAsia="Arial" w:hAnsi="Arial"/>
          <w:sz w:val="18"/>
          <w:szCs w:val="18"/>
          <w:color w:val="auto"/>
        </w:rPr>
        <w:t>Additionally, our board of directors includes current and former senior executives of Biogen, Millennium, Novartis AG, Roche, and Sanofi.</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left="6" w:right="140"/>
        <w:spacing w:after="0" w:line="342" w:lineRule="auto"/>
        <w:rPr>
          <w:sz w:val="20"/>
          <w:szCs w:val="20"/>
          <w:color w:val="auto"/>
        </w:rPr>
      </w:pPr>
      <w:r>
        <w:rPr>
          <w:rFonts w:ascii="Arial" w:cs="Arial" w:eastAsia="Arial" w:hAnsi="Arial"/>
          <w:sz w:val="16"/>
          <w:szCs w:val="16"/>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rPr>
        <w:t>Key aspects of our strategy include the following:</w:t>
      </w:r>
    </w:p>
    <w:p>
      <w:pPr>
        <w:spacing w:after="0" w:line="154" w:lineRule="exact"/>
        <w:rPr>
          <w:sz w:val="20"/>
          <w:szCs w:val="20"/>
          <w:color w:val="auto"/>
        </w:rPr>
      </w:pPr>
    </w:p>
    <w:p>
      <w:pPr>
        <w:ind w:left="326" w:hanging="326"/>
        <w:spacing w:after="0" w:line="289"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Unlock novel biological solutions and expand therapeutic applications of clinically validated DARPin approaches.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the world leaders in DARPin engineering and research. With each technical breakthrough we achieve, we are able to apply key learnings across our portfolio, leveraging each insight to improve future programs.</w:t>
      </w:r>
    </w:p>
    <w:p>
      <w:pPr>
        <w:spacing w:after="0" w:line="76" w:lineRule="exact"/>
        <w:rPr>
          <w:rFonts w:ascii="Arial" w:cs="Arial" w:eastAsia="Arial" w:hAnsi="Arial"/>
          <w:sz w:val="17"/>
          <w:szCs w:val="17"/>
          <w:color w:val="auto"/>
        </w:rPr>
      </w:pPr>
    </w:p>
    <w:p>
      <w:pPr>
        <w:ind w:left="326" w:right="20" w:hanging="326"/>
        <w:spacing w:after="0" w:line="277"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Advance the clinical development of our COVID-19 antiviral therapeutic product candidates in our infectious disease program in collaboration with Novartis. </w:t>
      </w:r>
      <w:r>
        <w:rPr>
          <w:rFonts w:ascii="Arial" w:cs="Arial" w:eastAsia="Arial" w:hAnsi="Arial"/>
          <w:sz w:val="17"/>
          <w:szCs w:val="17"/>
          <w:color w:val="auto"/>
        </w:rPr>
        <w:t>Our clinical strategy aims to achieve potential emergency use authorization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100" w:lineRule="exact"/>
        <w:rPr>
          <w:rFonts w:ascii="Arial" w:cs="Arial" w:eastAsia="Arial" w:hAnsi="Arial"/>
          <w:sz w:val="17"/>
          <w:szCs w:val="17"/>
          <w:color w:val="auto"/>
        </w:rPr>
      </w:pPr>
    </w:p>
    <w:p>
      <w:pPr>
        <w:ind w:left="326" w:right="160" w:hanging="326"/>
        <w:spacing w:after="0" w:line="261"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Advance clinical development of AMG 506 (MP0310) and MP0317, the most advanced product candidates in our oncology program. </w:t>
      </w:r>
      <w:r>
        <w:rPr>
          <w:rFonts w:ascii="Arial" w:cs="Arial" w:eastAsia="Arial" w:hAnsi="Arial"/>
          <w:sz w:val="18"/>
          <w:szCs w:val="18"/>
          <w:color w:val="auto"/>
        </w:rPr>
        <w:t>Utilizing our knowledge of DARPin designs, we have developed a method of locally clustering potent</w:t>
      </w:r>
      <w:r>
        <w:rPr>
          <w:rFonts w:ascii="Arial" w:cs="Arial" w:eastAsia="Arial" w:hAnsi="Arial"/>
          <w:sz w:val="18"/>
          <w:szCs w:val="18"/>
          <w:b w:val="1"/>
          <w:bCs w:val="1"/>
          <w:color w:val="auto"/>
        </w:rPr>
        <w:t xml:space="preserve"> </w:t>
      </w:r>
      <w:r>
        <w:rPr>
          <w:rFonts w:ascii="Arial" w:cs="Arial" w:eastAsia="Arial" w:hAnsi="Arial"/>
          <w:sz w:val="18"/>
          <w:szCs w:val="18"/>
          <w:color w:val="auto"/>
        </w:rPr>
        <w:t>immunostimulatory molecules, which are designed to activate themselves only in the presence of specific conditions. Our lead oncology product candidate, AMG 506 (MP0310), is</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66"/>
          </w:cols>
          <w:pgMar w:left="994" w:top="1440" w:right="10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0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120"/>
        <w:spacing w:after="0" w:line="263" w:lineRule="auto"/>
        <w:rPr>
          <w:sz w:val="20"/>
          <w:szCs w:val="20"/>
          <w:color w:val="auto"/>
        </w:rPr>
      </w:pPr>
      <w:r>
        <w:rPr>
          <w:rFonts w:ascii="Arial" w:cs="Arial" w:eastAsia="Arial" w:hAnsi="Arial"/>
          <w:sz w:val="18"/>
          <w:szCs w:val="18"/>
          <w:color w:val="auto"/>
        </w:rPr>
        <w:t>being developed to locally activate immune cells in the tumor by binding to FAP on tumor stromal cells where it acts as a localizer, and co-stimulating T cells via 4-1BB, an immune modulator protein, for the treatment of FAP-positive cancers. We expect to commence a Phase 1 clinical trial for MP0317 (FAP x CD40) in the second half of 2021.</w:t>
      </w:r>
    </w:p>
    <w:p>
      <w:pPr>
        <w:spacing w:after="0" w:line="112" w:lineRule="exact"/>
        <w:rPr>
          <w:sz w:val="20"/>
          <w:szCs w:val="20"/>
          <w:color w:val="auto"/>
        </w:rPr>
      </w:pPr>
    </w:p>
    <w:p>
      <w:pPr>
        <w:ind w:left="326" w:right="12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Expand the clinical applications of our newly unlocked next-generation CD3 capabilities. </w:t>
      </w:r>
      <w:r>
        <w:rPr>
          <w:rFonts w:ascii="Arial" w:cs="Arial" w:eastAsia="Arial" w:hAnsi="Arial"/>
          <w:sz w:val="18"/>
          <w:szCs w:val="18"/>
          <w:color w:val="auto"/>
        </w:rPr>
        <w:t>We plan to generate novel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w:t>
      </w:r>
    </w:p>
    <w:p>
      <w:pPr>
        <w:spacing w:after="0" w:line="102" w:lineRule="exact"/>
        <w:rPr>
          <w:rFonts w:ascii="Arial" w:cs="Arial" w:eastAsia="Arial" w:hAnsi="Arial"/>
          <w:sz w:val="18"/>
          <w:szCs w:val="18"/>
          <w:color w:val="auto"/>
        </w:rPr>
      </w:pPr>
    </w:p>
    <w:p>
      <w:pPr>
        <w:ind w:left="326" w:right="6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proprietary libraries to expand the applicability of DARPin therapeutics. </w:t>
      </w:r>
      <w:r>
        <w:rPr>
          <w:rFonts w:ascii="Arial" w:cs="Arial" w:eastAsia="Arial" w:hAnsi="Arial"/>
          <w:sz w:val="18"/>
          <w:szCs w:val="18"/>
          <w:color w:val="auto"/>
        </w:rPr>
        <w:t>In pursuit of a sustainable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115" w:lineRule="exact"/>
        <w:rPr>
          <w:rFonts w:ascii="Arial" w:cs="Arial" w:eastAsia="Arial" w:hAnsi="Arial"/>
          <w:sz w:val="18"/>
          <w:szCs w:val="18"/>
          <w:color w:val="auto"/>
        </w:rPr>
      </w:pPr>
    </w:p>
    <w:p>
      <w:pPr>
        <w:ind w:left="326" w:right="180" w:hanging="326"/>
        <w:spacing w:after="0" w:line="298" w:lineRule="auto"/>
        <w:tabs>
          <w:tab w:leader="none" w:pos="321"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Maintain a strategic approach to in-house versus partnered development. </w:t>
      </w:r>
      <w:r>
        <w:rPr>
          <w:rFonts w:ascii="Arial" w:cs="Arial" w:eastAsia="Arial" w:hAnsi="Arial"/>
          <w:sz w:val="16"/>
          <w:szCs w:val="16"/>
          <w:color w:val="auto"/>
        </w:rPr>
        <w:t>To unlock and expand the full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w:t>
      </w:r>
    </w:p>
    <w:p>
      <w:pPr>
        <w:spacing w:after="0" w:line="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Summary Risk Factors</w:t>
      </w:r>
    </w:p>
    <w:p>
      <w:pPr>
        <w:spacing w:after="0" w:line="138"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An investment in our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risks are the following:</w:t>
      </w:r>
    </w:p>
    <w:p>
      <w:pPr>
        <w:spacing w:after="0" w:line="119" w:lineRule="exact"/>
        <w:rPr>
          <w:sz w:val="20"/>
          <w:szCs w:val="20"/>
          <w:color w:val="auto"/>
        </w:rPr>
      </w:pPr>
    </w:p>
    <w:p>
      <w:pPr>
        <w:ind w:left="326" w:right="40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have incurred significant losses since our inception. We expect to incur losses for the foreseeable future and may never achieve or maintain profitability.</w:t>
      </w:r>
    </w:p>
    <w:p>
      <w:pPr>
        <w:spacing w:after="0" w:line="102" w:lineRule="exact"/>
        <w:rPr>
          <w:rFonts w:ascii="Arial" w:cs="Arial" w:eastAsia="Arial" w:hAnsi="Arial"/>
          <w:sz w:val="18"/>
          <w:szCs w:val="18"/>
          <w:color w:val="auto"/>
        </w:rPr>
      </w:pPr>
    </w:p>
    <w:p>
      <w:pPr>
        <w:ind w:left="326" w:right="26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89" w:lineRule="exact"/>
        <w:rPr>
          <w:rFonts w:ascii="Arial" w:cs="Arial" w:eastAsia="Arial" w:hAnsi="Arial"/>
          <w:sz w:val="18"/>
          <w:szCs w:val="18"/>
          <w:color w:val="auto"/>
        </w:rPr>
      </w:pPr>
    </w:p>
    <w:p>
      <w:pPr>
        <w:jc w:val="both"/>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16" w:lineRule="exact"/>
        <w:rPr>
          <w:rFonts w:ascii="Arial" w:cs="Arial" w:eastAsia="Arial" w:hAnsi="Arial"/>
          <w:sz w:val="18"/>
          <w:szCs w:val="18"/>
          <w:color w:val="auto"/>
        </w:rPr>
      </w:pPr>
    </w:p>
    <w:p>
      <w:pPr>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rFonts w:ascii="Arial" w:cs="Arial" w:eastAsia="Arial" w:hAnsi="Arial"/>
          <w:sz w:val="18"/>
          <w:szCs w:val="18"/>
          <w:color w:val="auto"/>
        </w:rPr>
      </w:pPr>
    </w:p>
    <w:p>
      <w:pPr>
        <w:ind w:left="326" w:right="6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on the success of our DARPin platform to identify and develop product candidates. If we or our collaborators are unable to successfully develop and commercialize product candidates based on our platform or experience significant delays in doing so, our business may be harmed.</w:t>
      </w:r>
    </w:p>
    <w:p>
      <w:pPr>
        <w:spacing w:after="0" w:line="102" w:lineRule="exact"/>
        <w:rPr>
          <w:rFonts w:ascii="Arial" w:cs="Arial" w:eastAsia="Arial" w:hAnsi="Arial"/>
          <w:sz w:val="18"/>
          <w:szCs w:val="18"/>
          <w:color w:val="auto"/>
        </w:rPr>
      </w:pPr>
    </w:p>
    <w:p>
      <w:pPr>
        <w:ind w:left="326" w:right="20" w:hanging="326"/>
        <w:spacing w:after="0" w:line="275"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or delayed, we or our collaborators may be unable to obtain required regulatory approvals, and therefore will be unable to commercialize our product candidates on a timely basis or at all, which will adversely affect our business.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6"/>
          </w:cols>
          <w:pgMar w:left="994"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05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326" w:right="8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rFonts w:ascii="Arial" w:cs="Arial" w:eastAsia="Arial" w:hAnsi="Arial"/>
          <w:sz w:val="18"/>
          <w:szCs w:val="18"/>
          <w:color w:val="auto"/>
        </w:rPr>
      </w:pPr>
    </w:p>
    <w:p>
      <w:pPr>
        <w:ind w:left="326" w:hanging="326"/>
        <w:spacing w:after="0" w:line="301" w:lineRule="auto"/>
        <w:tabs>
          <w:tab w:leader="none" w:pos="321"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results from early preclinical studies of our product candidates would not necessarily be predictive of the results of later preclinical studies and any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for and commercialize our product candidates.</w:t>
      </w:r>
    </w:p>
    <w:p>
      <w:pPr>
        <w:spacing w:after="0" w:line="76" w:lineRule="exact"/>
        <w:rPr>
          <w:rFonts w:ascii="Arial" w:cs="Arial" w:eastAsia="Arial" w:hAnsi="Arial"/>
          <w:sz w:val="16"/>
          <w:szCs w:val="16"/>
          <w:color w:val="auto"/>
        </w:rPr>
      </w:pPr>
    </w:p>
    <w:p>
      <w:pPr>
        <w:ind w:left="326" w:right="12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our product candidates has negative side effects, public perception of our DARPin platform and commercial opportunities for all of our current and future product candidates could be adversely affected.</w:t>
      </w:r>
    </w:p>
    <w:p>
      <w:pPr>
        <w:spacing w:after="0" w:line="102" w:lineRule="exact"/>
        <w:rPr>
          <w:rFonts w:ascii="Arial" w:cs="Arial" w:eastAsia="Arial" w:hAnsi="Arial"/>
          <w:sz w:val="18"/>
          <w:szCs w:val="18"/>
          <w:color w:val="auto"/>
        </w:rPr>
      </w:pPr>
    </w:p>
    <w:p>
      <w:pPr>
        <w:ind w:left="326" w:right="78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02" w:lineRule="exact"/>
        <w:rPr>
          <w:rFonts w:ascii="Arial" w:cs="Arial" w:eastAsia="Arial" w:hAnsi="Arial"/>
          <w:sz w:val="18"/>
          <w:szCs w:val="18"/>
          <w:color w:val="auto"/>
        </w:rPr>
      </w:pPr>
    </w:p>
    <w:p>
      <w:pPr>
        <w:ind w:left="326" w:right="30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COVID-19 antiviral product candidates may face significant competition from vaccines and other treatments for COVID-19 that are in development.</w:t>
      </w:r>
    </w:p>
    <w:p>
      <w:pPr>
        <w:spacing w:after="0" w:line="89" w:lineRule="exact"/>
        <w:rPr>
          <w:rFonts w:ascii="Arial" w:cs="Arial" w:eastAsia="Arial" w:hAnsi="Arial"/>
          <w:sz w:val="18"/>
          <w:szCs w:val="18"/>
          <w:color w:val="auto"/>
        </w:rPr>
      </w:pPr>
    </w:p>
    <w:p>
      <w:pPr>
        <w:jc w:val="both"/>
        <w:ind w:left="326" w:right="2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116" w:lineRule="exact"/>
        <w:rPr>
          <w:rFonts w:ascii="Arial" w:cs="Arial" w:eastAsia="Arial" w:hAnsi="Arial"/>
          <w:sz w:val="18"/>
          <w:szCs w:val="18"/>
          <w:color w:val="auto"/>
        </w:rPr>
      </w:pPr>
    </w:p>
    <w:p>
      <w:pPr>
        <w:ind w:left="326" w:right="440" w:hanging="326"/>
        <w:spacing w:after="0" w:line="286"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97" w:lineRule="exact"/>
        <w:rPr>
          <w:rFonts w:ascii="Arial" w:cs="Arial" w:eastAsia="Arial" w:hAnsi="Arial"/>
          <w:sz w:val="17"/>
          <w:szCs w:val="17"/>
          <w:color w:val="auto"/>
        </w:rPr>
      </w:pPr>
    </w:p>
    <w:p>
      <w:pPr>
        <w:ind w:left="326" w:right="80" w:hanging="326"/>
        <w:spacing w:after="0" w:line="279"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base patents relating to the DARPin base technology we use to generate our DARPin product candidates, which we exclusively license from the University of Zurich, are expected to expire in September 2021, and we have elected to terminate the exclusive license agreement effective October 2021. After the base patents expire, our competitors may be able to utilize the technology claimed in such patents, which may materially adversely affect our business and competitive position.</w:t>
      </w:r>
    </w:p>
    <w:p>
      <w:pPr>
        <w:spacing w:after="0" w:line="90" w:lineRule="exact"/>
        <w:rPr>
          <w:rFonts w:ascii="Arial" w:cs="Arial" w:eastAsia="Arial" w:hAnsi="Arial"/>
          <w:sz w:val="17"/>
          <w:szCs w:val="17"/>
          <w:color w:val="auto"/>
        </w:rPr>
      </w:pPr>
    </w:p>
    <w:p>
      <w:pPr>
        <w:ind w:left="326"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rFonts w:ascii="Arial" w:cs="Arial" w:eastAsia="Arial" w:hAnsi="Arial"/>
          <w:sz w:val="18"/>
          <w:szCs w:val="18"/>
          <w:color w:val="auto"/>
        </w:rPr>
      </w:pPr>
    </w:p>
    <w:p>
      <w:pPr>
        <w:ind w:left="326" w:right="300"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8" w:lineRule="exact"/>
        <w:rPr>
          <w:sz w:val="20"/>
          <w:szCs w:val="20"/>
          <w:color w:val="auto"/>
        </w:rPr>
      </w:pPr>
    </w:p>
    <w:p>
      <w:pPr>
        <w:ind w:left="6" w:right="10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116" w:lineRule="exact"/>
        <w:rPr>
          <w:sz w:val="20"/>
          <w:szCs w:val="20"/>
          <w:color w:val="auto"/>
        </w:rPr>
      </w:pPr>
    </w:p>
    <w:p>
      <w:pPr>
        <w:ind w:left="326" w:right="160" w:hanging="326"/>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offering of which this prospectus forms a part;</w:t>
      </w:r>
    </w:p>
    <w:p>
      <w:pPr>
        <w:spacing w:after="0" w:line="116" w:lineRule="exact"/>
        <w:rPr>
          <w:rFonts w:ascii="Arial" w:cs="Arial" w:eastAsia="Arial" w:hAnsi="Arial"/>
          <w:sz w:val="18"/>
          <w:szCs w:val="18"/>
          <w:color w:val="auto"/>
        </w:rPr>
      </w:pPr>
    </w:p>
    <w:p>
      <w:pPr>
        <w:ind w:left="326" w:hanging="326"/>
        <w:spacing w:after="0"/>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requirements of Section 404 of the Sarbanes-Oxley Act of 2002; and</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6"/>
          </w:cols>
          <w:pgMar w:left="994"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67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440" w:hanging="326"/>
        <w:spacing w:after="0" w:line="263"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16"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$1.07 billion in total annual gross revenue, have more than $700 million in market value of our equity securities held by non-affiliates or issue more than $1.0 billion of non-convertible debt over a three-year period. We may choose to take advantage of some but not all of these available exemptions. For example, we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exemptions, the information that we provide shareholders may be different than you might obtain from other public companies in which you hold equity interests.</w:t>
      </w:r>
    </w:p>
    <w:p>
      <w:pPr>
        <w:spacing w:after="0" w:line="115" w:lineRule="exact"/>
        <w:rPr>
          <w:sz w:val="20"/>
          <w:szCs w:val="20"/>
          <w:color w:val="auto"/>
        </w:rPr>
      </w:pPr>
    </w:p>
    <w:p>
      <w:pPr>
        <w:ind w:left="6" w:right="8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 Foreign Private Issuer</w:t>
      </w:r>
    </w:p>
    <w:p>
      <w:pPr>
        <w:spacing w:after="0" w:line="152"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11" w:lineRule="exact"/>
        <w:rPr>
          <w:sz w:val="20"/>
          <w:szCs w:val="20"/>
          <w:color w:val="auto"/>
        </w:rPr>
      </w:pPr>
    </w:p>
    <w:p>
      <w:pPr>
        <w:ind w:left="6" w:right="4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04" w:lineRule="exact"/>
        <w:rPr>
          <w:sz w:val="20"/>
          <w:szCs w:val="20"/>
          <w:color w:val="auto"/>
        </w:rPr>
      </w:pPr>
    </w:p>
    <w:p>
      <w:pPr>
        <w:ind w:left="6" w:right="100"/>
        <w:spacing w:after="0" w:line="342" w:lineRule="auto"/>
        <w:rPr>
          <w:sz w:val="20"/>
          <w:szCs w:val="20"/>
          <w:color w:val="auto"/>
        </w:rPr>
      </w:pPr>
      <w:r>
        <w:rPr>
          <w:rFonts w:ascii="Arial" w:cs="Arial" w:eastAsia="Arial" w:hAnsi="Arial"/>
          <w:sz w:val="16"/>
          <w:szCs w:val="16"/>
          <w:color w:val="auto"/>
        </w:rPr>
        <w:t>We have taken advantage of certain reduced reporting and other requirements in this prospectus. Accordingly, the information contained herein may be different from the information you receive from other public companies in which you hold equity securities.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Corporate Information</w:t>
      </w:r>
    </w:p>
    <w:p>
      <w:pPr>
        <w:spacing w:after="0" w:line="138" w:lineRule="exact"/>
        <w:rPr>
          <w:sz w:val="20"/>
          <w:szCs w:val="20"/>
          <w:color w:val="auto"/>
        </w:rPr>
      </w:pPr>
    </w:p>
    <w:p>
      <w:pPr>
        <w:ind w:left="6" w:right="100"/>
        <w:spacing w:after="0" w:line="272" w:lineRule="auto"/>
        <w:rPr>
          <w:sz w:val="20"/>
          <w:szCs w:val="20"/>
          <w:color w:val="auto"/>
        </w:rPr>
      </w:pPr>
      <w:r>
        <w:rPr>
          <w:rFonts w:ascii="Arial" w:cs="Arial" w:eastAsia="Arial" w:hAnsi="Arial"/>
          <w:sz w:val="17"/>
          <w:szCs w:val="17"/>
          <w:color w:val="auto"/>
        </w:rPr>
        <w:t xml:space="preserve">Our corporate name is Molecular Partners AG. We were incorporated as an </w:t>
      </w:r>
      <w:r>
        <w:rPr>
          <w:rFonts w:ascii="Arial" w:cs="Arial" w:eastAsia="Arial" w:hAnsi="Arial"/>
          <w:sz w:val="17"/>
          <w:szCs w:val="17"/>
          <w:i w:val="1"/>
          <w:iCs w:val="1"/>
          <w:color w:val="auto"/>
        </w:rPr>
        <w:t>Aktiengesellschaft</w:t>
      </w:r>
      <w:r>
        <w:rPr>
          <w:rFonts w:ascii="Arial" w:cs="Arial" w:eastAsia="Arial" w:hAnsi="Arial"/>
          <w:sz w:val="17"/>
          <w:szCs w:val="17"/>
          <w:color w:val="auto"/>
        </w:rPr>
        <w:t>, or AG, on November 22, 2004. Our principal executive offices are located at Wagistrasse 14, 8952 Schlieren, Switzerland. We are registered with the commercial register of the Canton of Zurich under number CHE-112.115.136. In November 2014, we completed the initial public offering of our common shares on the SIX Swiss Exchange. Our telephone number at our principal executive offices is +41 44 755 77 00. Our agent for service of process in the United States is Molecular Partners Inc. Our website address is www.molecularpartners.com. The reference to our website is an inactive textual reference only and information contained in, or that can be accessed through, our website or any other website cited in this registration statement is not part of this registration statement.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6"/>
          </w:cols>
          <w:pgMar w:left="994"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784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OFFERING</w:t>
      </w:r>
    </w:p>
    <w:p>
      <w:pPr>
        <w:sectPr>
          <w:pgSz w:w="11900" w:h="16838" w:orient="portrait"/>
          <w:cols w:equalWidth="0" w:num="1">
            <w:col w:w="9860"/>
          </w:cols>
          <w:pgMar w:left="1000" w:top="1440" w:right="10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ADSs offered by us</w:t>
      </w:r>
    </w:p>
    <w:p>
      <w:pPr>
        <w:spacing w:after="0" w:line="131" w:lineRule="exact"/>
        <w:rPr>
          <w:sz w:val="20"/>
          <w:szCs w:val="20"/>
          <w:color w:val="auto"/>
        </w:rPr>
      </w:pPr>
    </w:p>
    <w:p>
      <w:pPr>
        <w:ind w:left="340" w:hanging="323"/>
        <w:spacing w:after="0" w:line="235" w:lineRule="auto"/>
        <w:rPr>
          <w:sz w:val="20"/>
          <w:szCs w:val="20"/>
          <w:color w:val="auto"/>
        </w:rPr>
      </w:pPr>
      <w:r>
        <w:rPr>
          <w:rFonts w:ascii="Arial" w:cs="Arial" w:eastAsia="Arial" w:hAnsi="Arial"/>
          <w:sz w:val="18"/>
          <w:szCs w:val="18"/>
          <w:color w:val="auto"/>
        </w:rPr>
        <w:t>Common Shares (including common shares underlying the ADSs) to be outstanding immediately after this offering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 to purchase additional ADSs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8"/>
          <w:szCs w:val="18"/>
          <w:color w:val="auto"/>
          <w:highlight w:val="white"/>
        </w:rPr>
        <w:t>ADSs, representing 3,000,000</w:t>
      </w:r>
      <w:r>
        <w:rPr>
          <w:rFonts w:ascii="Arial" w:cs="Arial" w:eastAsia="Arial" w:hAnsi="Arial"/>
          <w:sz w:val="18"/>
          <w:szCs w:val="18"/>
          <w:color w:val="auto"/>
        </w:rPr>
        <w:t xml:space="preserve"> common shares.</w:t>
      </w:r>
    </w:p>
    <w:p>
      <w:pPr>
        <w:spacing w:after="0" w:line="131" w:lineRule="exact"/>
        <w:rPr>
          <w:sz w:val="20"/>
          <w:szCs w:val="20"/>
          <w:color w:val="auto"/>
        </w:rPr>
      </w:pPr>
    </w:p>
    <w:p>
      <w:pPr>
        <w:jc w:val="both"/>
        <w:ind w:right="500"/>
        <w:spacing w:after="0" w:line="237" w:lineRule="auto"/>
        <w:rPr>
          <w:sz w:val="20"/>
          <w:szCs w:val="20"/>
          <w:color w:val="auto"/>
        </w:rPr>
      </w:pPr>
      <w:r>
        <w:rPr>
          <w:rFonts w:ascii="Arial" w:cs="Arial" w:eastAsia="Arial" w:hAnsi="Arial"/>
          <w:sz w:val="17"/>
          <w:szCs w:val="17"/>
          <w:color w:val="auto"/>
        </w:rPr>
        <w:t>32,157,793 common shares (32,607,793 common shares if the underwriters exercise their option to purchase 450,000 ADSs representing 450,000 common shares in full).</w:t>
      </w:r>
    </w:p>
    <w:p>
      <w:pPr>
        <w:spacing w:after="0" w:line="96"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In addition, we have granted the underwriters an option, exercisable within 30 days from the date of this prospectus, to purchase up to 450,000 additional ADSs representing 450,000 common shares to cover over-allotments.</w:t>
      </w:r>
    </w:p>
    <w:p>
      <w:pPr>
        <w:spacing w:after="0" w:line="91" w:lineRule="exact"/>
        <w:rPr>
          <w:sz w:val="20"/>
          <w:szCs w:val="20"/>
          <w:color w:val="auto"/>
        </w:rPr>
      </w:pPr>
    </w:p>
    <w:p>
      <w:pPr>
        <w:sectPr>
          <w:pgSz w:w="11900" w:h="16838" w:orient="portrait"/>
          <w:cols w:equalWidth="0" w:num="2">
            <w:col w:w="4780" w:space="100"/>
            <w:col w:w="4980"/>
          </w:cols>
          <w:pgMar w:left="1000" w:top="1440" w:right="1039" w:bottom="1440" w:gutter="0" w:footer="0" w:header="0"/>
          <w:type w:val="continuous"/>
        </w:sectPr>
      </w:pPr>
    </w:p>
    <w:p>
      <w:pPr>
        <w:ind w:left="20"/>
        <w:spacing w:after="0"/>
        <w:tabs>
          <w:tab w:leader="none" w:pos="4860" w:val="left"/>
        </w:tabs>
        <w:rPr>
          <w:sz w:val="20"/>
          <w:szCs w:val="20"/>
          <w:color w:val="auto"/>
        </w:rPr>
      </w:pPr>
      <w:r>
        <w:rPr>
          <w:rFonts w:ascii="Arial" w:cs="Arial" w:eastAsia="Arial" w:hAnsi="Arial"/>
          <w:sz w:val="17"/>
          <w:szCs w:val="17"/>
          <w:color w:val="auto"/>
        </w:rPr>
        <w:t>ADSs</w:t>
      </w:r>
      <w:r>
        <w:rPr>
          <w:sz w:val="20"/>
          <w:szCs w:val="20"/>
          <w:color w:val="auto"/>
        </w:rPr>
        <w:tab/>
      </w:r>
      <w:r>
        <w:rPr>
          <w:rFonts w:ascii="Arial" w:cs="Arial" w:eastAsia="Arial" w:hAnsi="Arial"/>
          <w:sz w:val="17"/>
          <w:szCs w:val="17"/>
          <w:color w:val="auto"/>
        </w:rPr>
        <w:t>Each ADS represents the right to receive one common share. You</w:t>
      </w:r>
    </w:p>
    <w:p>
      <w:pPr>
        <w:ind w:left="4880" w:right="20"/>
        <w:spacing w:after="0" w:line="209" w:lineRule="auto"/>
        <w:rPr>
          <w:sz w:val="20"/>
          <w:szCs w:val="20"/>
          <w:color w:val="auto"/>
        </w:rPr>
      </w:pPr>
      <w:r>
        <w:rPr>
          <w:rFonts w:ascii="Arial" w:cs="Arial" w:eastAsia="Arial" w:hAnsi="Arial"/>
          <w:sz w:val="18"/>
          <w:szCs w:val="18"/>
          <w:color w:val="auto"/>
        </w:rPr>
        <w:t>will have the rights of an ADS holder as provided in the deposit agreement among us, the depositary and all holders and beneficial owners of ADSs issued thereunder. To better understand the terms of the ADSs, you should carefully read the section in this prospectus entitled “Description of American Depositary Shares.” We also encourage you to read the deposit agreement, which is filed as an exhibit to the registration statement to which this prospectus forms a part.</w:t>
      </w:r>
    </w:p>
    <w:p>
      <w:pPr>
        <w:spacing w:after="0" w:line="95"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Depositary</w:t>
      </w:r>
      <w:r>
        <w:rPr>
          <w:sz w:val="20"/>
          <w:szCs w:val="20"/>
          <w:color w:val="auto"/>
        </w:rPr>
        <w:tab/>
      </w:r>
      <w:r>
        <w:rPr>
          <w:rFonts w:ascii="Arial" w:cs="Arial" w:eastAsia="Arial" w:hAnsi="Arial"/>
          <w:sz w:val="18"/>
          <w:szCs w:val="18"/>
          <w:color w:val="auto"/>
        </w:rPr>
        <w:t>Citibank, N.A.</w:t>
      </w:r>
    </w:p>
    <w:p>
      <w:pPr>
        <w:spacing w:after="0" w:line="115"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we will receive net proceeds from the offering of</w:t>
      </w:r>
    </w:p>
    <w:p>
      <w:pPr>
        <w:ind w:left="4880"/>
        <w:spacing w:after="0" w:line="222" w:lineRule="auto"/>
        <w:rPr>
          <w:sz w:val="20"/>
          <w:szCs w:val="20"/>
          <w:color w:val="auto"/>
        </w:rPr>
      </w:pPr>
      <w:r>
        <w:rPr>
          <w:rFonts w:ascii="Arial" w:cs="Arial" w:eastAsia="Arial" w:hAnsi="Arial"/>
          <w:sz w:val="17"/>
          <w:szCs w:val="17"/>
          <w:color w:val="auto"/>
        </w:rPr>
        <w:t>approximately $72.4 (CHF 65.1 based on an exchange rate of CHF 1.00 to $1.1123, the noon buying rate of the Federal Reserve Bank of New York on June 4, 2021) million, assuming an offering price of $27.14 (CHF 24.40) per ADS, based on the closing price of our common shares on the SIX Swiss Exchange on June 8, 2021, after deducting estimated underwriting commissions and estimated offering expenses payable by us.</w:t>
      </w:r>
    </w:p>
    <w:p>
      <w:pPr>
        <w:spacing w:after="0" w:line="10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We currently intend to use the net proceeds from this offering,</w:t>
      </w:r>
    </w:p>
    <w:p>
      <w:pPr>
        <w:ind w:left="4880"/>
        <w:spacing w:after="0" w:line="215" w:lineRule="auto"/>
        <w:rPr>
          <w:sz w:val="20"/>
          <w:szCs w:val="20"/>
          <w:color w:val="auto"/>
        </w:rPr>
      </w:pPr>
      <w:r>
        <w:rPr>
          <w:rFonts w:ascii="Arial" w:cs="Arial" w:eastAsia="Arial" w:hAnsi="Arial"/>
          <w:sz w:val="17"/>
          <w:szCs w:val="17"/>
          <w:color w:val="auto"/>
        </w:rPr>
        <w:t>together with our existing cash and cash equivalents, to fund our</w:t>
      </w:r>
    </w:p>
    <w:p>
      <w:pPr>
        <w:ind w:left="4880"/>
        <w:spacing w:after="0" w:line="229" w:lineRule="auto"/>
        <w:rPr>
          <w:sz w:val="20"/>
          <w:szCs w:val="20"/>
          <w:color w:val="auto"/>
        </w:rPr>
      </w:pPr>
      <w:r>
        <w:rPr>
          <w:rFonts w:ascii="Arial" w:cs="Arial" w:eastAsia="Arial" w:hAnsi="Arial"/>
          <w:sz w:val="16"/>
          <w:szCs w:val="16"/>
          <w:color w:val="auto"/>
        </w:rPr>
        <w:t>planned Phase 1 clinical trial of MP0317, to advance the expansion</w:t>
      </w:r>
    </w:p>
    <w:p>
      <w:pPr>
        <w:ind w:left="4880"/>
        <w:spacing w:after="0" w:line="229" w:lineRule="auto"/>
        <w:rPr>
          <w:sz w:val="20"/>
          <w:szCs w:val="20"/>
          <w:color w:val="auto"/>
        </w:rPr>
      </w:pPr>
      <w:r>
        <w:rPr>
          <w:rFonts w:ascii="Arial" w:cs="Arial" w:eastAsia="Arial" w:hAnsi="Arial"/>
          <w:sz w:val="16"/>
          <w:szCs w:val="16"/>
          <w:color w:val="auto"/>
        </w:rPr>
        <w:t>of our research and development activities in our infectious disease</w:t>
      </w:r>
    </w:p>
    <w:p>
      <w:pPr>
        <w:ind w:left="4880"/>
        <w:spacing w:after="0" w:line="229" w:lineRule="auto"/>
        <w:rPr>
          <w:sz w:val="20"/>
          <w:szCs w:val="20"/>
          <w:color w:val="auto"/>
        </w:rPr>
      </w:pPr>
      <w:r>
        <w:rPr>
          <w:rFonts w:ascii="Arial" w:cs="Arial" w:eastAsia="Arial" w:hAnsi="Arial"/>
          <w:sz w:val="16"/>
          <w:szCs w:val="16"/>
          <w:color w:val="auto"/>
        </w:rPr>
        <w:t>program, which is expected to include the selection of an additional</w:t>
      </w:r>
    </w:p>
    <w:p>
      <w:pPr>
        <w:ind w:left="4880"/>
        <w:spacing w:after="0" w:line="215" w:lineRule="auto"/>
        <w:rPr>
          <w:sz w:val="20"/>
          <w:szCs w:val="20"/>
          <w:color w:val="auto"/>
        </w:rPr>
      </w:pPr>
      <w:r>
        <w:rPr>
          <w:rFonts w:ascii="Arial" w:cs="Arial" w:eastAsia="Arial" w:hAnsi="Arial"/>
          <w:sz w:val="17"/>
          <w:szCs w:val="17"/>
          <w:color w:val="auto"/>
        </w:rPr>
        <w:t>product candidate targeting infectious disease and the preclinical</w:t>
      </w:r>
    </w:p>
    <w:p>
      <w:pPr>
        <w:ind w:left="4880"/>
        <w:spacing w:after="0" w:line="216" w:lineRule="auto"/>
        <w:rPr>
          <w:sz w:val="20"/>
          <w:szCs w:val="20"/>
          <w:color w:val="auto"/>
        </w:rPr>
      </w:pPr>
      <w:r>
        <w:rPr>
          <w:rFonts w:ascii="Arial" w:cs="Arial" w:eastAsia="Arial" w:hAnsi="Arial"/>
          <w:sz w:val="17"/>
          <w:szCs w:val="17"/>
          <w:color w:val="auto"/>
        </w:rPr>
        <w:t>research and initiation of IND-enabling studies with respect to this</w:t>
      </w:r>
    </w:p>
    <w:p>
      <w:pPr>
        <w:ind w:left="4880"/>
        <w:spacing w:after="0" w:line="215" w:lineRule="auto"/>
        <w:rPr>
          <w:sz w:val="20"/>
          <w:szCs w:val="20"/>
          <w:color w:val="auto"/>
        </w:rPr>
      </w:pPr>
      <w:r>
        <w:rPr>
          <w:rFonts w:ascii="Arial" w:cs="Arial" w:eastAsia="Arial" w:hAnsi="Arial"/>
          <w:sz w:val="17"/>
          <w:szCs w:val="17"/>
          <w:color w:val="auto"/>
        </w:rPr>
        <w:t>product candidate, to advance our liquid tumor portfolio initially in</w:t>
      </w:r>
    </w:p>
    <w:p>
      <w:pPr>
        <w:ind w:left="4880"/>
        <w:spacing w:after="0" w:line="229" w:lineRule="auto"/>
        <w:rPr>
          <w:sz w:val="20"/>
          <w:szCs w:val="20"/>
          <w:color w:val="auto"/>
        </w:rPr>
      </w:pPr>
      <w:r>
        <w:rPr>
          <w:rFonts w:ascii="Arial" w:cs="Arial" w:eastAsia="Arial" w:hAnsi="Arial"/>
          <w:sz w:val="16"/>
          <w:szCs w:val="16"/>
          <w:color w:val="auto"/>
        </w:rPr>
        <w:t>acute myeloid leukemia through Phase 1 clinical development, and</w:t>
      </w:r>
    </w:p>
    <w:p>
      <w:pPr>
        <w:ind w:left="4880"/>
        <w:spacing w:after="0" w:line="204" w:lineRule="auto"/>
        <w:rPr>
          <w:sz w:val="20"/>
          <w:szCs w:val="20"/>
          <w:color w:val="auto"/>
        </w:rPr>
      </w:pPr>
      <w:r>
        <w:rPr>
          <w:rFonts w:ascii="Arial" w:cs="Arial" w:eastAsia="Arial" w:hAnsi="Arial"/>
          <w:sz w:val="18"/>
          <w:szCs w:val="18"/>
          <w:color w:val="auto"/>
        </w:rPr>
        <w:t>leveraging our CD3 platform to develop additional product</w:t>
      </w:r>
    </w:p>
    <w:p>
      <w:pPr>
        <w:ind w:left="4880"/>
        <w:spacing w:after="0" w:line="215" w:lineRule="auto"/>
        <w:rPr>
          <w:sz w:val="20"/>
          <w:szCs w:val="20"/>
          <w:color w:val="auto"/>
        </w:rPr>
      </w:pPr>
      <w:r>
        <w:rPr>
          <w:rFonts w:ascii="Arial" w:cs="Arial" w:eastAsia="Arial" w:hAnsi="Arial"/>
          <w:sz w:val="17"/>
          <w:szCs w:val="17"/>
          <w:color w:val="auto"/>
        </w:rPr>
        <w:t>candidates thereafter, to advance our platform and other potential</w:t>
      </w:r>
    </w:p>
    <w:p>
      <w:pPr>
        <w:ind w:left="4880"/>
        <w:spacing w:after="0" w:line="204" w:lineRule="auto"/>
        <w:rPr>
          <w:sz w:val="20"/>
          <w:szCs w:val="20"/>
          <w:color w:val="auto"/>
        </w:rPr>
      </w:pPr>
      <w:r>
        <w:rPr>
          <w:rFonts w:ascii="Arial" w:cs="Arial" w:eastAsia="Arial" w:hAnsi="Arial"/>
          <w:sz w:val="18"/>
          <w:szCs w:val="18"/>
          <w:color w:val="auto"/>
        </w:rPr>
        <w:t>product candidates and for working capital and other general</w:t>
      </w:r>
    </w:p>
    <w:p>
      <w:pPr>
        <w:ind w:left="4880"/>
        <w:spacing w:after="0"/>
        <w:rPr>
          <w:sz w:val="20"/>
          <w:szCs w:val="20"/>
          <w:color w:val="auto"/>
        </w:rPr>
      </w:pPr>
      <w:r>
        <w:rPr>
          <w:rFonts w:ascii="Arial" w:cs="Arial" w:eastAsia="Arial" w:hAnsi="Arial"/>
          <w:sz w:val="18"/>
          <w:szCs w:val="18"/>
          <w:color w:val="auto"/>
        </w:rPr>
        <w:t>corporate purposes.</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the section titled “Use of Proceeds” for a more complete</w:t>
      </w:r>
    </w:p>
    <w:p>
      <w:pPr>
        <w:ind w:left="4880"/>
        <w:spacing w:after="0"/>
        <w:rPr>
          <w:sz w:val="20"/>
          <w:szCs w:val="20"/>
          <w:color w:val="auto"/>
        </w:rPr>
      </w:pPr>
      <w:r>
        <w:rPr>
          <w:rFonts w:ascii="Arial" w:cs="Arial" w:eastAsia="Arial" w:hAnsi="Arial"/>
          <w:sz w:val="18"/>
          <w:szCs w:val="18"/>
          <w:color w:val="auto"/>
        </w:rPr>
        <w:t>description of the intended use of proceeds from this offering.</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have never paid or declared dividends on our common shares, and we do not anticipate paying any cash dividends on our common shares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-805815</wp:posOffset>
            </wp:positionV>
            <wp:extent cx="7136130" cy="4855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166" w:space="720"/>
            <w:col w:w="4960"/>
          </w:cols>
          <w:pgMar w:left="994" w:top="1440" w:right="1059" w:bottom="1440" w:gutter="0" w:footer="0" w:header="0"/>
        </w:sectPr>
      </w:pPr>
    </w:p>
    <w:p>
      <w:pPr>
        <w:ind w:left="4886"/>
        <w:spacing w:after="0"/>
        <w:rPr>
          <w:sz w:val="20"/>
          <w:szCs w:val="20"/>
          <w:color w:val="auto"/>
        </w:rPr>
      </w:pPr>
      <w:r>
        <w:rPr>
          <w:rFonts w:ascii="Arial" w:cs="Arial" w:eastAsia="Arial" w:hAnsi="Arial"/>
          <w:sz w:val="16"/>
          <w:szCs w:val="16"/>
          <w:color w:val="auto"/>
        </w:rPr>
        <w:t>See the section titled “Dividend Policy” for more information.</w:t>
      </w:r>
    </w:p>
    <w:p>
      <w:pPr>
        <w:sectPr>
          <w:pgSz w:w="11900" w:h="16838" w:orient="portrait"/>
          <w:cols w:equalWidth="0" w:num="1">
            <w:col w:w="9846"/>
          </w:cols>
          <w:pgMar w:left="994" w:top="1440" w:right="1059" w:bottom="1440" w:gutter="0" w:footer="0" w:header="0"/>
          <w:type w:val="continuous"/>
        </w:sectPr>
      </w:pPr>
    </w:p>
    <w:p>
      <w:pPr>
        <w:spacing w:after="0" w:line="140" w:lineRule="exact"/>
        <w:rPr>
          <w:sz w:val="20"/>
          <w:szCs w:val="20"/>
          <w:color w:val="auto"/>
        </w:rPr>
      </w:pPr>
    </w:p>
    <w:p>
      <w:pPr>
        <w:ind w:left="26"/>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See the section titled “Risk Factors” and other information included in this prospectus for a discussion of factors that you should consider carefully before deciding to invest in the ADSs.</w:t>
      </w:r>
    </w:p>
    <w:p>
      <w:pPr>
        <w:spacing w:after="0" w:line="96"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have applied to have the ADSs listed on the Nasdaq Global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 under the symbol “MOLN”.</w:t>
      </w:r>
    </w:p>
    <w:p>
      <w:pPr>
        <w:spacing w:after="0" w:line="101"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6"/>
          <w:szCs w:val="16"/>
          <w:color w:val="auto"/>
        </w:rPr>
        <w:t>Swiss listing</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Our common shares are listed on the SIX Swiss Exchange under the symbol “MOLN”.</w:t>
      </w:r>
    </w:p>
    <w:p>
      <w:pPr>
        <w:spacing w:after="0" w:line="200"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number of common shares to be outstanding after this offering is based on a total of 29,157,793 common shares outstanding as of</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March 31, 2021 and excludes:</w:t>
      </w:r>
    </w:p>
    <w:p>
      <w:pPr>
        <w:spacing w:after="0" w:line="143" w:lineRule="exact"/>
        <w:rPr>
          <w:sz w:val="20"/>
          <w:szCs w:val="20"/>
          <w:color w:val="auto"/>
        </w:rPr>
      </w:pPr>
    </w:p>
    <w:p>
      <w:pPr>
        <w:ind w:left="326" w:right="16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but not exercised as of March 31, 2021;</w:t>
      </w:r>
    </w:p>
    <w:p>
      <w:pPr>
        <w:spacing w:after="0" w:line="102" w:lineRule="exact"/>
        <w:rPr>
          <w:rFonts w:ascii="Arial" w:cs="Arial" w:eastAsia="Arial" w:hAnsi="Arial"/>
          <w:sz w:val="18"/>
          <w:szCs w:val="18"/>
          <w:color w:val="auto"/>
        </w:rPr>
      </w:pPr>
    </w:p>
    <w:p>
      <w:pPr>
        <w:ind w:left="326" w:right="18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435,882 performance share units and 87,906 restricted share units granted or allocated under our employee stock option plans and long-term equity incentive plans but not vested as of March 31, 2021; and</w:t>
      </w:r>
    </w:p>
    <w:p>
      <w:pPr>
        <w:spacing w:after="0" w:line="89" w:lineRule="exact"/>
        <w:rPr>
          <w:rFonts w:ascii="Arial" w:cs="Arial" w:eastAsia="Arial" w:hAnsi="Arial"/>
          <w:sz w:val="18"/>
          <w:szCs w:val="18"/>
          <w:color w:val="auto"/>
        </w:rPr>
      </w:pPr>
    </w:p>
    <w:p>
      <w:pPr>
        <w:ind w:left="326" w:right="120" w:hanging="326"/>
        <w:spacing w:after="0" w:line="342" w:lineRule="auto"/>
        <w:tabs>
          <w:tab w:leader="none" w:pos="3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highlight w:val="white"/>
        </w:rPr>
        <w:t>Except as otherwise noted, the information in this prospectus assumes:</w:t>
      </w:r>
    </w:p>
    <w:p>
      <w:pPr>
        <w:spacing w:after="0" w:line="158"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450,000 additional ADSs;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outstanding options or vesting of performance share units or restricted share units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46"/>
          </w:cols>
          <w:pgMar w:left="994" w:top="1440" w:right="10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401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4018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FINANCIAL DATA</w:t>
      </w: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summary statement of comprehensive loss data for each of the years ended December 31, 2020 and 2019 and the summary statement of financial position data as of December 31, 2020 have been derived from our audited financial statements included elsewhere in this prospectus. Our audited financial statements have been prepared in accordance with International Financial Reporting Standards, or IFRS as issued by the International Accounting Standards Board, or IASB. The statements of comprehensive loss data for the three months ended March 31, 2021 and 2020 and the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summary financial data for the periods and as of the dates indicated are qualified by reference to and should be read in conjunction with our financial statements and related notes beginning on page F-1 of this prospectus, as well as the sections entitled “Selected Financial Data”, “Management’s Discussion and Analysis of Financial Condition and Results of Operations” and “Exchange Rate Information” included elsewhere in this prospectus.</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December 31, 2020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75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91"/>
              </w:rPr>
              <w:t>For the three</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24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238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For the year ended</w:t>
            </w:r>
          </w:p>
        </w:tc>
        <w:tc>
          <w:tcPr>
            <w:tcW w:w="1380" w:type="dxa"/>
            <w:vAlign w:val="bottom"/>
            <w:vMerge w:val="continue"/>
          </w:tcPr>
          <w:p>
            <w:pPr>
              <w:spacing w:after="0"/>
              <w:rPr>
                <w:sz w:val="3"/>
                <w:szCs w:val="3"/>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89"/>
              </w:rPr>
              <w:t>months ended</w:t>
            </w:r>
          </w:p>
        </w:tc>
        <w:tc>
          <w:tcPr>
            <w:tcW w:w="1200" w:type="dxa"/>
            <w:vAlign w:val="bottom"/>
            <w:vMerge w:val="restart"/>
          </w:tcPr>
          <w:p>
            <w:pPr>
              <w:jc w:val="center"/>
              <w:ind w:left="29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4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238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December 31, 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44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6"/>
                <w:szCs w:val="16"/>
                <w:b w:val="1"/>
                <w:bCs w:val="1"/>
                <w:color w:val="auto"/>
                <w:w w:val="93"/>
              </w:rPr>
              <w:t>March 31, 2021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in CHF</w:t>
            </w: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in CHF</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in USD</w:t>
            </w: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6"/>
              </w:rPr>
              <w:t>in CHF</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ind w:left="22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178"/>
        </w:trPr>
        <w:tc>
          <w:tcPr>
            <w:tcW w:w="25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Total revenues and other</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9,344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10,569</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20,383</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3"/>
              </w:rPr>
              <w:t>977</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88"/>
              </w:rPr>
              <w:t>1,037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3"/>
              </w:rPr>
              <w:t>3,805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rPr>
              <w:t>Research and development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(56,075)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(63,426)</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(43,498)</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89"/>
              </w:rPr>
              <w:t>(16,163)</w:t>
            </w:r>
          </w:p>
        </w:tc>
        <w:tc>
          <w:tcPr>
            <w:tcW w:w="1200" w:type="dxa"/>
            <w:vAlign w:val="bottom"/>
            <w:vMerge w:val="restart"/>
          </w:tcPr>
          <w:p>
            <w:pPr>
              <w:jc w:val="center"/>
              <w:ind w:left="172"/>
              <w:spacing w:after="0"/>
              <w:rPr>
                <w:sz w:val="20"/>
                <w:szCs w:val="20"/>
                <w:color w:val="auto"/>
              </w:rPr>
            </w:pPr>
            <w:r>
              <w:rPr>
                <w:rFonts w:ascii="Arial" w:cs="Arial" w:eastAsia="Arial" w:hAnsi="Arial"/>
                <w:sz w:val="18"/>
                <w:szCs w:val="18"/>
                <w:color w:val="auto"/>
                <w:w w:val="92"/>
              </w:rPr>
              <w:t>(17,162)</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92"/>
              </w:rPr>
              <w:t>(13,363)</w:t>
            </w:r>
          </w:p>
        </w:tc>
        <w:tc>
          <w:tcPr>
            <w:tcW w:w="0" w:type="dxa"/>
            <w:vAlign w:val="bottom"/>
          </w:tcPr>
          <w:p>
            <w:pPr>
              <w:spacing w:after="0"/>
              <w:rPr>
                <w:sz w:val="1"/>
                <w:szCs w:val="1"/>
                <w:color w:val="auto"/>
              </w:rPr>
            </w:pPr>
          </w:p>
        </w:tc>
      </w:tr>
      <w:tr>
        <w:trPr>
          <w:trHeight w:val="230"/>
        </w:trPr>
        <w:tc>
          <w:tcPr>
            <w:tcW w:w="25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Selling, general and</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(11,595)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(13,115)</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(13,545)</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1"/>
              </w:rPr>
              <w:t>(3,344)</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91"/>
              </w:rPr>
              <w:t>(3,551)</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4"/>
              </w:rPr>
              <w:t>(2,662)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Operating result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(58,326)</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(65,973)</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(36,660)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89"/>
              </w:rPr>
              <w:t>(18,530)</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2"/>
              </w:rPr>
              <w:t>(19,675)</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2"/>
              </w:rPr>
              <w:t>(12,220)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1,599</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8"/>
              </w:rPr>
              <w:t>2,153</w:t>
            </w:r>
          </w:p>
        </w:tc>
        <w:tc>
          <w:tcPr>
            <w:tcW w:w="120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2,286</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6"/>
              </w:rPr>
              <w:t>248</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Financial expenses</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(4,816)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(1,210)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95"/>
              </w:rPr>
              <w:t>(177)</w:t>
            </w:r>
          </w:p>
        </w:tc>
        <w:tc>
          <w:tcPr>
            <w:tcW w:w="1200" w:type="dxa"/>
            <w:vAlign w:val="bottom"/>
          </w:tcPr>
          <w:p>
            <w:pPr>
              <w:jc w:val="center"/>
              <w:ind w:left="192"/>
              <w:spacing w:after="0"/>
              <w:rPr>
                <w:sz w:val="20"/>
                <w:szCs w:val="20"/>
                <w:color w:val="auto"/>
              </w:rPr>
            </w:pPr>
            <w:r>
              <w:rPr>
                <w:rFonts w:ascii="Arial" w:cs="Arial" w:eastAsia="Arial" w:hAnsi="Arial"/>
                <w:sz w:val="18"/>
                <w:szCs w:val="18"/>
                <w:color w:val="auto"/>
                <w:w w:val="95"/>
              </w:rPr>
              <w:t>(196)</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4"/>
              </w:rPr>
              <w:t>(1,367)</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Result before income taxes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(62,775)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(71,005)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(36,271)</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2"/>
              </w:rPr>
              <w:t>(13,339)</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1240" w:type="dxa"/>
            <w:vAlign w:val="bottom"/>
          </w:tcPr>
          <w:p>
            <w:pPr>
              <w:jc w:val="center"/>
              <w:ind w:left="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Net result, attributable to</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(62,764)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(70,992)</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(36,288)</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2"/>
              </w:rPr>
              <w:t>(13,345)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w w:val="98"/>
              </w:rPr>
              <w:t>Basic and diluted net result per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3"/>
              </w:rPr>
              <w:t>(2.51)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(2.84)</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(1.69)</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93"/>
              </w:rPr>
              <w:t>(0.57)</w:t>
            </w:r>
          </w:p>
        </w:tc>
        <w:tc>
          <w:tcPr>
            <w:tcW w:w="1200" w:type="dxa"/>
            <w:vAlign w:val="bottom"/>
            <w:vMerge w:val="restart"/>
          </w:tcPr>
          <w:p>
            <w:pPr>
              <w:jc w:val="center"/>
              <w:ind w:left="192"/>
              <w:spacing w:after="0"/>
              <w:rPr>
                <w:sz w:val="20"/>
                <w:szCs w:val="20"/>
                <w:color w:val="auto"/>
              </w:rPr>
            </w:pPr>
            <w:r>
              <w:rPr>
                <w:rFonts w:ascii="Arial" w:cs="Arial" w:eastAsia="Arial" w:hAnsi="Arial"/>
                <w:sz w:val="18"/>
                <w:szCs w:val="18"/>
                <w:color w:val="auto"/>
                <w:w w:val="93"/>
              </w:rPr>
              <w:t>(0.61)</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89"/>
              </w:rPr>
              <w:t>(0.62)</w:t>
            </w:r>
          </w:p>
        </w:tc>
        <w:tc>
          <w:tcPr>
            <w:tcW w:w="0" w:type="dxa"/>
            <w:vAlign w:val="bottom"/>
          </w:tcPr>
          <w:p>
            <w:pPr>
              <w:spacing w:after="0"/>
              <w:rPr>
                <w:sz w:val="1"/>
                <w:szCs w:val="1"/>
                <w:color w:val="auto"/>
              </w:rPr>
            </w:pPr>
          </w:p>
        </w:tc>
      </w:tr>
      <w:tr>
        <w:trPr>
          <w:trHeight w:val="304"/>
        </w:trPr>
        <w:tc>
          <w:tcPr>
            <w:tcW w:w="2500" w:type="dxa"/>
            <w:vAlign w:val="bottom"/>
          </w:tcPr>
          <w:p>
            <w:pPr>
              <w:ind w:left="200"/>
              <w:spacing w:after="0"/>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6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03" w:lineRule="exact"/>
        <w:rPr>
          <w:rFonts w:ascii="Arial" w:cs="Arial" w:eastAsia="Arial" w:hAnsi="Arial"/>
          <w:sz w:val="13"/>
          <w:szCs w:val="13"/>
          <w:color w:val="auto"/>
        </w:rPr>
      </w:pPr>
    </w:p>
    <w:p>
      <w:pPr>
        <w:ind w:left="340" w:right="32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21 to our consolidated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As of</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5520" w:type="dxa"/>
            <w:vAlign w:val="bottom"/>
          </w:tcPr>
          <w:p>
            <w:pPr>
              <w:spacing w:after="0"/>
              <w:rPr>
                <w:sz w:val="18"/>
                <w:szCs w:val="18"/>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March 31, 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2020</w:t>
            </w:r>
          </w:p>
        </w:tc>
      </w:tr>
      <w:tr>
        <w:trPr>
          <w:trHeight w:val="209"/>
        </w:trPr>
        <w:tc>
          <w:tcPr>
            <w:tcW w:w="552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w w:val="95"/>
              </w:rPr>
              <w:t>in USD thousands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plus short-term time deposits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154,601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183,729</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187,546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318,877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(80,326)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losses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(221,359)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r>
      <w:tr>
        <w:trPr>
          <w:trHeight w:val="23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100,614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8" w:name="page19"/>
    <w:bookmarkEnd w:id="18"/>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Investing in the ADSs involves a high degree of risk. You should carefully consider the risks and uncertainties described below and the other information in this prospectus before making an investment decision. Our business, financial condition or results of operations could be adversely affected if any of these risks occurs, and as a result, the market price of the ADSs could decline and you could lose all or part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are a clinical-stage biopharmaceutical company with limited operating history. We have incurred significant losses since our inception, and we expect to incur losses for the foreseeable future and may never achieve or maintain profitability.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 clinical-stage biopharmaceutical company with limited operating history. Since our inception, we have incurred significant operating losses, including negative net results, attributable to shareholders of CHF 62.8 million and CHF 36.3 million for the years ended December 31, 2020 and 2019, respectively. For the three months ended March 31, 2021 and 2020, we incurred negative net results, attributable to shareholders of CHF 16.6 million and CHF 13.3 million, respectively. As of March 31, 2021, we had cumulative losses of CHF 208.5 million. Our losses resulted principally from costs incurred in research and development, preclinical testing, clinical development of our product candidates as well as costs incurred for research programs and from selling,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will result in incurring further significant losses for the next several years. Our losses, among other things, will continue to cause our working capital and shareholders' equity to decrease. We anticipate that our expenses will increase substantially if and as we:</w:t>
      </w:r>
    </w:p>
    <w:p>
      <w:pPr>
        <w:spacing w:after="0" w:line="1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clinical trials of ensovibep in SARS-CoV-2 positively diagnosed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the Phase 1a clinical trial of MP0310 in fibroblast activation protein, or FAP, positive cancer patients;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prepare for the Phase 1 clinical trial of MP0317, the second candidate in our oncology program;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clinical applications of our CD3 T cell engagement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clinical- and preclinical-stage product candidates and discovery stage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enhance our DARPin technology and build on our proprietary product pipeline;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and other proprietary rights and obtain licenses to third-party intellectual property;</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clinical, regulatory, scientific, operational, financial, legal, intellectual property, compliance and management information systems and personnel, including personnel to support our product development and potential future commercialization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ind w:left="340" w:right="6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relating to any of the above, including failed studies, ambiguous trial results, safety issues, other regulatory challenges or third party supply or manufacturing issues.</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 To date, we have funded our operations through public and private placements of equity securities, upfront, milestone, option exercise, reservation fee, expense reimbursement, full time equivalent, or FTE, employees and sponsored research payments received from our collaborators, recharging of third party costs and interest income from the investment of our cash, cash equivalents and financial assets.</w:t>
      </w:r>
    </w:p>
    <w:p>
      <w:pPr>
        <w:spacing w:after="0" w:line="1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1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w:t>
      </w:r>
    </w:p>
    <w:p>
      <w:pPr>
        <w:spacing w:after="0" w:line="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date, we have funded our operations through public and private placements of equity securities, upfront, milestone, option exercise, reservation fee, expense reimbursement, FTE and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that our existing cash, cash equivalents and investments, together with anticipated net proceeds from this offering, will enable us to fund our operating expenses and capital expenditure requirements through at least the third quarter of 2023. We have based this estimate on assumptions that may prove to be wrong, and we could use our capital resources sooner than we currently expect. Our future capital requirements for ensovibep, MP0310, MP0317 or our preclinical programs will depend on many factors, including:</w:t>
      </w:r>
    </w:p>
    <w:p>
      <w:pPr>
        <w:spacing w:after="0" w:line="11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our current or any future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ind w:left="660" w:right="2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any future product candidates;</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maintaining and enforcing patents or defending against infringement, misappropriation or other claims raised by third parties;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maintenance of our existing license and collaboration agreements and the entry into new license and collaboration agreements;</w:t>
      </w:r>
    </w:p>
    <w:p>
      <w:pPr>
        <w:spacing w:after="0" w:line="15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potential commercialization of our current or any future product candidates, if approved, and costs involved in the creation of an effective sales and marketing organization; and</w:t>
      </w:r>
    </w:p>
    <w:p>
      <w:pPr>
        <w:spacing w:after="0" w:line="10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our product candidates, if approved.</w:t>
      </w:r>
    </w:p>
    <w:p>
      <w:pPr>
        <w:spacing w:after="0" w:line="10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More recently, other, potentially more infectious, variants of the SARS-CoV-2 coronavirus have been identified. The outbreak and government measures and regulations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requested most of our employees that are not required to work in the laboratory to work remotely. As the result of the pandemic, we may experience disruptions that could impact our business, preclinical studies and clinical trials, including:</w:t>
      </w:r>
    </w:p>
    <w:p>
      <w:pPr>
        <w:spacing w:after="0" w:line="11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or healthy volunteers in our clinical trials;</w:t>
      </w:r>
    </w:p>
    <w:p>
      <w:pPr>
        <w:spacing w:after="0" w:line="144"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securing clinical trial site locations, and delays or difficulties in clinical site initiation, including difficulties in recruiting clinical site investigators and clinical site staff;</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of submissions to, and approvals of, regulatory authorities;</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440" w:right="379" w:bottom="1440" w:gutter="0" w:footer="0" w:header="0"/>
        </w:sectPr>
      </w:pPr>
    </w:p>
    <w:bookmarkStart w:id="21" w:name="page22"/>
    <w:bookmarkEnd w:id="21"/>
    <w:p>
      <w:pPr>
        <w:spacing w:after="0" w:line="130" w:lineRule="exact"/>
        <w:rPr>
          <w:sz w:val="20"/>
          <w:szCs w:val="20"/>
          <w:color w:val="auto"/>
        </w:rPr>
      </w:pPr>
    </w:p>
    <w:p>
      <w:pPr>
        <w:ind w:left="340" w:right="4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02"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in the operations of regulatory authorities, which may impact review and approval timelines, including delays in receiving approval from local regulatory authorities to initiate our planned clinical trials;</w:t>
      </w:r>
    </w:p>
    <w:p>
      <w:pPr>
        <w:spacing w:after="0" w:line="10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02" w:lineRule="exact"/>
        <w:rPr>
          <w:rFonts w:ascii="Arial" w:cs="Arial" w:eastAsia="Arial" w:hAnsi="Arial"/>
          <w:sz w:val="18"/>
          <w:szCs w:val="18"/>
          <w:color w:val="auto"/>
        </w:rPr>
      </w:pPr>
    </w:p>
    <w:p>
      <w:pPr>
        <w:ind w:left="340" w:right="26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COVID-19 pandemic continues to rapidly evolve. The extent to which the outbreak ultimately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Switzerland, the United States and other countries, business closures or business disruptions and the effectiveness of actions taken in countries around the world to contain and treat the disease.</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common shares or purchasers of ADSs in this offering, restrict our operations or require us to relinquish rights to our technologies or product candidates.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operations with our existing cash, cash equivalents and current financial assets, the net proceeds from this offering, revenue from our collaborations and interest income from the investment of our cash, cash equivalents and financial assets. In order to further advance development of our product candidates, discover additional product candidates and pursue our other business objectives, however, we will need to seek additional funds.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if at all. Moreover, the terms of any financing may adversely affect the holdings or the rights of holders of our common shares or the ADSs and the issuance of additional securities, whether equity or debt, by us, or the possibility of such issuance, may cause the market price of the ADSs and our common shares to decline. The sale of additional equity or convertible securities would dilute all of our existing shareholders and the terms of these securities may include liquidation or other preferences that adversely affect your rights as a holder of ADSs.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of our product candidates, or be unable to expand our operations or otherwise capitalize on our business opportunities, as desired, which could materially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Development and Clinical Testing of Our Product Candidates</w:t>
      </w:r>
    </w:p>
    <w:p>
      <w:pPr>
        <w:spacing w:after="0" w:line="1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heavily dependent on the success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not be successful in our efforts to further develop our DARPin platform technology and current product candidates. We are not permitted to market or promote any of our product candidates before we receive regulatory approval from the FDA, EMA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suspended, or terminated for a variety of reasons, including the following:</w:t>
      </w:r>
    </w:p>
    <w:p>
      <w:pPr>
        <w:spacing w:after="0" w:line="15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ind w:left="340" w:right="2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or ethics committee approval at each site;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actions claiming infringement by our product candidates in clinical trials and obtaining injunctions interfering with our progress;</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or tolerability concerns could cause us or our collaborators, as applicable, to suspend or terminate a trial if we or our collaborators find that the participants are being exposed to unacceptable health risks;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57"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meet their contractual obligations to us in a timely manner, or at all;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in clinical trials;</w:t>
      </w:r>
    </w:p>
    <w:p>
      <w:pPr>
        <w:spacing w:after="0" w:line="144"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in certain countries in identifying the sub-populations that we are trying to treat in a particular trial, which may delay enrollment and reduce the power of a clinical trial to detect statistically significant results;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 and</w:t>
      </w:r>
    </w:p>
    <w:p>
      <w:pPr>
        <w:spacing w:after="0" w:line="157"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potential clinical trials, cause delays in clinical trials, or delays or difficulties in shipping and delivering in a timely manner supplies, samples or products required for our operations.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or ethics committees, by the Data Review Committee, or DRC, or Data Safety Monitoring Board, or DSMB, for such trial or by the EMA,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the FDA or other regulatory authorities resulting in the imposition of a clinical hold, unforeseen safety issues or adverse side effects, including those relating to the class to which our product candidates belong, failure to demonstrate a benefit from using a drug, changes in governmental regulations or administrative actions or lack of adequate funding to continue the clinical trial. For example, changes in local regulations as part of a response to the COVID-19 pandemic may require us to change the ways in which our clinical trials are conducted, which may result in unexpected costs, or cause us to discontinue the clinical trials altogether. 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1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must be conducted in accordance with the FDA, the EMA and other applicable regulatory authorities' legal requirements and regulations, and are subject to oversight by these governmental agencies and IRBs at the medical institutions where the clinical trials are conducted or ethics committees. In addition, clinical trials must be conducted with supplies of our product candidates produced under current good manufacturing practices,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conducting clinical trials in multiple countries, such as the Phase 2/3 global registration study for ensovibep, our lead COVID-19 antiviral product candidate, which initiated enrollment in May 2021,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good clinical practices, regulations and other foreign regulatory schemes, as well as political and economic risks relevant to such foreign countries.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platform to build a pipeline of product candidates with commercial value.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key element of our strategy is to use and expand our platform to build a pipeline of product candidates and progress these product candidates through clinical development. So far none of the products candidates originating from our platform has received marketing approval from the FDA or other 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spacing w:after="0" w:line="11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COVID-19 antiviral product candidates may face significant competition from vaccines and other treatments for COVID-19 that are in development.</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biotechnology and pharmaceutical companies are developing treatments for COVID-19 or vaccines against severe acute respiratory syndrome coronavirus 2, or SARS-CoV-2, the virus that causes COVID-19, and any treatment we may develop could face significant competition. Many of these companies, which include large pharmaceutical companies, have greater resources for development, manufacturing and established commercialization capabilities. These companies may develop treatments more rapidly or effectively than we do, may develop a treatment that becomes the standard of care, may develop a treatment at a lower cost, superior formulation or more convenient way of administration, or may be more successful at commercializing an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treatment, all of which could adversely impact our business. As a result, we or our partner Novartis may not be able to successfully commercialize our COVID-19 antiviral product candidates for the treatment of COVID-19, even if approved, or compete with other treatments or vaccines, which could adversely impact our business and operations.</w:t>
      </w:r>
    </w:p>
    <w:p>
      <w:pPr>
        <w:spacing w:after="0" w:line="1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Europe. We cannot be certain of the timely completion or outcome of our preclinical testing and studies and cannot predict if the FDA or EMA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allowing clinical trials to begin.</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spacing w:after="0" w:line="8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generate sufficient preclinical or other in vivo or in vitro data to support the initiation of clinical studies;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157"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EMA not allowing us to rely on previous findings of safety and efficacy for other similar but approved products and published scientific literature.</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w:t>
      </w:r>
    </w:p>
    <w:p>
      <w:pPr>
        <w:spacing w:after="0" w:line="10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Any positive results from our preclinical studies of our product candidates may not necessarily be predictive of the results from required later preclinical studies and clinical trials.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For example, while we have observed biological activity in patient samples following administration of an initial dose in our ongoing MP0310 Phase I clinical trial, there can be no assurance that such biological activity will be similarly observed and maintained following administration of additional doses or any drop in biological activity could be overcome with additional development regarding more frequent dosing regimens, in each case with respect to our ongoing MP0310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3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trial or in future clinical trials with respect to our MP0310 program or in any of our other current or future product candidates, including MP0317, the second candidate in our oncology program. In addition, positive results in later stage clinical trials of one of our product candidates in an indication may not be predictive of the safety or efficacy of our other product candidates in other indications, even if they employ a similar mechanism of action.</w:t>
      </w:r>
    </w:p>
    <w:p>
      <w:pPr>
        <w:spacing w:after="0" w:line="6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For example, immuno-oncology therapeutics can result in the creation of anti-drug antibodies that can neutralize the effects of the product, or require that higher doses be used to obtain a therapeutic effect.</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product candidates utilize a novel mechanism of action which may result in greater research and development expenses, regulatory issues that could delay or prevent approval, or discovery of unknown or unanticipated adverse effects.</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Some of our product candidates, such as AMG 506 (MP0310) and MP0317, the lead product candidates from our oncology program, utilize novel mechanisms of action which may result in greater research and development expenses, regulatory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product development strategy.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spacing w:after="0" w:line="11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 on our ability to derive revenues from sales of our products.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spacing w:after="0" w:line="10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16"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 stage trials.</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harm our business and operating results.</w:t>
      </w:r>
    </w:p>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 final data are available. Adverse changes in the final data compared to the interim data could significantly harm our business prospects.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number of patients in certain of our clinical trials is small, the results from such trials may be less reliable than results achieved in larger clinical trials.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 While our preclinical and clinical studies for our product candidates to date have generally been well tolerated from a risk-benefit perspective, the results from ongoing and future trials may not support this conclusion.</w:t>
      </w:r>
    </w:p>
    <w:p>
      <w:pPr>
        <w:spacing w:after="0" w:line="1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results of future clinical studies may show that our product candidates cause undesirable or unacceptable side effects or even death. In such an event, our trials could be suspended or terminated and the FDA, the EMA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8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our approved product off the market;</w:t>
      </w:r>
    </w:p>
    <w:p>
      <w:pPr>
        <w:spacing w:after="0" w:line="157" w:lineRule="exact"/>
        <w:rPr>
          <w:rFonts w:ascii="Arial" w:cs="Arial" w:eastAsia="Arial" w:hAnsi="Arial"/>
          <w:sz w:val="18"/>
          <w:szCs w:val="18"/>
          <w:color w:val="auto"/>
        </w:rPr>
      </w:pPr>
    </w:p>
    <w:p>
      <w:pPr>
        <w:ind w:left="340" w:right="8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02"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has negative side effects, public perception of our DARPin platform and commercial opportunities for all of our current and future product candidates could be adversely affected.</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adversely affected because the negative side effect may be perceived to be a likely side effect of all of our product candidates. In the clinical trials performed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AbbVie for abicipar in wet AMD, for example, ocular inflammation has been reported as an undesirable side effect. In June 2020, the FDA sent a CRL to AbbVie stating that ocular inflammation results in an unfavorable benefit-risk ratio in the treatment of nAMD. However unlikely it is that ocular inflammation will be a side effect of our other product candidates in indications outside of ophthalmology, the public may perceive our DARPin technology or our product candidates to pose a heightened risk of inflammation, thus negatively affecting the commercial opportunities of our current and future product candidates. Additionally, in our ongoing Phase 1 clinical trial of MP0310 in FAP positive cancer patients, we observed protocol defined infusion-related reactions, or IRRs, in 12 of 23 patients. These adverse events may negatively affect the perception of the DARPin technology platform, the commercial opportunity for our product candidates or cause us to suspend clinical trials.</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 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technology platforms may gain faster or greater market acceptance than our products or technology platform and medical advances or rapid technological development by competitors may result in our product candidates or technology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technology platforms do not compete effectively, it may have an adverse effect on our business and results of operation.</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and business could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drug candidates. Even once enrolled we may be unable to retain a sufficient number of patients to complete any of our trials.</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Changes in government regulations in response to the COVID-19 outbreak may require us to change the ways in which our clinical trials are conducted, which could result in delays.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w:t>
      </w:r>
    </w:p>
    <w:p>
      <w:pPr>
        <w:spacing w:after="0" w:line="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our ability to successfully initiate, enroll and complete clinical trials in foreign countries is subject to numerous risks unique to conducting business in foreign countries, including:</w:t>
      </w:r>
    </w:p>
    <w:p>
      <w:pPr>
        <w:spacing w:after="0" w:line="10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44" w:lineRule="exact"/>
        <w:rPr>
          <w:rFonts w:ascii="Arial" w:cs="Arial" w:eastAsia="Arial" w:hAnsi="Arial"/>
          <w:sz w:val="18"/>
          <w:szCs w:val="18"/>
          <w:color w:val="auto"/>
        </w:rPr>
      </w:pPr>
    </w:p>
    <w:p>
      <w:pPr>
        <w:ind w:left="340" w:right="80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 and injury to our reputation;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conduct clinical trials for our product candidates outside the United States, and the FDA and similar foreign regulatory authorities may not accept data from such trials.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58" w:lineRule="exact"/>
        <w:rPr>
          <w:sz w:val="20"/>
          <w:szCs w:val="20"/>
          <w:color w:val="auto"/>
        </w:rPr>
      </w:pPr>
    </w:p>
    <w:p>
      <w:pPr>
        <w:ind w:left="340" w:right="30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including the size of our clinical trials or the doses tested;</w:t>
      </w:r>
    </w:p>
    <w:p>
      <w:pPr>
        <w:spacing w:after="0" w:line="8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pure and potent or effective for its proposed indication;</w:t>
      </w:r>
    </w:p>
    <w:p>
      <w:pPr>
        <w:spacing w:after="0" w:line="102"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ind w:left="340" w:right="16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require us to test additional dose regimens of our product candidates;</w:t>
      </w:r>
    </w:p>
    <w:p>
      <w:pPr>
        <w:spacing w:after="0" w:line="89" w:lineRule="exact"/>
        <w:rPr>
          <w:rFonts w:ascii="Arial" w:cs="Arial" w:eastAsia="Arial" w:hAnsi="Arial"/>
          <w:sz w:val="18"/>
          <w:szCs w:val="18"/>
          <w:color w:val="auto"/>
        </w:rPr>
      </w:pPr>
    </w:p>
    <w:p>
      <w:pPr>
        <w:ind w:left="340" w:right="140" w:hanging="332"/>
        <w:spacing w:after="0" w:line="308"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spacing w:after="0" w:line="78" w:lineRule="exact"/>
        <w:rPr>
          <w:rFonts w:ascii="Arial" w:cs="Arial" w:eastAsia="Arial" w:hAnsi="Arial"/>
          <w:sz w:val="17"/>
          <w:szCs w:val="17"/>
          <w:color w:val="auto"/>
        </w:rPr>
      </w:pPr>
    </w:p>
    <w:p>
      <w:pPr>
        <w:ind w:left="340" w:right="8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The FDA,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2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seek fast-track designation and review for some or all of our product candidates. For example, our clinical development strategy for ensovibep, our lead COVID-19 antiviral therapeutic product candidate, aims to achieve potential emergency use authorization, and in June 2021 ensovibep received FDA fast track designation for the treatment of COVID-19 in hospitalized and ambulatory settings.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such as we received for ensovibep in June 2021,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the clinical development program.</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340" w:right="56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44"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the EMA or comparable foreign regulatory authorities to approve pending applications or supplements to approved applications filed by us or suspension or revocation of approvals;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medical judgement.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the policies and executive actions of the Biden administration may impact our business and industry.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3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58" w:lineRule="exact"/>
        <w:rPr>
          <w:sz w:val="20"/>
          <w:szCs w:val="20"/>
          <w:color w:val="auto"/>
        </w:rPr>
      </w:pPr>
    </w:p>
    <w:p>
      <w:pPr>
        <w:ind w:left="340" w:right="18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02" w:lineRule="exact"/>
        <w:rPr>
          <w:rFonts w:ascii="Arial" w:cs="Arial" w:eastAsia="Arial" w:hAnsi="Arial"/>
          <w:sz w:val="18"/>
          <w:szCs w:val="18"/>
          <w:color w:val="auto"/>
        </w:rPr>
      </w:pPr>
    </w:p>
    <w:p>
      <w:pPr>
        <w:ind w:left="340" w:right="160" w:hanging="332"/>
        <w:spacing w:after="0" w:line="308"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8"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57" w:lineRule="exact"/>
        <w:rPr>
          <w:rFonts w:ascii="Arial" w:cs="Arial" w:eastAsia="Arial" w:hAnsi="Arial"/>
          <w:sz w:val="18"/>
          <w:szCs w:val="18"/>
          <w:color w:val="auto"/>
        </w:rPr>
      </w:pPr>
    </w:p>
    <w:p>
      <w:pPr>
        <w:ind w:left="340" w:right="32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30" w:lineRule="exact"/>
        <w:rPr>
          <w:sz w:val="20"/>
          <w:szCs w:val="20"/>
          <w:color w:val="auto"/>
        </w:rPr>
      </w:pPr>
    </w:p>
    <w:p>
      <w:pPr>
        <w:ind w:left="340" w:right="2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Centers for Medicare &amp; Medicaid, or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0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August 2, 2011, the Budget Control Act of 2011, among other things, created measures for spending reductions by U.S.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U.S.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Recently there has also been heightened governmental scrutiny over the manner in which manufacturers set prices for their marketed products.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It is also possible that additional governmental action will be taken in response to the COVID-19 pandemic.</w:t>
      </w:r>
    </w:p>
    <w:p>
      <w:pPr>
        <w:spacing w:after="0" w:line="1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particularly in light of the new presidential administration, any of which could limit the amounts that the U.S. federal government will pay for healthcare products and services, which could result in reduced demand for our product candidates or additional pricing pressures.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10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 foreign regulatory authorities in jurisdictions in which we conduct our business. The laws that may affect our ability to operate include:</w:t>
      </w:r>
    </w:p>
    <w:p>
      <w:pPr>
        <w:spacing w:after="0" w:line="84" w:lineRule="exact"/>
        <w:rPr>
          <w:sz w:val="20"/>
          <w:szCs w:val="20"/>
          <w:color w:val="auto"/>
        </w:rPr>
      </w:pPr>
    </w:p>
    <w:p>
      <w:pPr>
        <w:ind w:left="340" w:right="80" w:hanging="332"/>
        <w:spacing w:after="0" w:line="279"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spacing w:after="0" w:line="103" w:lineRule="exact"/>
        <w:rPr>
          <w:rFonts w:ascii="Arial" w:cs="Arial" w:eastAsia="Arial" w:hAnsi="Arial"/>
          <w:sz w:val="17"/>
          <w:szCs w:val="17"/>
          <w:color w:val="auto"/>
        </w:rPr>
      </w:pPr>
    </w:p>
    <w:p>
      <w:pPr>
        <w:ind w:left="340" w:hanging="332"/>
        <w:spacing w:after="0" w:line="30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w:t>
      </w:r>
    </w:p>
    <w:p>
      <w:pPr>
        <w:spacing w:after="0" w:line="89" w:lineRule="exact"/>
        <w:rPr>
          <w:rFonts w:ascii="Arial" w:cs="Arial" w:eastAsia="Arial" w:hAnsi="Arial"/>
          <w:sz w:val="16"/>
          <w:szCs w:val="16"/>
          <w:color w:val="auto"/>
        </w:rPr>
      </w:pPr>
    </w:p>
    <w:p>
      <w:pPr>
        <w:jc w:val="both"/>
        <w:ind w:left="340" w:right="20" w:hanging="332"/>
        <w:spacing w:after="0" w:line="31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hanging="332"/>
        <w:spacing w:after="0" w:line="272"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30" w:lineRule="exact"/>
        <w:rPr>
          <w:sz w:val="20"/>
          <w:szCs w:val="20"/>
          <w:color w:val="auto"/>
        </w:rPr>
      </w:pPr>
    </w:p>
    <w:p>
      <w:pPr>
        <w:ind w:left="340" w:right="20" w:hanging="332"/>
        <w:spacing w:after="0" w:line="270"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99" w:lineRule="exact"/>
        <w:rPr>
          <w:rFonts w:ascii="Arial" w:cs="Arial" w:eastAsia="Arial" w:hAnsi="Arial"/>
          <w:sz w:val="17"/>
          <w:szCs w:val="17"/>
          <w:color w:val="auto"/>
        </w:rPr>
      </w:pPr>
    </w:p>
    <w:p>
      <w:pPr>
        <w:ind w:left="340" w:right="28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above laws, including reporting requirements detailing interactions with and payments to healthcare providers.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2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1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European Union,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future commercial success of our product candidates will depend on the degree of market acceptance of our potential products among physicians, patients, healthcare payors and the medical community.</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spacing w:after="0" w:line="8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wording of the product label;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product candidate;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by physicians, patients and healthcare payors of each product as safe and effective;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ease of use, ease of administration and other perceived advantages over alternative products;</w:t>
      </w:r>
    </w:p>
    <w:p>
      <w:pPr>
        <w:spacing w:after="0" w:line="144"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from third-party payors and the willingness of patients to pay out-of-pocket in the absence of adequate reimbursement;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and severity of adverse events or publicity;</w:t>
      </w:r>
    </w:p>
    <w:p>
      <w:pPr>
        <w:spacing w:after="0" w:line="157"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precautions or warnings listed in the summary of product characteristics, patient information leaflet, package labeling or instructions for use;</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with our products in relation to alternative treatments;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products are approved for inclusion and reimbursed on formularies of hospitals and managed care organizations; and</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products are designated in the label, under physician treatment guidelines or under reimbursement guidelines as a first-line, second-line, third-line or last-line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 In addition, upon exercise by Novartis of its option to in-license ensovibep and MP0423, we would be entitled to royalties on future commercial sales in certain territories but have agreed to forgo royalties in other territories, including lower income countries; if our product candidates are commercialized more largely in territories for which we have agreed to forgo royalties, this could have a material adverse impact on our revenues and financial results.</w:t>
      </w:r>
    </w:p>
    <w:p>
      <w:pPr>
        <w:spacing w:after="0" w:line="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collaboration partners.</w:t>
      </w:r>
    </w:p>
    <w:p>
      <w:pPr>
        <w:spacing w:after="0" w:line="10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marketing and promotion above those anticipated by us.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or any future product candidates may be delayed, and our business will be harmed.</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which may cause the timing of achieving the milestones to vary considerably from our estimates, including:</w:t>
      </w:r>
    </w:p>
    <w:p>
      <w:pPr>
        <w:spacing w:after="0" w:line="125"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receipt of approvals by the FDA, EMA and comparable foreign regulatory authorities, and the timing thereof;</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approved products, if 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commercial product manufacturing, as well as sales and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international biopharmaceutical and medical technology industry is highly regulated by the FDA, the EMA and other comparable foreign authorities and by other national or supra-national regulatory authorities that impose 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w:t>
      </w:r>
    </w:p>
    <w:p>
      <w:pPr>
        <w:spacing w:after="0" w:line="1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Compliance with requirements laid down by local regulatory authorities is necessary in each country where we, or any of our partners or licensees, conduct said activities in whole or in part. Local regulatory authorities notably include the EMA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EMA does not ensure approval by the comparable foreign authorities in other countries, and approval by one or more foreign regulatory authorities does not ensure approval by regulatory authorities in other foreign countries or by the FDA or EMA.</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products candidates. Each of the FDA,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 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other comparable foreign authorities or that products will be approved for marketing by such regulatory authorities in any pre-determined indication or intended use. Any of the FDA, the EMA and other comparable foreign authorities may disagree with our interpretation of data submitted for their review.</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and our collaborative partners are, or may become subject to, numerous ongoing other regulatory obligations, such as data protection, environmental, health and safety laws and restrictions on the experimental use of animals.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w:t>
      </w:r>
    </w:p>
    <w:p>
      <w:pPr>
        <w:spacing w:after="0" w:line="9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our business may rely, which could negatively impact our business.</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9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Because we are subject to environmental, health and safety laws and regulations, we may become exposed to liability and substantial expenses in connection with environmental compliance or remediation activities which may adversely affect our business.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We cannot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w:t>
      </w:r>
    </w:p>
    <w:p>
      <w:pPr>
        <w:spacing w:after="0" w:line="10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11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EMA and other comparable foreign authorities, including those laws that require the reporting of true, complete and accurate information to such authorities; manufacturing standards; federal and state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dependency on public perception of our products may negatively influence the success of these products.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w:t>
      </w:r>
    </w:p>
    <w:p>
      <w:pPr>
        <w:spacing w:after="0" w:line="12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Future adverse events in research into the oncology and virology fields that we focus our research efforts on, or the biopharmaceutical industry more generally,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successfully identify, develop and commercialize additional products or product candidates could impair our ability to grow.</w:t>
      </w:r>
    </w:p>
    <w:p>
      <w:pPr>
        <w:spacing w:after="0" w:line="1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Although a substantial amount of our efforts will focus on the continued preclinical and clinical testing and potential approval of our product candidates in our current pipeline, a key element of our long-term growth strategy is to develop and market additional products and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 partly upon our ability to identify, select and develop promising product candidates and products. Our technology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w:t>
      </w:r>
    </w:p>
    <w:p>
      <w:pPr>
        <w:spacing w:after="0" w:line="10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DARPin product candidate or indication and fail to capitalize on DARPin product candidates or indications that may be more profitable or for which there is a greater likelihood of success.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Service or supply failures, or other failures, business interruptions or other disasters affecting the manufacturing facilities of any party participating in the supply chain would adversely affect our ability to supply our products.</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product candidates, some of which are difficult to source, are provided by single-source unaffiliated third-party suppliers. The COVID-19 pandemic has caused delays and difficulties in the timely shipping and delivery of supplies, samples and products required for our clinical trials. In addition, we rely on certain third parties to perform filling, finishing, distribution, laboratory testing and other services related to the manufacture of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develop our DARPin platform and other current or future product candidates, in combination with other therapies, which exposes us to additional risks.</w:t>
      </w:r>
    </w:p>
    <w:p>
      <w:pPr>
        <w:spacing w:after="0" w:line="8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also evaluate our DARPin platform or any other current or future product candidates in combination with one or more other therapies that have not yet been approved for marketing by the FDA or comparable foreign regulatory authorities. For example, we entered into a collaboration agreement with Amgen in December 2018 to evaluate AMG 506 (MP0310) in combination with Amgen`s oncology pipeline products, including its investigational bispecific TCE, or BiTE®, molecules.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spacing w:after="0" w:line="9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6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Data protection (i.e., laws and regulations that address privacy and data security) has become a significant issue in the United States, Europe and in many other countries and jurisdictions where we operate our business. We and any potential collaborators may be subject to U.S. federal, state, and foreign data protection laws, rules and regulations. In the United States, numerous federal and state laws, rules and regulations, including federal health information privacy laws, state data breach notification laws, state health information privacy laws, and federal and state consumer protection laws (e.g., Section 5 of the Federal Trade Commission Act), that govern the collection, use, storage, retention, security, disclosure, and transfer of personal information, including health-related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of 2009, and their respective implementing regulations. Depending on the facts and circumstances, we may be subject to civil, criminal, and administrative penalties if we knowingly obtain, use, or disclose individually identifiable health information in a manner that is not authorized or permitted by HIPAA.</w:t>
      </w:r>
    </w:p>
    <w:p>
      <w:pPr>
        <w:spacing w:after="0" w:line="10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Several jurisdictions, including the United States, Switzerland, the EU, its member states, the United Kingdom, Japan, Australia, among others, have adopted legislation and regulations that govern, increase or change the requirements governing the collection, use, storage, retention, security, disclosure and transfer of the personal information of individuals in these jurisdictions. In the United States, the state of California enacted legislation, the California Consumer Privacy Act, or CCPA, effective January 1, 2020, which increases the requirements governing the collection, use, security, disclosure and transfer of the personal information of individuals in the state of California. Further, California voters recently passed the California Privacy Rights Act (CPRA),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These laws and regulations are complex and change frequently, at times due to changes in political climate, and existing laws and regulations are subject to different and conflicting interpretations, which adds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complexity of processing personal data from these jurisdictions. These laws have the potential to increase costs of compliance, risks of noncompliance and penalties for noncompliance.</w:t>
      </w:r>
    </w:p>
    <w:p>
      <w:pPr>
        <w:spacing w:after="0" w:line="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EU’s General Data Protection Regulation, or GDPR, as well as EU member state implementing legislation, apply to the collection and processing of personal data, including health-related information, by companies located in the EU, and in certain circumstances, outside of the EU, and processing personal information of individuals located in the EU. EU member states are also able to legislate separately on health and genetic data, and we must comply with these local laws where we operate. Additionally, the United Kingdom implemented the Data Protection Act, effective May 2018 and statutorily amended in 2019, that contains provisions, including its own derogations, for how the GDPR is applied in the United Kingdom. These developments could increase the risk of non-compliance and the costs of providing our products and operating our business in a compliant manner. From the beginning of 2021 (when the transitional period following Brexit expired), companies have to continue to comply with the GDPR and also the Data Protection Act. The Swiss Federal Act on Data Protection, or DPA, also applies to the collection and processing of personal data, including health-related information, by companies located in Switzerland, or in certain circumstances, by companies located outside of Switzerland. The DPA has been revised and adopted by the Swiss Parliament, and the revised version and its revised ordinances are expected to enter into force in 2022. This revised law may result in an increase of costs of compliance, risks of noncompliance and penalties for noncompliance. Similarly, on June 5, 2020, Japan passed amendments to its Act on the Protection of Personal data, or APPI. The APPI broadly regulates the processing of personal data in a manner comparable to the GDPR, and violators of the APPI face substantial penalties.</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data privacy and security laws impose strict obligations related to the collection, use, storage, retention, security, disclosure, and transfer of personal data, including health-related information. This includes several requirements relating to (i) obtaining, in some situations, the consent of the individuals to whom the personal data relates, (ii) the information provided to the individuals about how their personal data is used, (iii) ensuring the security and confidentiality of the personal data, (iv) the obligation to notify regulatory authorities and affected individuals of personal data breaches, (v) extensive internal privacy governance obligations, and (vi) obligations to honor rights of individuals in relation to their personal data (for example, the right to access, correct and delete their personal data).</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GDPR prohibits the transfer of personal data to countries outside of the EEA, such as the United States, which are not considered by the European Commission to provide an adequate level of data protection. The transfer of personal data to countries outside of the EEA must be subject to an approved compliance mechanism. Switzerland has adopted similar restrictions under the DPA. On July 16, 2020, the Court of Justice of the European Union issued a decision invalidating the EU-US Privacy Shield framework, which companies had generally relied upon for the transfer of data from the European Union (“EU”) to the United States,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data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personal data transferred out of the EEA, which could increase our compliance costs, expose us to further regulatory scrutiny and liability, and adversely affect our business. Further, the European Commission published new versions of the Standard Contractual Clauses for comment and is expected to finalize and implement the new Standard Contractual Clauses in early 2021. Any inability to transfer personal data to the United States from the EEA, Switzerland or the United Kingdom in compliance with the GDPR and European data protection laws may impede our ability to attract and retain customers and adversely affect our business and financial position. We may also be required to incur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costs and increase our foreign data processing capabilities in an effort to comply with these requirements, and there is no assurance they will be successful.</w:t>
      </w:r>
    </w:p>
    <w:p>
      <w:pPr>
        <w:spacing w:after="0" w:line="16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Potential pecuniary fines for noncompliant companies may be up to the greater of €20 million or 4% of annual global revenue for GDPR breaches, and separately £17.5 million or 4% of annual global revenue for United Kingdom law breaches. The GDPR and United Kingdom data protection law have increased our responsibility and liability in relation to personal data that we process, and we may be required to put in place additional potential mechanisms to ensure compliance with the EU, United Kingdom and Swiss data protection rules.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3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harmed.</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demonstrated that the safety of the subjects participating in our clinical trials warrants such termination, if we make a general assignment for the benefit of our creditors or if we are liquidated.</w:t>
      </w:r>
    </w:p>
    <w:p>
      <w:pPr>
        <w:spacing w:after="0" w:line="8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 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spacing w:after="0" w:line="10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and expect to continue to be, dependent on partnerships with partners relating to the development and commercialization of our existing and future research programs and product candidates.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currently have a collaborative research relationship with the pharmaceutical companies Novartis AG, or Novartis, Amgen Inc., or Amgen, and Allergan, an AbbVie, Inc. company, or AbbVie, for the development of product candidates resulting from such collaborations. We had, have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collaborative partners subjects us to a number of risks, including, but not limited to, the following:</w:t>
      </w:r>
    </w:p>
    <w:p>
      <w:pPr>
        <w:spacing w:after="0" w:line="144" w:lineRule="exact"/>
        <w:rPr>
          <w:sz w:val="20"/>
          <w:szCs w:val="20"/>
          <w:color w:val="auto"/>
        </w:rPr>
      </w:pPr>
    </w:p>
    <w:p>
      <w:pPr>
        <w:ind w:left="340" w:right="72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our research programs and product candidates;</w:t>
      </w:r>
    </w:p>
    <w:p>
      <w:pPr>
        <w:spacing w:after="0" w:line="102"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relinquish significant rights, including intellectual property or other proprietary rights, marketing and distribution rights;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anticipated payments under any partnership agreement (e.g., royalty payments for licensed products) may not materialize;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ind w:left="340" w:right="1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rely on the information and data received from third parties regarding their research programs and product candidates and will not have control of the process conducted by the third party in gathering and composing such data and information.</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rights to develop and commercialize our product candidates subject to collaborations revert to us for any reason, we may not have sufficient financial resources to develop such product candidates, which may result in us failing to recognize any value from our investments in developing such product candidates;</w:t>
      </w:r>
    </w:p>
    <w:p>
      <w:pPr>
        <w:spacing w:after="0" w:line="116"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collaborative partner may decide not to pursue, or discontinue the collaborative development of, our product candidates; for example, Novartis may decline to exercise its option to in-license ensovibep and MP0423, our COVID-19 antiviral product candidates;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collaborative partner may develop a competing product either by itself or in collaboration with others, including one or more of our competitors;</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collaborative partners' willingness or ability to complete their obligations under our partnership arrangements may be adversely affected by business combinations or significant changes in a collaborative partner's business strategy;</w:t>
      </w:r>
    </w:p>
    <w:p>
      <w:pPr>
        <w:spacing w:after="0" w:line="102"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delays in, or increases in the costs of, the development of our research programs and product candidates due to the termination or expiration of collaborative research and development arrangements;</w:t>
      </w:r>
    </w:p>
    <w:p>
      <w:pPr>
        <w:spacing w:after="0" w:line="102" w:lineRule="exact"/>
        <w:rPr>
          <w:rFonts w:ascii="Arial" w:cs="Arial" w:eastAsia="Arial" w:hAnsi="Arial"/>
          <w:sz w:val="18"/>
          <w:szCs w:val="18"/>
          <w:color w:val="auto"/>
        </w:rPr>
      </w:pPr>
    </w:p>
    <w:p>
      <w:pPr>
        <w:ind w:left="340" w:right="20" w:hanging="332"/>
        <w:spacing w:after="0" w:line="259"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5" w:lineRule="exact"/>
        <w:rPr>
          <w:rFonts w:ascii="Arial" w:cs="Arial" w:eastAsia="Arial" w:hAnsi="Arial"/>
          <w:sz w:val="18"/>
          <w:szCs w:val="18"/>
          <w:color w:val="auto"/>
        </w:rPr>
      </w:pPr>
    </w:p>
    <w:p>
      <w:pPr>
        <w:jc w:val="both"/>
        <w:ind w:left="340" w:right="22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w:t>
      </w:r>
    </w:p>
    <w:p>
      <w:pPr>
        <w:spacing w:after="0" w:line="116" w:lineRule="exact"/>
        <w:rPr>
          <w:rFonts w:ascii="Arial" w:cs="Arial" w:eastAsia="Arial" w:hAnsi="Arial"/>
          <w:sz w:val="18"/>
          <w:szCs w:val="18"/>
          <w:color w:val="auto"/>
        </w:rPr>
      </w:pPr>
    </w:p>
    <w:p>
      <w:pPr>
        <w:ind w:left="340" w:right="60" w:hanging="332"/>
        <w:spacing w:after="0" w:line="286"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spacing w:after="0" w:line="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1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may not be available to us on acceptable terms or at all. If we do not have sufficient funds, we may not be able to further develop product candidates or bring them to market and generate product revenue.</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drug supplies and we intend to rely on third parties to produce commercial supplies of any approved product candidate.</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do not currently have the infrastructure or capability internally to manufacture our product candidates for use in the conduct of our clinical studies or for commercial supply, if our products are approved. Instead, we rely on, and expect to continue to rely on contract manufacturing organizations, or CMOs. We currently rely mainly on a few 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were to experience an unexpected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w:t>
      </w:r>
    </w:p>
    <w:p>
      <w:pPr>
        <w:spacing w:after="0" w:line="1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complying with the manufacturing regulations of the FDA, the EMA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EMA or other comparable foreign authorities. If any of our third-party suppliers fails to comply with cGMP or other applicable manufacturing regulations, our ability to develop and commercialize the products could suffer significant interruptions. We face risks inherent in relying on our CMOs, as any 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3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do not and will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spacing w:after="0" w:line="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and will not have access to all information regarding the product candidates being developed and potentially commercialized by Novartis, Amgen or AbbVie,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Novartis, Amgen or AbbVie. In addition, we have confidentiality obligations under our agreement with Novartis, Amgen or AbbVie. Thus, our ability to keep our shareholders informed about the status of product candidates under our collaboration will be limited by the degree to which Novartis, Amgen or AbbVie keeps us informed and allows us to disclose such information to the public. If Novartis, Amgen or AbbVie fails to keep us informed about the clinical development and regulatory approval of our collaboration and product candidates licensed to it, we may make operational and investment decisions that we would not have made had we been fully informed, which may materially and adversely affect our business and operations.</w:t>
      </w:r>
    </w:p>
    <w:p>
      <w:pPr>
        <w:spacing w:after="0" w:line="9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our licensees have the right to make decisions regarding the development and commercialization of product candidates under the collaborations without consulting us and may make decisions with which we do not agree. For example, in June 2020, AbbVie received a Complete Response Letter, or CRL, for the Biologics License Application, or BLA, of abicipar, and may decide to discontinue the development and commercialization of abicipar. Conflicts between our licensees and us may arise if there is a dispute about the progress of the clinical development of a product candidate, the achievement and payment of a milestone 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10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 building blocks. As a result, upon receipt of EMA or FDA approval, competitors may be free to market other products almost identical to ours, thereby decreasing our market share.</w:t>
      </w:r>
    </w:p>
    <w:p>
      <w:pPr>
        <w:spacing w:after="0" w:line="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3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spacing w:after="0" w:line="10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 our competitors or other third parties may be able to circumvent our patents by developing similar or alternative technologies or products in a non-infringing manner.</w:t>
      </w:r>
    </w:p>
    <w:p>
      <w:pPr>
        <w:spacing w:after="0" w:line="1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9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fail in enforcing our intellectual property rights and issued patents covering one or more of our product candidates or DARPin technology could be found invalid or unenforceable if challenged in court.</w:t>
      </w:r>
    </w:p>
    <w:p>
      <w:pPr>
        <w:spacing w:after="0" w:line="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protect our competitive position, we or our licensors or collaboration partners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 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and immuno-oncology fields have employed intellectual property litigation as 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 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in particular with respect to our COVID-19 antiviral product candidates.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 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involvement in litigation, and in any interference, derivation, reexamination, inter partes review, post grant review, opposition or other post-grant proceedings or other intellectual property proceedings inside and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the price of the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challenged or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rely upon licenses to certain patent rights and other intellectual property from third parties that are important or necessary to the development of our product candidates. For example, in November 2004 we entered into a license agreement with the University of Zurich under which we are granted rights to intellectual property that are necessary to the development and commercialization of our DARPin platform and are otherwise important to our business.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“Business—License and Collaboration Agreements.”</w:t>
      </w:r>
    </w:p>
    <w:p>
      <w:pPr>
        <w:spacing w:after="0" w:line="10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licensed may be reduced or eliminated, and our right to develop and commercialize any of our products that are subject of such licensed rights could be adversely affected.</w:t>
      </w:r>
    </w:p>
    <w:p>
      <w:pPr>
        <w:spacing w:after="0" w:line="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 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determined to be infringing on other marks or names. We may not be able to protect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Amendments and similar non-U.S. legislation for extending the term of patents covering each of our product candidates, our business may be materially harmed.</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commercializing products similar or identical to ours, at least not long enough to recoup the costs incurred in developing our products.</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 competitors may be able to enter the market with competing products sooner than we expect, and our business, financial condition, results of operations, and prospects could be materially harmed.</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base patents relating to the DARPin base technology we use to generate our DARPin product candidates, which we exclusively license from the University of Zurich, are expected to expire in September 2021, after which our competitors may be able to utilize the technology claimed in such patents, which may materially adversely affect our business and competitive position.</w:t>
      </w:r>
    </w:p>
    <w:p>
      <w:pPr>
        <w:spacing w:after="0" w:line="9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hold an exclusive license from the University of Zurich on patent applications and patents relating to the DARPin base technology that we use to generate our DARPin product candidates. The base patents under this license agreement will expire in September 2021, except that one U.S. patent under the license agreement will expire in 2023. After the patents expire or the potential termination of the license agreement, our competitors may be able to utilize the technology claimed in such patents to develop product candidates that compete with ours. We have elected to terminate the license agreement effective October 2021. In addition, we are exploring entering into a non-exclusive license with the University of Zurich for the remaining U.S. patent that will expire in 2023 but there can be no assurance that we will enter into such license. If we do not enter into such non-exclusive license, a third party may obtain an exclusive license to the patent that will expire in 2023. Any of these events could harm our reputation as being the leader in the DARPin technology, and could have an adverse effect on our competitive position, business, financial conditions, results of operations and prospects.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w:t>
      </w:r>
    </w:p>
    <w:p>
      <w:pPr>
        <w:spacing w:after="0" w:line="1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party to agreements under which we are granted rights to intellectual property that are important to our business, including our license agreement with the University of Zurich,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 defense,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4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otherwise violate intellectual property of the licensor that is not subject to the licensing agreement;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current or future collaboration relationships;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340" w:right="1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or substantially equivalent to our product candidates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conceive or reduce to practice the inventions covered by the issued patent or pending patent application that we own or have licensed.</w:t>
      </w:r>
    </w:p>
    <w:p>
      <w:pPr>
        <w:spacing w:after="0" w:line="89"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144"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 or may be held invalid or unenforceable, including as a result of legal challenges by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30" w:lineRule="exact"/>
        <w:rPr>
          <w:sz w:val="20"/>
          <w:szCs w:val="20"/>
          <w:color w:val="auto"/>
        </w:rPr>
      </w:pPr>
    </w:p>
    <w:p>
      <w:pPr>
        <w:ind w:left="340" w:right="50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9" w:lineRule="exact"/>
        <w:rPr>
          <w:rFonts w:ascii="Arial" w:cs="Arial" w:eastAsia="Arial" w:hAnsi="Arial"/>
          <w:sz w:val="18"/>
          <w:szCs w:val="18"/>
          <w:color w:val="auto"/>
        </w:rPr>
      </w:pPr>
    </w:p>
    <w:p>
      <w:pPr>
        <w:ind w:left="340" w:right="180" w:hanging="332"/>
        <w:spacing w:after="0" w:line="263"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57" w:lineRule="exact"/>
        <w:rPr>
          <w:rFonts w:ascii="Arial" w:cs="Arial" w:eastAsia="Arial" w:hAnsi="Arial"/>
          <w:sz w:val="18"/>
          <w:szCs w:val="18"/>
          <w:color w:val="auto"/>
        </w:rPr>
      </w:pPr>
    </w:p>
    <w:p>
      <w:pPr>
        <w:ind w:left="340" w:right="140" w:hanging="332"/>
        <w:spacing w:after="0" w:line="342"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laws or patent jurisprudence could diminish the value of patents in general, thereby impairing our ability to protect our products.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 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protect this type of information against disclosure or appropriation by competitors, our policy is to require our employees, consultants, contractors, CROs and advisors to enter into confidentiality agreements with us. We cannot guarantee that we have entered into such agreements with each party that may have or have had access to our trade secrets or proprietary technology and processes and, despite these efforts, any of these parties may unintentionally or willfully breach the agreements and disclose our confidential information to competitors, and such agreements may not provide an adequate remedy in the event of unauthorized disclosure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w:t>
      </w:r>
    </w:p>
    <w:p>
      <w:pPr>
        <w:spacing w:after="0" w:line="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or claiming ownership of what we regard as our own intellectual property.</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w:t>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0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Michael Tobias Stumpp, our Chief Operating Officer, Andreas Emmenegger, our Chief Financial Officer, and Dr. Nicolas Leupin, our Chief Medical Officer.</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our ability to compete in the highly competitive biotechnology and pharmaceutical industries, and particularly, in the oncology and immuno-oncology fields,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our managerial, operational and financial systems, expand our facilities and continue to recruit and train additional qualified personnel. Due to our limited resources and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integrate efficiently or achieve the expected benefits of any acquisitions of complementary businesses, product candidates or technologies.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 financial resources of the indemnifying parties. There can also be no assurance that we will be able to assess ongoing profitability and identify all actual or potential liabilities of a business, product candidate or technology prior to its acquisition. If we acquire businesses, product candidates or technologies that result in assuming unforeseen liabilities in respect of which it has not obtained contractual protections or for which protection is not available, this could materially adversely affect our business, prospects,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0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increase of interest rates, or political instability in particular economies and markets;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potentially reduced ability to obtain, maintain, protect and enforce intellectual property rights and other proprietary rights;</w:t>
      </w:r>
    </w:p>
    <w:p>
      <w:pPr>
        <w:spacing w:after="0" w:line="157"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 of the euro, U.S. dollar and Swiss franc and currency controls;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44"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stock options granted under our employee stock plan;</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30" w:lineRule="exact"/>
        <w:rPr>
          <w:sz w:val="20"/>
          <w:szCs w:val="20"/>
          <w:color w:val="auto"/>
        </w:rPr>
      </w:pPr>
    </w:p>
    <w:p>
      <w:pPr>
        <w:ind w:left="340" w:right="500" w:hanging="332"/>
        <w:spacing w:after="0" w:line="342"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42" w:lineRule="exact"/>
        <w:rPr>
          <w:rFonts w:ascii="Arial" w:cs="Arial" w:eastAsia="Arial" w:hAnsi="Arial"/>
          <w:sz w:val="16"/>
          <w:szCs w:val="16"/>
          <w:color w:val="auto"/>
        </w:rPr>
      </w:pPr>
    </w:p>
    <w:p>
      <w:pPr>
        <w:ind w:left="340" w:right="14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resulting from claims against us by third parties, including claims of breach of noncompete and confidentiality provisions of our employees' former employment agreements with such third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4"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cyber-attacks, geo-political actions, including war and terrorism, or natural disasters including earthquakes, typhoons, floods and fires.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European Union, or Brexit. As a result of this vote,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The Trade and Cooperation Agreement, or the Trade and Cooperation Agreement, which outlines the future trading relationship between the United Kingdom and the European Union was agreed in December 2020.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Since a significant proportion of the regulatory framework in the United Kingdom applicable to our business and our product candidates is derived from European Union directives and regulations, Brexit has had, and may continue to have, a material impact upon the regulatory regime with respect to the development, manufacture, importation, approval and commercialization of our product candidates in the United Kingdom. For example, Great Britain is no longer covered by the centralized procedures for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European Union-wide marketing authorizations and a separate marketing authorization will be required to market our product candidates in Great Britain and the European Union, should any development or manufacturing of our product candidates take place in Great Britain.</w:t>
      </w:r>
    </w:p>
    <w:p>
      <w:pPr>
        <w:spacing w:after="0" w:line="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make it more difficult to commercialize, or prevent us from commercializing our product candidates in the European Union or in the United Kingdom and restrict our ability to generate revenue and achieve and sustain profitability. 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w:t>
      </w:r>
    </w:p>
    <w:p>
      <w:pPr>
        <w:spacing w:after="0" w:line="11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a result of the Brexit, other European countries may seek to conduct referenda with respect to their continuing membership in the European Union.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1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exposed to unanticipated changes in tax laws and regulations, adjustments to our tax provisions, exposure to additional tax liabilities, or forfeiture of our tax assets.</w:t>
      </w:r>
    </w:p>
    <w:p>
      <w:pPr>
        <w:spacing w:after="0" w:line="10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An increase in our effective tax rate could have an adverse effect on our business, financial position, results of operations and cash flows.</w:t>
      </w:r>
    </w:p>
    <w:p>
      <w:pPr>
        <w:spacing w:after="0" w:line="1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we may not be able to use, or changes in tax regulations may affect the use of, certain tax assets or credits that we have generated in prior years. For instance, as of December 31, 2020, we had substantial tax loss carry forwards. In general, some of these tax loss carry forwards may be forfeited in whole, or in part, as a result of various transactions, or their utilization may be restricted by statutory law in the relevant jurisdiction. Any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jurisdictions in which we operate that have differing statutory tax rates;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640" w:hanging="332"/>
        <w:spacing w:after="0" w:line="308" w:lineRule="auto"/>
        <w:tabs>
          <w:tab w:leader="none" w:pos="3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spacing w:after="0" w:line="78"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any current or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business, results of operations and financial condition.</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Due to the Swiss corporate tax law reform that took effect on January 1, 2020, all Swiss cantons, including the Canton of Zurich, have abolished previously existing cantonal tax privileges. Therefore, since January 1, 2020, we are subject to standard cantonal taxation. The standard effective corporate tax rate in Schlieren, Canton of Zurich, can change from time to time. The standard combined (federal, cantonal, municipal) effective corporate income tax rate, except for dividend income for which we could claim a participation exemption, for 2021 in Schlieren, Canton of Zurich, will be approximately 19.41%.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urge our shareholders to consult with their legal and tax advisors with respect to the potential tax consequences of investing in or holding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the ADSs</w:t>
      </w:r>
    </w:p>
    <w:p>
      <w:pPr>
        <w:spacing w:after="0" w:line="1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The price of the ADSs may be volatile and may fluctuate due to factors beyond our control. An active public trading market may not develop and/or may not be sustained following this offering. And you may not be able to resell the ADSs at or above the public offering price.</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this offering, while our common shares have been traded on the SIX Swiss Exchange, there has been no public market on a U.S. national securities exchange for the ADSs or our common shares in the United States. If you purchase ADSs in this offering, you may not be able to resell those ADSs at or above the public offering price. The trading price of the common shares has fluctuated, and is likely to continue to fluctuate substantially. The trading price of those securities depends on a number of factors, including those described in this "Risk Factors" section, many of which are beyond our control and may not be related to our operating performance. In addition, although we anticipate our ADSs being approved for listing on the Nasdaq Global Market, an active trading market for our ADSs may never develop or be sustained following this offering. The offering price of our ADSs will be determined through negotiations between us and the underwriters. This offering price may not be indicative of the market price of our ADSs or common shares after this offering.</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market price of the ADSs and our common shares may fluctuate significantly due to a variety of factors, many of which are beyond our control, including:</w:t>
      </w:r>
    </w:p>
    <w:p>
      <w:pPr>
        <w:spacing w:after="0" w:line="89"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reported or conducted by us, strategic partners or competitors;</w:t>
      </w:r>
    </w:p>
    <w:p>
      <w:pPr>
        <w:spacing w:after="0" w:line="157"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entering into strategic relationships on terms that are not deemed to be favorable to us;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 of the COVID-19 pandemic on the economy or financial markets;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the ADSs and/or common shares.</w:t>
      </w:r>
    </w:p>
    <w:p>
      <w:pPr>
        <w:spacing w:after="0" w:line="1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the ADSs and common shares to fluctuate substantially, regardless of our actual operating performance, which may limit or prevent investors from readily selling their ADSs or common shares and may otherwise negatively affect the liquidity of the ADSs and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board of directors will be required to devote substantial time to new compliance initiatives and corporate governance practices.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a public company in the United States, and particularly after we no longer qualify as an emerging growth company, we will incur significant legal, accounting and other expenses that we did not incur as a public company listed only on the SIX Swiss Exchange. We are a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organized under the laws of Switzerland in accordance with articles 620 et seqq. CO and subject to the listing rules and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3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will be required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1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Certain significant shareholders will continue to own a substantial number of our securities and as a result, may be able to exercise significant influence over the outcome of shareholder votes. These shareholders may have different interests from us or your interests.</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a number of significant shareholders. For an overview of our current significant shareholders, please see "Principal Shareholders." Following the completion of this offering, these significant shareholders and their affiliates, in the aggregate, will own approximately 43.5% of our common shares (including common shares represented by the ADSs).</w:t>
      </w:r>
    </w:p>
    <w:p>
      <w:pPr>
        <w:spacing w:after="0" w:line="10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the ADSs.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10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our existing shareholders sell, or indicate an intent to sell, substantial amounts of our securities in the public market, the trading price of the ADSs and our common shares could decline significantly and, in case of the ADSs, could decline below the public offering price in this offering. Upon completion of this offering, we will have 32,157,793 common shares outstanding (including common shares represented by the ADSs), approximately 1,905,065 of which, subject to limited exceptions, are subject to a 90-day contractual lock-up. The representatives of the underwriters may permit us and the holders of the shares subject to lock-up agreements to sell shares or ADSs prior to the expiration of the lock-up agreements. See "Underwriting." After the lock-up agreements pertaining to this offering expire, and based on the number of common shares (including common shares represented by ADSs) outstanding upon completion of this offering, these 1,905,065 additional common shares will be eligible for sale in the public market, all of which shares are held by directors and certain members of our executive management and will be subject to volume limitations under Rule 144 under the Securities Act of 1933, as amended, or the Securities Act, for sales in the United States. In addition, common shares subject to outstanding options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equity incentive plans and the common shares reserved for future issuance under our equity incentive plan will become eligible for sale in the public market in the future, subject to certain legal and contractual limitations.</w:t>
      </w:r>
    </w:p>
    <w:p>
      <w:pPr>
        <w:spacing w:after="0" w:line="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intend to register all common shares that we may issue under our equity compensation plans. Once we register these common shares, they can be freely sold in the public market upon issuance, subject to volume limitations applicable to affiliates and the lock-up agreements described in the "Shares and ADSs Eligible for Future Sale" section of this prospectus.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our articles of association or Swiss corporate law might deter acquisition bids for us that might be considered favorable and prevent or frustrate any attempt to replace or remove the then board of directors.</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5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public offering price of the ADSs is substantially higher than the as adjusted net tangible book value per ADS. Therefore, if you purchase ADSs in this offering, you will pay a price per ADS that substantially exceeds our as adjusted net tangible book value per ADS after this offering. To the extent outstanding options are exercised, you will incur further dilution. Based on the assumed public offering price of $27.14 (CHF 24.40 based on an exchange rate of CHF 1.00 to $1.1123, the noon buying rate of the Federal Reserve Bank of New York on June 4, 2021) per ADS, the closing price of our common shares on the SIX Swiss Exchange on June 8, 2021, you will experience immediate dilution of CHF 19.44 per ADS, representing the difference between our as adjusted net tangible book value per ADS after giving effect to this offering and the public offering price. See "Dilution."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board of directors will have broad discretion in the application of the net proceeds from this offering and could spend the proceeds in ways that do not improve our results of operations or enhance the value of the ADSs. The failure by our board of directors to apply these funds effectively could result in financial losses that could have a material adverse effect on our business, cause the price of the ADSs to decline and delay the development of our product candidates. Pending their use, we may invest the net proceeds from this offering in a manner that does not produce income or that loses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may increase the risk of holding ADSs and common shares.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the ADSs and common shares may be affected by fluctuations in foreign exchange rates between the Swiss franc and these other currencies,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may also have a significant impact on our reported results of operations and cash flows from period to period. Besides natural hedging, currently, we do not have any exchange rate hedging arrangements in place.</w:t>
      </w:r>
    </w:p>
    <w:p>
      <w:pPr>
        <w:spacing w:after="0" w:line="8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Moreover, because our common shares currently trade on the SIX Swiss Exchange in Swiss francs, and the ADSs will trade on the Nasdaq Global Market in U.S. dollars, fluctuations in the exchange rate between the U.S. dollar and the Swiss franc may result in temporary differences between the value of the ADSs and the value of our common shares, which may result in heavy trading by investors seeking to exploit such differences.</w:t>
      </w:r>
    </w:p>
    <w:p>
      <w:pPr>
        <w:spacing w:after="0" w:line="98"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will be traded on more than one market and this may result in price variations and adversely affect the liquidity and value of the ADSs; in addition, investors may not be able to easily move common shares for trading between such markets. Furthermore, because of this dual listing, securities and stock exchange laws, regulations and rules will apply to us that may be irreconcilable or otherwise difficult to comply with contemporaneously.</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common shares have traded on the SIX Swiss Exchange since 2014 and our ADSs will be traded on the Nasdaq Global Market. Trading in our ADSs or common shares on these markets takes place in different currencies (U.S. dollars on the Nasdaq Global Market and Swiss Francs on the SIX Swiss Exchange), and at different times (resulting from different time zones, different trading days and different public holidays in the United States and Switzerland). The trading prices of our common shares and our ADSs on these two markets may differ due to these and other factors. Any decrease in the price of our common shares on the SIX Swiss Exchange could cause a decrease in the trading price of our ADSs on the Nasdaq Global Market. Investors could seek to sell or buy our common shares to take advantage of any price differences between the markets through a practice referred to as arbitrage. Any arbitrage activity could create unexpected volatility in both our share prices on one exchange and the common shares available for trading on the other exchange. In addition, holders of ADSs cannot immediately surrender their ADSs and withdraw the underlying common shares for trading on the other market without effecting necessary procedures with the depositary. This could result in time delays and additional cost for holders of ADSs.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completion of this offering, our ADSs will be admitted to trading and listed on the Nasdaq Global Market, while our common shares will continue to be admitted to trading and listed on the SIX Swiss Exchange. Because different types of our equity securities will be admitted to trading and listed on two different stock exchanges in two different jurisdictions, two sets of securities laws and regulations and stock exchange rules will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common shares.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participating in this offering you will become a holder of ADSs with underlying common shares in a Swiss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Holders of ADSs are not treated as holders of our common shares, unless they withdraw the common shares underlying their ADSs in accordance with the deposit agreement and applicable laws and regulations. The depositary is the holder of the common shares underlying the ADSs. Holders of ADSs therefore do not have any rights as holders of our common shares, other than the rights that they have pursuant to the deposit agreement. See "Description of American Depositary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common shares.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common shares. Temporary delays in the cancellation of your ADSs and withdrawal of the underlying common shares may arise because the depositary has closed its transfer books or we have closed our transfer books, the transfer of common shares is blocked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permit voting at a shareholders' meeting or we are paying a dividend on our common shares. In addition, ADS holders may not be able to cancel their ADSs and withdraw the underlying common shares when they owe money for fees, taxes and similar charges and when it is necessary to prohibit withdrawals in order to comply with any laws or governmental regulations that apply to ADSs or to the withdrawal of common shares or other deposited securities. See "Description of American Depositary Shares—Withdrawal of Common Shares Upon Cancellation of ADSs."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0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shares, but will have no right to any compensation whatsoever.</w:t>
      </w:r>
    </w:p>
    <w:p>
      <w:pPr>
        <w:spacing w:after="0" w:line="10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deposit agreement governing the ADSs representing our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16"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1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as the jury trial waiver relates to claims arising out of or relating to the ADSs or the deposit agreement, we believe that, as a matter of construction of the clause, the waiver would likely to continue to apply to ADS holders who withdraw the common shares from the ADS facility with respect to claims arising before the cancellation of the ADSs and the withdrawal of the common shares, and the waiver would most likely not apply to ADS holders who subsequently withdraw the common shares represented by ADSs from the ADS facility with respect to claims arising after the withdrawal. However, to our knowledge, there has been no case law on the applicability of the jury trial waiver to ADS holders who withdraw the common shares represented by the ADSs from the ADS facility.</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common shares and may not receive voting materials in time to be able to exercise your right to vote.</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Except as described in this prospectus and the deposit agreement, holders of the ADSs will not be able to exercise voting rights attaching to the common shares represented by the ADSs. Under the terms of the deposit agreement, holders of the ADSs may instruct the depositary to vote the common shares underlying their ADSs. Otherwise, holders of ADSs will not be able to exercise their right to vote unless they withdraw the common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common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common shares underlying their ADSs. In addition, regardless of whether timely voting instructions are provided to the depositary, at our request, the depositary will represent all common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common shares are not voted as they have requested or if their shares cannot be voted.</w:t>
      </w:r>
    </w:p>
    <w:p>
      <w:pPr>
        <w:spacing w:after="0" w:line="200" w:lineRule="exact"/>
        <w:rPr>
          <w:sz w:val="20"/>
          <w:szCs w:val="20"/>
          <w:color w:val="auto"/>
        </w:rPr>
      </w:pPr>
    </w:p>
    <w:p>
      <w:pPr>
        <w:spacing w:after="0" w:line="2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beneficial owner of our common shares that is not registered in our shareholders register may not be able to exercise certain rights attached to the common shares.</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rights attached to our common shares transfer to a holder of those shares upon purchasing such shares in a stock market transaction. Any voting rights or rights related to voting rights only transfer once the acquirer has been registered in the shareholders' register as shareholder of such common shares. A beneficial owner that is not directly registered in the shareholders' register can enjoy the financial rights, voting rights and rights related to voting rights only through the entity that acts as nominee or depositary for those common shares and is recorded in the shareholders' register as the shareholder of record of those shares. This is also the case if you hold ADSs. It is possible that a nominee or a depositary will be unwilling to exercise certain rights attached to the common shares, such as rights that require litigation. Therefore, failing to register in the shareholders' register may result in your inability to exercise certain rights as a shareholder.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See "Description of Share Capital and Articles of Association." For the taxation of future dividend payments, see "Swiss Tax-Implications for U.S. Holders."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w:t>
      </w:r>
    </w:p>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registration of the authorized share capital increase in the commercial register may be blocked and the shareholders’ resolutions regarding the creation of the underlying authorized share capital may be challenged.</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offering is based on, among other things, approval by the Company’s shareholders at the annual general meeting to be held on April 21 , 2021 of resolutions regarding the creation of authorized share capital necessary to source the common shares underlying the ADSs to be sold in this offering, and subject to, among other things, the execution by our board of directors of the share capital increase by which the common shares underlying the ADSs to be sold in this offering will be created, and the related filings that will need to be made prior to the completion of this offering. The issuance of new common shares will become effective upon registration in the commercial register. As with all share capital increases in Switzerland, the shareholders’ resolutions regarding such share capital increase may be challenged in court within two months after such shareholders’ meeting and/or the registration of the capital increase in the commercial register may be blocked temporarily by a preliminary injunction or permanently by order of a competent court. Either action would prevent or delay the completion of this offering.</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common shares represented by our ADS or any value for them if it is illegal or impractical to make them available to holders of ADSs.</w:t>
      </w:r>
    </w:p>
    <w:p>
      <w:pPr>
        <w:spacing w:after="0" w:line="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depositary for our ADSs will agree to pay to you or distribute the cash dividends or other distributions it or the custodian receives on our common shares or other deposited securities after deducting its fees and expenses. You will receive these distributions in proportion to the number of our common shares your ADSs represent. However, in accordance with the limitations that we expect will be set forth in the deposit agreement, it may be unlawful or impractical to make a distribution available to holders of ADSs. We have no obligation to take any other action to permit the distribution of our ADSs, common shares, rights or anything else to holders of our ADSs. This means that you may not receive the distributions we make on our common shares or any value from them if it is unlawful or impracticable to make them available to you. These restrictions may have a material adverse effect on the value of your ADSs.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shares outside Switzerland and ADS holders may not be able to exercise pre-emptive rights.</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 should take such action in any jurisdiction. If shareholders in such jurisdictions were unable to exercise their subscription rights, their ownership interest in the Company would be diluted.</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ADS holders have no pre-emptive rights to subscribe to newly issued shares unless we grant such rights to the foreign depositary. The right to exercise such pre-emptive rights is set out in the agreement between the ADS holder and the depositary.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 See “Description of Share Capital and Articles of Association” and “Comparison of Shareholder Rights.”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19, 2020, the Swiss Parliament approved legislation that will modernize certain aspects of Swiss corporate law. See "Description of Share Capital and Articles of Association—Certain Important Provisions of our Articles of Association, Organizational Rules and Swiss Law." The new legislation, which will alter the rights of shareholders under Swiss law, is currently expected to come into force in 2023 or later.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spacing w:after="0" w:line="1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provide investors with the same protections provided by incorporation in Delaware.</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law is contained in this prospectus. See "Description of Share Capital and Articles of Association," "Limitations Affecting Shareholders of a Swiss Company" and "Comparison of Shareholder Rights." There can be no assurance that Swiss law will not change in the future or that it will provide investors with the same protections afforded to investors of a Delaware corporation, which could adversely affect the rights of investors.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spacing w:after="0" w:line="90"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57"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"Limitations Affecting Shareholders of a Swiss Company" and "Comparison of Shareholder Rights.”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3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spacing w:after="0" w:line="10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In addition, in accordance with Swiss law, we have opted not to implement a nominating committee.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spacing w:after="0" w:line="12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Association—Certain Important Provisions of our Articles of Association, Organizational Rules and Swiss Law.” As a result of the above, you may not have the same protections afforded to shareholders of companies that are not foreign private issuers.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2022 (the end of our second fiscal quarter in the fiscal year after this offering), which would require us to comply with all of the periodic disclosure and current reporting requirements of the Exchange Act applicable to U.S. domestic issuers as of January 1, 2022. In order to maintain our current status as a foreign private issuer, either (a) a majority of our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the ADSs less attractive to investors.</w:t>
      </w:r>
    </w:p>
    <w:p>
      <w:pPr>
        <w:spacing w:after="0" w:line="10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an "emerging growth company," as defined in the U.S.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the last day of the fiscal year ending after the fifth anniversary of our initial U.S. public offering, although circumstances could cause us to lose that status earlier, including if the aggregate market value of our common shares held by non-affiliates exceeds $700 million as of any June 30 (the end of our second fiscal quarter) before that time, in which case we would no longer be an "emerging growth company" as of the following December 31 (our fiscal year-end). We cannot predict if investors will find the ADSs less attractive because we may rely on these exemptions. If some investors find the ADSs less attractive as a result, there may be a less active trading market for the ADSs and the price of the ADSs may be more volatile.</w:t>
      </w:r>
    </w:p>
    <w:p>
      <w:pPr>
        <w:spacing w:after="0" w:line="10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ADSs representing our shares or our shares.</w:t>
      </w:r>
    </w:p>
    <w:p>
      <w:pPr>
        <w:spacing w:after="0" w:line="10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will be required to assess the effectiveness of our internal controls annually beginning with our second annual report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U.S. holders of ADSs may suffer adverse tax consequences as a result.</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will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or ADSs) and rents and royalties other than rents and royalties which are received from unrelated parties in connection with the active conduct of a trade or business. If we are characterized as a PFIC, U.S. holders of our ADSs may suffer adverse tax consequences, including having gains realized on the sale of our ADSs treated as ordinary income rather than capital gain, the loss of the preferential rate applicable to dividends received on ADSs by individuals who are U.S. holders, and having interest charges apply to certain distributions by us and gains from the sales of our ADSs.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Our status may also depend, in part, on how quickly we utilize the cash proceeds from this or any future offering of our common shares or ADSs in our business.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in the taxable year ended December 31, 2021 or any future taxable year. Accordingly, our U.S. counsel expresses no opinion with respect to our PFIC status for our taxable year ended December 31, 2020, and also expresses no opinion with regard to our expectations regarding our PFIC status in the future.</w:t>
      </w:r>
    </w:p>
    <w:p>
      <w:pPr>
        <w:spacing w:after="0" w:line="9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tax consequences that would apply if we are classified as a PFIC would be different from those described above if a U.S. holder of ADSs were able to make a valid qualified electing fund, or QEF, election. At this time, we do not expect to provide U.S. holders of ADSs with the information necessary for a U.S. shareholder to make a QEF election. Accordingly, prospective investors should assume that a QEF election will not be available.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We have established physical, electronic and organizational security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have access to our confidential information. While we have taken steps to protect the security of the information that we handle, there can be no assurance that any security measures that we or our third-party vendors have implemented will be effective against current or future security threats. Our internal information technology systems and infrastructure, and those of our current and any future collaborators,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or intentional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accidental actions or omissions to act by persons inside our organization, or persons with access to systems inside our organization.</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our reputation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Any security compromise affecting us, our partners or our industry, whether real or perceived, could harm our reputation, erode confidence in the effectiveness of our security measures, and lead to regulatory scrutiny. Moreover, if a computer security breach affects our systems or results in the unauthorized access to or unauthorized use, disclosure, release or other unauthorized processing of personal information, our reputation could be materially damaged. In addition, such a breach may require notification to governmental agencies, the media or individuals pursuant to various federal, state, and foreign privacy and security laws, if applicable, including HIPAA, as amended HITECH, and its implementing rules and regulations, as well as regulations promulgated by the Federal Trade Commission, state data breach notification laws, and the GDPR. We would also be exposed to a risk of loss, governmental investigations or enforcement, or litigation and potential liability, any of which could materially adversely affect our business, results of operations and financial condition.</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coverage of us, or publish inaccurate or unfavorable research about our business, the price of the ADSs and our trading volume could decline.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the ADSs and our common shares will depend in part on the research and reports that securities or industry analysts publish about us or our business. If no or too few securities or industry analysts cover us, the trading price for the ADSs and our common shares would likely be negatively affected. If one or more of the analysts who cover us downgrade the ADSs or our common shares or publish inaccurate or unfavorable research about our business, the price of the ADSs and our common shares would likely decline. If one or more of these analysts cease coverage of us or fail to publish reports on us regularly, demand for the ADSs and our common shares could decrease, which might cause the price of the ADSs and our common shares and trading volume to decline.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5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and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Forward looking statements are based on our management's beliefs and assumptions and on information currently available to our management. When used in this prospectus, the words “anticipate,” “believe,” “can,” “could,” “estimate,” “expect,” “intend,” “designed,” “may,” “might,” “plan,” “potential,” “predict,” “objective,” “should,” or the negative of these and similar expressions identify forward-looking statements. Forward-looking statements include, but are not limited to, statements about:</w:t>
      </w:r>
    </w:p>
    <w:p>
      <w:pPr>
        <w:spacing w:after="0" w:line="9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clinical trials and preclinical studies, and our research and development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regulatory filings and the likelihood of favorable regulatory outcomes and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regulatory treatment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in the European Union, United States and other countries;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contract on commercially reasonable terms with third-party suppliers and manufacturers;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strategy and the development of our product candidates and technology platforms;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obtain and maintain for intellectual property rights covering our product candidates and technology and our ability to protect and enforce such rights;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on, misappropriating or otherwise violating the intellectual property rights of others;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third parties with whom we contract to successfully conduct, supervise and monitor clinical trials for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benefits of our strategic collaboration agreements and our ability to enter into future strategic arrangements;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COVID-19 on our business, operations and prospects and on our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0"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use of proceeds from the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future trading price of the ADSs and impact of securities analysts reports on these prices;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INDUSTRY AND OTHER DATA</w:t>
      </w: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which we believe to be reliable.</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TRADEMARKS AND SERVICE MARKS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own trademark registrations for “Molecular Partners</w:t>
      </w:r>
      <w:r>
        <w:rPr>
          <w:rFonts w:ascii="Arial" w:cs="Arial" w:eastAsia="Arial" w:hAnsi="Arial"/>
          <w:sz w:val="23"/>
          <w:szCs w:val="23"/>
          <w:color w:val="auto"/>
          <w:vertAlign w:val="superscript"/>
        </w:rPr>
        <w:t>®</w:t>
      </w:r>
      <w:r>
        <w:rPr>
          <w:rFonts w:ascii="Arial" w:cs="Arial" w:eastAsia="Arial" w:hAnsi="Arial"/>
          <w:sz w:val="18"/>
          <w:szCs w:val="18"/>
          <w:color w:val="auto"/>
        </w:rPr>
        <w:t>” and “DARPin</w:t>
      </w:r>
      <w:r>
        <w:rPr>
          <w:rFonts w:ascii="Arial" w:cs="Arial" w:eastAsia="Arial" w:hAnsi="Arial"/>
          <w:sz w:val="23"/>
          <w:szCs w:val="23"/>
          <w:color w:val="auto"/>
          <w:vertAlign w:val="superscript"/>
        </w:rPr>
        <w:t>®</w:t>
      </w:r>
      <w:r>
        <w:rPr>
          <w:rFonts w:ascii="Arial" w:cs="Arial" w:eastAsia="Arial" w:hAnsi="Arial"/>
          <w:sz w:val="18"/>
          <w:szCs w:val="18"/>
          <w:color w:val="auto"/>
        </w:rPr>
        <w:t>” in Switzerland, the European Union, the United States and Japan.</w:t>
      </w:r>
    </w:p>
    <w:p>
      <w:pPr>
        <w:spacing w:after="0" w:line="10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estimate that we will receive net proceeds from this offering of approximately $72.4 (CHF 65.1 based on an exchange rate of CHF 1.00 to $1.1123, the noon buying rate of the Federal Reserve Bank of New York on June 4, 2021) million, assuming a public offering price of $27.14 (CHF 24.40) per American Depositary Shares, or ADS, based on the closing price of our common shares on the SIX Swiss Exchange on June 8, 2021, after deducting underwriting discounts and commissions and estimated offering expenses payable by us, and assuming no exercise of the underwriters’ option to purchase additional ADSs. If the underwriters exercise in full their options to purchase additional ADSs, we estimate that we will receive net proceeds from this offering of approximately $83.7 (CHF 75.3) million, assuming a public offering price of $27.14 (CHF 24.40) per ADS, based on the closing price of our common shares on the SIX Swiss Exchange on June 8, 2021, after deducting underwriting discounts and commissions and estimated offering expenses payable by us.</w:t>
      </w:r>
    </w:p>
    <w:p>
      <w:pPr>
        <w:spacing w:after="0" w:line="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$1.00 (CHF 0.90) increase (decrease) in the assumed offering price of $27.14 (CHF 24.40) per common share, based on the closing price of our common shares on the SIX Swiss Exchange on June 8, 2021, would increase or decrease our net proceeds from the offering by $2.8 (CHF 2.5) million, assuming the number of ADSs offered by us, as set forth on the cover page of this prospectus, remains the same and after deducting underwriting discounts and commissions. We may also increase or decrease the number of ADSs we are offering. An increase or decrease of 1,000,000 ADSs offered by us would increase or decrease the net proceeds to us from the sale of the ADSs we are offering by $25.2 (CHF 22.7) million, assuming that the assumed offering price remains the same and after deducting underwriting discounts and commissions. The actual net proceeds payable to us will adjust based on the actual number of ADSs offered by us, the actual offering price and other terms of the offering determined at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to use the net proceeds from this offering, together with our existing cash and cash equivalents, as follows:</w:t>
      </w:r>
    </w:p>
    <w:p>
      <w:pPr>
        <w:spacing w:after="0" w:line="144" w:lineRule="exact"/>
        <w:rPr>
          <w:sz w:val="20"/>
          <w:szCs w:val="20"/>
          <w:color w:val="auto"/>
        </w:rPr>
      </w:pPr>
    </w:p>
    <w:p>
      <w:pPr>
        <w:ind w:left="340" w:right="12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$25 (CHF 22) million to fund our planned Phase 1 clinical trial for MP0317, the second product candidate in our oncology program, to completion;</w:t>
      </w:r>
    </w:p>
    <w:p>
      <w:pPr>
        <w:spacing w:after="0" w:line="102" w:lineRule="exact"/>
        <w:rPr>
          <w:rFonts w:ascii="Arial" w:cs="Arial" w:eastAsia="Arial" w:hAnsi="Arial"/>
          <w:sz w:val="18"/>
          <w:szCs w:val="18"/>
          <w:color w:val="auto"/>
        </w:rPr>
      </w:pPr>
    </w:p>
    <w:p>
      <w:pPr>
        <w:jc w:val="both"/>
        <w:ind w:left="340" w:right="360" w:hanging="332"/>
        <w:spacing w:after="0" w:line="263"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$40 (CHF 36) million towards the expansion of our research and development activities in our infectious disease program, which is expected to include the selection of an additional product candidate targeting infectious disease and the preclinical research and initiation of IND-enabling studies with respect to this product candidate;</w:t>
      </w:r>
    </w:p>
    <w:p>
      <w:pPr>
        <w:spacing w:after="0" w:line="116" w:lineRule="exact"/>
        <w:rPr>
          <w:rFonts w:ascii="Arial" w:cs="Arial" w:eastAsia="Arial" w:hAnsi="Arial"/>
          <w:sz w:val="18"/>
          <w:szCs w:val="18"/>
          <w:color w:val="auto"/>
        </w:rPr>
      </w:pPr>
    </w:p>
    <w:p>
      <w:pPr>
        <w:ind w:left="340" w:right="48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$43 (CHF 39) million to advance our liquid tumor portfolio initially in acute myeloid leukemia, or AML, through Phase 1 clinical development, and leveraging our CD3 platform to develop additional product candidates thereafter; and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remainder to fund the advancement of our platform and other potential product candidates, working capital and other general corporate purposes.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have no specific plans as to how the net proceeds from this offering will be allocated beyond the expected uses specified above and therefore management will retain discretion with respect to the use of the remainder of the net proceeds of this offering. We may also use a portion of the net proceeds to acquire, license or invest in complementary products, technologies or businesses; however, we currently have no agreements, plans or commitments to complete any such transaction.</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the anticipated net proceeds from this offering, together with our existing cash and cash equivalents and short-term time deposits, will enable us to fund our operating expenses and capital expenditure requirements through the third quarter of 2023. We have based this estimate on assumptions that may prove to be wrong, and we could exhaust our available capital resources sooner than we expect. The anticipated net proceeds from this offering, together with our existing cash and cash equivalents, may not be sufficient for us to advance our product candidates through regulatory approval, and we may need to raise additional capital to complete the development and potential commercialization of our product candidates. We expect to finance our cash needs primarily through a combination of public or private equity offerings, strategic collaborations and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that we may commence in the future, as well as any collaboration that we may enter into with third parties for our product candidates and any unforeseen cash needs. As a result, our future financing needs remain uncertain and our management will retain broad discretion over the allocation of the net proceeds from this offering.</w:t>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term deposits, short-term, investment-grade, interest-bearing instruments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1440" w:right="459" w:bottom="1440" w:gutter="0" w:footer="0" w:header="0"/>
        </w:sectPr>
      </w:pPr>
    </w:p>
    <w:bookmarkStart w:id="89" w:name="page90"/>
    <w:bookmarkEnd w:id="89"/>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dividends on our common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common shares or ADSs will benefit in the foreseeable future only if the common shares or ADSs appreciate in value.</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order for us to declare and pay dividends, the distribution must be approved by shareholders holding an absolute majority of the common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Common dividends may be paid only if we have sufficient distributable profits from previous years (</w:t>
      </w:r>
      <w:r>
        <w:rPr>
          <w:rFonts w:ascii="Arial" w:cs="Arial" w:eastAsia="Arial" w:hAnsi="Arial"/>
          <w:sz w:val="16"/>
          <w:szCs w:val="16"/>
          <w:i w:val="1"/>
          <w:iCs w:val="1"/>
          <w:color w:val="auto"/>
        </w:rPr>
        <w:t>Gewinnvortrag</w:t>
      </w:r>
      <w:r>
        <w:rPr>
          <w:rFonts w:ascii="Arial" w:cs="Arial" w:eastAsia="Arial" w:hAnsi="Arial"/>
          <w:sz w:val="16"/>
          <w:szCs w:val="16"/>
          <w:color w:val="auto"/>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a shareholders’ meeting must approve by the absolute majority of votes represented the reclassification of such reserves from capital contributions to freely distributable reserves (</w:t>
      </w:r>
      <w:r>
        <w:rPr>
          <w:rFonts w:ascii="Arial" w:cs="Arial" w:eastAsia="Arial" w:hAnsi="Arial"/>
          <w:sz w:val="16"/>
          <w:szCs w:val="16"/>
          <w:i w:val="1"/>
          <w:iCs w:val="1"/>
          <w:color w:val="auto"/>
        </w:rPr>
        <w:t>frei verfügbare Reserven</w:t>
      </w:r>
      <w:r>
        <w:rPr>
          <w:rFonts w:ascii="Arial" w:cs="Arial" w:eastAsia="Arial" w:hAnsi="Arial"/>
          <w:sz w:val="16"/>
          <w:szCs w:val="16"/>
          <w:color w:val="auto"/>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common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common shares. As of December 31, 2020, we had reserves from capital contributions in an aggregate amount of CHF 275,557,000, of which CHF 127,557,000 were legal capital reserves and CHF 148,000,000 were free reserves.</w:t>
      </w:r>
    </w:p>
    <w:p>
      <w:pPr>
        <w:spacing w:after="0" w:line="10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common shares that are based upon a capital reduction. For a description of share capital reductions under the revised Swiss corporate law expected to enter into force in 2023, see "Description of Share Capital and Articles of Association—Dividends and Other Distributions."</w:t>
      </w:r>
    </w:p>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Dividend distributions, if any in the future, will be declared and paid in Swiss francs and converted into U.S. dollars with respect to the ADSs, as provided in the deposit agreement.</w:t>
      </w:r>
    </w:p>
    <w:p>
      <w:pPr>
        <w:spacing w:after="0" w:line="8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taxation of dividends, see the section in this prospectus entitled “Swiss Tax Implications for U.S. Holders—Swiss Tax Considerations—Swiss Federal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80"/>
          </w:cols>
          <w:pgMar w:left="320" w:top="1440" w:right="1399" w:bottom="1440" w:gutter="0" w:footer="0" w:header="0"/>
        </w:sectPr>
      </w:pPr>
    </w:p>
    <w:bookmarkStart w:id="91" w:name="page92"/>
    <w:bookmarkEnd w:id="9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capitalization as of March 31, 2021:</w:t>
      </w:r>
    </w:p>
    <w:p>
      <w:pPr>
        <w:spacing w:after="0" w:line="158"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44"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as adjusted basis to reflect the issuance and sale of 3,000,000 ADSs, representing 3,000,000 common shares with a nominal value of CHF 0.10 each, in this offering at an assumed offering price of $27.14 (CHF 24.40) per ADS, based on the closing price of our common shares on the SIX Swiss Exchange on June 8, 2021, after deducting underwriting discounts and commissions of approximately $5.7 (CHF 5.1) million and estimated offering expenses of approximately $3.4 (CHF 3.0) million payable by us.</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capitalization following this offering will be adjusted based on the actual public offering price and other terms of this offering determined at pricing, including the amount by which actual offering expenses are higher or lower than estimated. The table should be read in conjunction with the information contained in “Use of Proceeds,” “Selected Financial Data” and “Management’s Discussion and Analysis of Financial Condition and Results of Operations,” as well as our financial statements and the related notes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240" w:type="dxa"/>
            <w:vAlign w:val="bottom"/>
            <w:tcBorders>
              <w:top w:val="single" w:sz="8" w:color="auto"/>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As of March 31, 2021</w:t>
            </w:r>
          </w:p>
        </w:tc>
        <w:tc>
          <w:tcPr>
            <w:tcW w:w="0" w:type="dxa"/>
            <w:vAlign w:val="bottom"/>
          </w:tcPr>
          <w:p>
            <w:pPr>
              <w:spacing w:after="0"/>
              <w:rPr>
                <w:sz w:val="1"/>
                <w:szCs w:val="1"/>
                <w:color w:val="auto"/>
              </w:rPr>
            </w:pPr>
          </w:p>
        </w:tc>
      </w:tr>
      <w:tr>
        <w:trPr>
          <w:trHeight w:val="215"/>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Actual</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480"/>
              <w:spacing w:after="0" w:line="215" w:lineRule="exact"/>
              <w:rPr>
                <w:sz w:val="20"/>
                <w:szCs w:val="20"/>
                <w:color w:val="auto"/>
              </w:rPr>
            </w:pPr>
            <w:r>
              <w:rPr>
                <w:rFonts w:ascii="Arial" w:cs="Arial" w:eastAsia="Arial" w:hAnsi="Arial"/>
                <w:sz w:val="16"/>
                <w:szCs w:val="16"/>
                <w:b w:val="1"/>
                <w:bCs w:val="1"/>
                <w:color w:val="auto"/>
                <w:w w:val="87"/>
              </w:rPr>
              <w:t>As adjusted</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time deposits</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210,664</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Share capital, 29,157,793 shares issued and outstanding, actual; 32,157,793 shares issued and</w:t>
            </w:r>
          </w:p>
        </w:tc>
        <w:tc>
          <w:tcPr>
            <w:tcW w:w="8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adjusted</w:t>
            </w:r>
          </w:p>
        </w:tc>
        <w:tc>
          <w:tcPr>
            <w:tcW w:w="8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300,317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368,090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losses</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(208,475)</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shareholders' equity</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162,831</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Total capitalization</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162,831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right="100" w:hanging="332"/>
        <w:spacing w:after="0" w:line="291" w:lineRule="auto"/>
        <w:tabs>
          <w:tab w:leader="none" w:pos="335"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$1.00 (CHF 0.90) increase or decrease in the assumed offering price of $27.14 (CHF 24.40) per ADS, based on the closing price of our common shares on the SIX Swiss Exchange on June 8, 2021, would increase or decrease each of as adjusted cash and cash equivalents and short-term time deposits, as adjusted total shareholders' equity and as adjusted total capitalization by approximately $2.8 million (CHF 2.5 million), assuming that the number of ADSs, as set forth on the cover page of this prospectus, remains the same and after deducting underwriting commissions and estimated offering expenses payable by us. Subject to applicable law, we may also increase or decrease the number of ADSs we are offering. Each increase or decrease of 1,000,000 ADSs offered by us, set forth on the cover page of this prospectus, would increase or decrease each of as adjusted total shareholders' equity and as adjusted total capitalization by approximately $ 25.2 million (CHF 22.7 million), assuming that the assumed offering price remains the same, and after deducting underwriting commissions and estimated offering expenses payable by us. The as adjusted information discussed above is illustrative only and will change based on the actual offering price, the actual number of ADSs offered by us and other terms of the offering determined at pricing.</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number of common shares to be outstanding after this offering is based on a total of 29,157,793 common shares outstanding as of March 31, 2021 and excludes:</w:t>
      </w:r>
    </w:p>
    <w:p>
      <w:pPr>
        <w:spacing w:after="0" w:line="89" w:lineRule="exact"/>
        <w:rPr>
          <w:sz w:val="20"/>
          <w:szCs w:val="20"/>
          <w:color w:val="auto"/>
        </w:rPr>
      </w:pPr>
    </w:p>
    <w:p>
      <w:pPr>
        <w:ind w:left="340" w:right="22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0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If you invest in our ADSs in this offering, your ownership interest will be diluted to the extent of the difference between the public offering price per ADS in this offering and the as adjusted net tangible book value per ADS after this offering. Our net tangible book value as of March 31, 2021 was CHF 94.5 million ($100.3 million based on an exchange rate of CHF 1.00 to $1.0618, the noon buying rate of the Federal Reserve Bank of New York on March 31, 2021), or CHF 3.24 ($3.44) per common share. Net tangible book value per common share was determined by dividing our total assets less our intangible assets and our total liabilities by the number of common shares outstanding as of March 31, 2021, and excludes 371,646 common shares issuable upon the exercise of options at a weighted average price of CHF 6.46 ($6.86) per common share granted under our employee stock option plans and long-term equity incentive plans, but not exercised as of March 31, 2021, and 435,882 PSUs and 87,906 RSUs granted under our employee stock option plans and long-term equity incentive plans, but not vested as of March 31, 2021.</w:t>
      </w:r>
    </w:p>
    <w:p>
      <w:pPr>
        <w:spacing w:after="0" w:line="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After giving effect to the receipt of the estimated net proceeds of approximately CHF 65.1 ($72.4 based on an exchange rate of CHF 1.00 to $1.1123, the noon buying rate of the Federal Reserve Bank of New York on June 4, 2021) million from our sale of ADSs in the offering, assuming a public offering price CHF 24.40 ($27.14) per ADS, based on the closing price of our common shares on the SIX Swiss Exchange on June 8, 2021, after deducting underwriting discounts and commissions of approximately CHF 5.1 ($5.7) million and estimated offering expenses of approximately CHF 3.0 ($3.4) million payable by us, and the application of the estimated net proceeds therefrom as described under “Use of Proceeds,” our as adjusted net tangible book value at March 31, 2021 would have been approximately CHF159.5 ($177.4) million, or CHF 4.96 ($5.52) per common share. This represents an immediate increase in net tangible book value per ADS of CHF 1.72 ($1.91) to existing shareholders and an immediate dilution in net tangible book value per ADS of CHF 19.44 ($21.62) to new investors.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on an ADS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ADS</w:t>
            </w:r>
          </w:p>
        </w:tc>
        <w:tc>
          <w:tcPr>
            <w:tcW w:w="10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7180" w:type="dxa"/>
            <w:vAlign w:val="bottom"/>
          </w:tcPr>
          <w:p>
            <w:pPr>
              <w:ind w:left="440"/>
              <w:spacing w:after="0"/>
              <w:rPr>
                <w:sz w:val="20"/>
                <w:szCs w:val="20"/>
                <w:color w:val="auto"/>
              </w:rPr>
            </w:pPr>
            <w:r>
              <w:rPr>
                <w:rFonts w:ascii="Arial" w:cs="Arial" w:eastAsia="Arial" w:hAnsi="Arial"/>
                <w:sz w:val="18"/>
                <w:szCs w:val="18"/>
                <w:color w:val="auto"/>
              </w:rPr>
              <w:t>Net tangible book value per ADS as of March 31, 2021</w:t>
            </w:r>
          </w:p>
        </w:tc>
        <w:tc>
          <w:tcPr>
            <w:tcW w:w="1000" w:type="dxa"/>
            <w:vAlign w:val="bottom"/>
          </w:tcPr>
          <w:p>
            <w:pPr>
              <w:ind w:left="20"/>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Increase in net tangible book value per ADS attributable to new investors</w:t>
            </w: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 adjusted net tangible book value per ADS after this offering</w:t>
            </w:r>
          </w:p>
        </w:tc>
        <w:tc>
          <w:tcPr>
            <w:tcW w:w="10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Dilution per ADS to new investors</w:t>
            </w:r>
          </w:p>
        </w:tc>
        <w:tc>
          <w:tcPr>
            <w:tcW w:w="10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bl>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dilution information discussed above is illustrative only and will change based on the actual offering price and other terms of the offering determined at pricing. Each $1.00 (CHF 0.90) increase or decrease in the assumed offering price of $27.14 (CHF 24.40) per ADS, based on the closing price of our common shares on the SIX Swiss Exchange on June 8, 2021, would increase or decrease our as adjusted net tangible book value by approximately CHF 2.5 ($2.8) million, or approximately CHF 1.80 ($2.00) per ADS, and the dilution to new investors participating in the offering would be</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approximately CHF 19.36 ($21.54) per ADS, assuming that the number of ADSs offered by us, as set forth on the cover page of this prospectus, remains the same, and after deducting underwriting discounts and commissions. We may also increase or decrease the number of ADSs we are offering. An increase of 1,000,000 ADSs offered by us would increase the as adjusted net tangible book value by approximately CHF 22.7 ($25.2) million, or CHF 1.57 ($1.75) per ADS, and the dilution to new investors participating in the offering would be CHF 19.59 ($21.79) per ADS, assuming that the assumed offering price remains the same, and after deducting underwriting discounts and commissions. Similarly, a decrease of 1,000,000 ADSs offered by us would decrease the as adjusted net tangible book value by approximately CHF 22.7 ($25.2) million, or CHF 1.88 ($2.09) per ADS, and the dilution to new investors participating in the offering would be CHF 19.28 ($21.44) per ADS, assuming that the assumed offering price remains the same, and after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underwriters exercise their option to purchase additional ADSs in full, the as adjusted net tangible book value per share after the offering would be CHF 5.39 ($6.00) per ADS, the increase in the as adjusted net tangible 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0"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value to existing shareholders would be CHF 2.15 ($2.39) per ADS, and the dilution to new investors participating in the offering would be CHF 19.01 ($21.14) per ADS.</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sets forth, on an as adjusted basis as of March 31, 2021, consideration paid to us in cash for common shares purchased from us by our existing shareholders and by new investors purchasing ADSs in this offering, based on an assumed offering price of $27.14 (CHF 24.40) per ADS, based on the closing price of our common shares on the SIX Swiss Exchange on June 8, 2021,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93"/>
              </w:rPr>
              <w:t>Common shares or ADSs purchased</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Total consideration</w:t>
            </w:r>
          </w:p>
        </w:tc>
        <w:tc>
          <w:tcPr>
            <w:tcW w:w="1640" w:type="dxa"/>
            <w:vAlign w:val="bottom"/>
            <w:gridSpan w:val="2"/>
          </w:tcPr>
          <w:p>
            <w:pPr>
              <w:ind w:left="340"/>
              <w:spacing w:after="0"/>
              <w:rPr>
                <w:sz w:val="20"/>
                <w:szCs w:val="20"/>
                <w:color w:val="auto"/>
              </w:rPr>
            </w:pPr>
            <w:r>
              <w:rPr>
                <w:rFonts w:ascii="Arial" w:cs="Arial" w:eastAsia="Arial" w:hAnsi="Arial"/>
                <w:sz w:val="16"/>
                <w:szCs w:val="16"/>
                <w:b w:val="1"/>
                <w:bCs w:val="1"/>
                <w:color w:val="auto"/>
                <w:w w:val="94"/>
              </w:rPr>
              <w:t>Average price per</w:t>
            </w: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Average price</w:t>
            </w:r>
          </w:p>
        </w:tc>
      </w:tr>
      <w:tr>
        <w:trPr>
          <w:trHeight w:val="207"/>
        </w:trPr>
        <w:tc>
          <w:tcPr>
            <w:tcW w:w="20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Number</w:t>
            </w: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Percent</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ADS</w:t>
            </w:r>
          </w:p>
        </w:tc>
      </w:tr>
      <w:tr>
        <w:trPr>
          <w:trHeight w:val="226"/>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shareholders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29,157,793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CHF</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10.40</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CHF</w:t>
            </w:r>
          </w:p>
        </w:tc>
        <w:tc>
          <w:tcPr>
            <w:tcW w:w="11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10.40</w:t>
            </w: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New investors</w:t>
            </w:r>
          </w:p>
        </w:tc>
        <w:tc>
          <w:tcPr>
            <w:tcW w:w="12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840" w:type="dxa"/>
            <w:vAlign w:val="bottom"/>
          </w:tcPr>
          <w:p>
            <w:pPr>
              <w:ind w:left="300"/>
              <w:spacing w:after="0"/>
              <w:rPr>
                <w:sz w:val="20"/>
                <w:szCs w:val="20"/>
                <w:color w:val="auto"/>
              </w:rPr>
            </w:pPr>
            <w:r>
              <w:rPr>
                <w:rFonts w:ascii="Arial" w:cs="Arial" w:eastAsia="Arial" w:hAnsi="Arial"/>
                <w:sz w:val="18"/>
                <w:szCs w:val="18"/>
                <w:color w:val="auto"/>
              </w:rPr>
              <w:t>CHF</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24.40</w:t>
            </w:r>
          </w:p>
        </w:tc>
        <w:tc>
          <w:tcPr>
            <w:tcW w:w="560" w:type="dxa"/>
            <w:vAlign w:val="bottom"/>
          </w:tcPr>
          <w:p>
            <w:pPr>
              <w:ind w:left="80"/>
              <w:spacing w:after="0"/>
              <w:rPr>
                <w:sz w:val="20"/>
                <w:szCs w:val="20"/>
                <w:color w:val="auto"/>
              </w:rPr>
            </w:pPr>
            <w:r>
              <w:rPr>
                <w:rFonts w:ascii="Arial" w:cs="Arial" w:eastAsia="Arial" w:hAnsi="Arial"/>
                <w:sz w:val="18"/>
                <w:szCs w:val="18"/>
                <w:color w:val="auto"/>
              </w:rPr>
              <w:t>CHF</w:t>
            </w:r>
          </w:p>
        </w:tc>
        <w:tc>
          <w:tcPr>
            <w:tcW w:w="1160" w:type="dxa"/>
            <w:vAlign w:val="bottom"/>
          </w:tcPr>
          <w:p>
            <w:pPr>
              <w:jc w:val="right"/>
              <w:ind w:right="295"/>
              <w:spacing w:after="0"/>
              <w:rPr>
                <w:sz w:val="20"/>
                <w:szCs w:val="20"/>
                <w:color w:val="auto"/>
              </w:rPr>
            </w:pPr>
            <w:r>
              <w:rPr>
                <w:rFonts w:ascii="Arial" w:cs="Arial" w:eastAsia="Arial" w:hAnsi="Arial"/>
                <w:sz w:val="18"/>
                <w:szCs w:val="18"/>
                <w:color w:val="auto"/>
              </w:rPr>
              <w:t>24.40</w:t>
            </w:r>
          </w:p>
        </w:tc>
      </w:tr>
      <w:tr>
        <w:trPr>
          <w:trHeight w:val="223"/>
        </w:trPr>
        <w:tc>
          <w:tcPr>
            <w:tcW w:w="2060" w:type="dxa"/>
            <w:vAlign w:val="bottom"/>
            <w:tcBorders>
              <w:top w:val="single" w:sz="8" w:color="CCEEFF"/>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32,157,793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40" w:type="dxa"/>
            <w:vAlign w:val="bottom"/>
            <w:tcBorders>
              <w:top w:val="single" w:sz="8" w:color="CCEEFF"/>
              <w:bottom w:val="single" w:sz="8" w:color="auto"/>
            </w:tcBorders>
            <w:shd w:val="clear" w:color="auto" w:fill="CCEEFF"/>
          </w:tcPr>
          <w:p>
            <w:pPr>
              <w:spacing w:after="0"/>
              <w:rPr>
                <w:sz w:val="19"/>
                <w:szCs w:val="19"/>
                <w:color w:val="auto"/>
              </w:rPr>
            </w:pPr>
          </w:p>
        </w:tc>
        <w:tc>
          <w:tcPr>
            <w:tcW w:w="800" w:type="dxa"/>
            <w:vAlign w:val="bottom"/>
            <w:tcBorders>
              <w:top w:val="single" w:sz="8" w:color="CCEEFF"/>
              <w:bottom w:val="single" w:sz="8" w:color="auto"/>
            </w:tcBorders>
            <w:shd w:val="clear" w:color="auto" w:fill="CCEEFF"/>
          </w:tcPr>
          <w:p>
            <w:pPr>
              <w:spacing w:after="0"/>
              <w:rPr>
                <w:sz w:val="19"/>
                <w:szCs w:val="19"/>
                <w:color w:val="auto"/>
              </w:rPr>
            </w:pPr>
          </w:p>
        </w:tc>
        <w:tc>
          <w:tcPr>
            <w:tcW w:w="560" w:type="dxa"/>
            <w:vAlign w:val="bottom"/>
            <w:tcBorders>
              <w:top w:val="single" w:sz="8" w:color="CCEEFF"/>
              <w:bottom w:val="single" w:sz="8" w:color="auto"/>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spacing w:after="0"/>
              <w:rPr>
                <w:sz w:val="19"/>
                <w:szCs w:val="19"/>
                <w:color w:val="auto"/>
              </w:rPr>
            </w:pPr>
          </w:p>
        </w:tc>
      </w:tr>
    </w:tbl>
    <w:p>
      <w:pPr>
        <w:spacing w:after="0" w:line="21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Each $1.00 (CHF 0.90) increase or decrease in the assumed offering price of $27.14 (CHF 24.40) per ADS, based on the closing price of our common shares on the SIX Swiss Exchange on June 8, 2021, would increase or decrease the total consideration paid by new investors participating in the offering by CHF 2.5 ($2.8) million, assuming that the number of ADSs offered by us, as set forth on the cover page of the prospectus, remains the same and before deducting underwriting discounts and commissions. We may also increase or decrease the number of ADSs we are offering. An increase or decrease in 1,000,000 ADSs offered by us would increase or decrease the total consideration paid by new investors participating in the offering by CHF 22.7 ($25.2) million, assuming that the assumed offering price remains the same and before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if the underwriters exercise their option to purchase additional ADSs in full, the number of shares held by the existing shareholders after this offering would be reduced to 89% of the total number of common shares (including common shares represented by ADSs) outstanding after this offering, and the number of shares held by new investors participating in this offering (including common shares represented by ADSs) would increase to 3,450,000, or 11% of the total number of common shares outstanding after this offering (including common shares represented by ADSs).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tables and calculations above are based on the number of common shares that will be outstanding after this offering is based on 29,157,793 common shares outstanding as of March 31, 2021 and excludes:</w:t>
      </w:r>
    </w:p>
    <w:p>
      <w:pPr>
        <w:spacing w:after="0" w:line="89" w:lineRule="exact"/>
        <w:rPr>
          <w:sz w:val="20"/>
          <w:szCs w:val="20"/>
          <w:color w:val="auto"/>
        </w:rPr>
      </w:pPr>
    </w:p>
    <w:p>
      <w:pPr>
        <w:ind w:left="340" w:right="22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FINANCIAL DATA</w:t>
      </w:r>
    </w:p>
    <w:p>
      <w:pPr>
        <w:spacing w:after="0" w:line="3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following tables set forth our financial data for the periods indicated. The following selected statement of comprehensive loss data for the years ended December 31, 2020 and 2019 and the selected statement of financial position data as of December 31, 2020 and 2019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 The selected statement of comprehensive loss data for the three months ended March 31, 2021 and 2019 and the selected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selected financial data for the periods and as of the dates indicated are qualified by reference to and should be read in conjunction with our financial statements and related notes beginning on page F-1 of this prospectus, as well as the sections entitled “Management’s Discussion and Analysis of Financial Condition and Results of Operations” and “Exchange Rate Information” included elsewhere in this prospectus.</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5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vMerge w:val="restart"/>
          </w:tcPr>
          <w:p>
            <w:pPr>
              <w:jc w:val="center"/>
              <w:ind w:left="293"/>
              <w:spacing w:after="0"/>
              <w:rPr>
                <w:sz w:val="20"/>
                <w:szCs w:val="20"/>
                <w:color w:val="auto"/>
              </w:rPr>
            </w:pPr>
            <w:r>
              <w:rPr>
                <w:rFonts w:ascii="Arial" w:cs="Arial" w:eastAsia="Arial" w:hAnsi="Arial"/>
                <w:sz w:val="16"/>
                <w:szCs w:val="16"/>
                <w:b w:val="1"/>
                <w:bCs w:val="1"/>
                <w:color w:val="auto"/>
                <w:w w:val="94"/>
              </w:rPr>
              <w:t>For the three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gridSpan w:val="2"/>
            <w:vMerge w:val="restart"/>
          </w:tcPr>
          <w:p>
            <w:pPr>
              <w:jc w:val="center"/>
              <w:ind w:right="20"/>
              <w:spacing w:after="0" w:line="162" w:lineRule="exact"/>
              <w:rPr>
                <w:sz w:val="20"/>
                <w:szCs w:val="20"/>
                <w:color w:val="auto"/>
              </w:rPr>
            </w:pPr>
            <w:r>
              <w:rPr>
                <w:rFonts w:ascii="Arial" w:cs="Arial" w:eastAsia="Arial" w:hAnsi="Arial"/>
                <w:sz w:val="16"/>
                <w:szCs w:val="16"/>
                <w:b w:val="1"/>
                <w:bCs w:val="1"/>
                <w:color w:val="auto"/>
                <w:w w:val="84"/>
              </w:rPr>
              <w:t>ended</w:t>
            </w:r>
          </w:p>
        </w:tc>
        <w:tc>
          <w:tcPr>
            <w:tcW w:w="1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236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For the year ended</w:t>
            </w:r>
          </w:p>
        </w:tc>
        <w:tc>
          <w:tcPr>
            <w:tcW w:w="1460" w:type="dxa"/>
            <w:vAlign w:val="bottom"/>
            <w:gridSpan w:val="2"/>
            <w:vMerge w:val="continue"/>
          </w:tcPr>
          <w:p>
            <w:pPr>
              <w:spacing w:after="0"/>
              <w:rPr>
                <w:sz w:val="3"/>
                <w:szCs w:val="3"/>
                <w:color w:val="auto"/>
              </w:rPr>
            </w:pPr>
          </w:p>
        </w:tc>
        <w:tc>
          <w:tcPr>
            <w:tcW w:w="2940" w:type="dxa"/>
            <w:vAlign w:val="bottom"/>
            <w:gridSpan w:val="2"/>
            <w:vMerge w:val="restart"/>
          </w:tcPr>
          <w:p>
            <w:pPr>
              <w:jc w:val="center"/>
              <w:ind w:left="193"/>
              <w:spacing w:after="0"/>
              <w:rPr>
                <w:sz w:val="20"/>
                <w:szCs w:val="20"/>
                <w:color w:val="auto"/>
              </w:rPr>
            </w:pPr>
            <w:r>
              <w:rPr>
                <w:rFonts w:ascii="Arial" w:cs="Arial" w:eastAsia="Arial" w:hAnsi="Arial"/>
                <w:sz w:val="16"/>
                <w:szCs w:val="16"/>
                <w:b w:val="1"/>
                <w:bCs w:val="1"/>
                <w:color w:val="auto"/>
                <w:w w:val="89"/>
              </w:rPr>
              <w:t>For the three months ended</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9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36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 2020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94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6"/>
                <w:szCs w:val="16"/>
                <w:b w:val="1"/>
                <w:bCs w:val="1"/>
                <w:color w:val="auto"/>
                <w:w w:val="93"/>
              </w:rPr>
              <w:t>March 31, 2021</w:t>
            </w:r>
          </w:p>
        </w:tc>
        <w:tc>
          <w:tcPr>
            <w:tcW w:w="1500" w:type="dxa"/>
            <w:vAlign w:val="bottom"/>
            <w:tcBorders>
              <w:bottom w:val="single" w:sz="8" w:color="auto"/>
            </w:tcBorders>
          </w:tcPr>
          <w:p>
            <w:pPr>
              <w:jc w:val="center"/>
              <w:ind w:left="293"/>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4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in CHF</w:t>
            </w:r>
          </w:p>
        </w:tc>
        <w:tc>
          <w:tcPr>
            <w:tcW w:w="1500" w:type="dxa"/>
            <w:vAlign w:val="bottom"/>
          </w:tcPr>
          <w:p>
            <w:pPr>
              <w:ind w:left="600"/>
              <w:spacing w:after="0"/>
              <w:rPr>
                <w:sz w:val="20"/>
                <w:szCs w:val="20"/>
                <w:color w:val="auto"/>
              </w:rPr>
            </w:pPr>
            <w:r>
              <w:rPr>
                <w:rFonts w:ascii="Arial" w:cs="Arial" w:eastAsia="Arial" w:hAnsi="Arial"/>
                <w:sz w:val="16"/>
                <w:szCs w:val="16"/>
                <w:b w:val="1"/>
                <w:bCs w:val="1"/>
                <w:color w:val="auto"/>
              </w:rPr>
              <w:t>in CHF</w:t>
            </w:r>
          </w:p>
        </w:tc>
        <w:tc>
          <w:tcPr>
            <w:tcW w:w="1440" w:type="dxa"/>
            <w:vAlign w:val="bottom"/>
          </w:tcPr>
          <w:p>
            <w:pPr>
              <w:ind w:left="600"/>
              <w:spacing w:after="0"/>
              <w:rPr>
                <w:sz w:val="20"/>
                <w:szCs w:val="20"/>
                <w:color w:val="auto"/>
              </w:rPr>
            </w:pPr>
            <w:r>
              <w:rPr>
                <w:rFonts w:ascii="Arial" w:cs="Arial" w:eastAsia="Arial" w:hAnsi="Arial"/>
                <w:sz w:val="16"/>
                <w:szCs w:val="16"/>
                <w:b w:val="1"/>
                <w:bCs w:val="1"/>
                <w:color w:val="auto"/>
              </w:rPr>
              <w:t>in USD</w:t>
            </w:r>
          </w:p>
        </w:tc>
        <w:tc>
          <w:tcPr>
            <w:tcW w:w="1500" w:type="dxa"/>
            <w:vAlign w:val="bottom"/>
          </w:tcPr>
          <w:p>
            <w:pPr>
              <w:jc w:val="center"/>
              <w:ind w:left="293"/>
              <w:spacing w:after="0"/>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500" w:type="dxa"/>
            <w:vAlign w:val="bottom"/>
          </w:tcPr>
          <w:p>
            <w:pPr>
              <w:ind w:left="340"/>
              <w:spacing w:after="0"/>
              <w:rPr>
                <w:sz w:val="20"/>
                <w:szCs w:val="20"/>
                <w:color w:val="auto"/>
              </w:rPr>
            </w:pPr>
            <w:r>
              <w:rPr>
                <w:rFonts w:ascii="Arial" w:cs="Arial" w:eastAsia="Arial" w:hAnsi="Arial"/>
                <w:sz w:val="16"/>
                <w:szCs w:val="16"/>
                <w:b w:val="1"/>
                <w:bCs w:val="1"/>
                <w:color w:val="auto"/>
              </w:rPr>
              <w:t>thousands</w:t>
            </w:r>
          </w:p>
        </w:tc>
        <w:tc>
          <w:tcPr>
            <w:tcW w:w="1440" w:type="dxa"/>
            <w:vAlign w:val="bottom"/>
          </w:tcPr>
          <w:p>
            <w:pPr>
              <w:ind w:left="340"/>
              <w:spacing w:after="0"/>
              <w:rPr>
                <w:sz w:val="20"/>
                <w:szCs w:val="20"/>
                <w:color w:val="auto"/>
              </w:rPr>
            </w:pPr>
            <w:r>
              <w:rPr>
                <w:rFonts w:ascii="Arial" w:cs="Arial" w:eastAsia="Arial" w:hAnsi="Arial"/>
                <w:sz w:val="16"/>
                <w:szCs w:val="16"/>
                <w:b w:val="1"/>
                <w:bCs w:val="1"/>
                <w:color w:val="auto"/>
              </w:rPr>
              <w:t>thousands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27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 income</w:t>
            </w:r>
            <w:r>
              <w:rPr>
                <w:rFonts w:ascii="Arial" w:cs="Arial" w:eastAsia="Arial" w:hAnsi="Arial"/>
                <w:sz w:val="23"/>
                <w:szCs w:val="23"/>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9,344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10,569</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0"/>
              </w:rPr>
              <w:t>20,383</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6"/>
              </w:rPr>
              <w:t>977</w:t>
            </w:r>
          </w:p>
        </w:tc>
        <w:tc>
          <w:tcPr>
            <w:tcW w:w="14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1,037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8"/>
              </w:rPr>
              <w:t>3,805</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w w:val="97"/>
              </w:rPr>
              <w:t>Research and development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(56,075)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(63,426)</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2"/>
              </w:rPr>
              <w:t>(43,498)</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2"/>
              </w:rPr>
              <w:t>(16,163)</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2"/>
              </w:rPr>
              <w:t>(17,162)</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89"/>
              </w:rPr>
              <w:t>(13,363)</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(11,595)</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(13,115)</w:t>
            </w:r>
          </w:p>
        </w:tc>
        <w:tc>
          <w:tcPr>
            <w:tcW w:w="1360" w:type="dxa"/>
            <w:vAlign w:val="bottom"/>
            <w:vMerge w:val="restart"/>
            <w:shd w:val="clear" w:color="auto" w:fill="CCEEFF"/>
          </w:tcPr>
          <w:p>
            <w:pPr>
              <w:jc w:val="center"/>
              <w:ind w:left="13"/>
              <w:spacing w:after="0"/>
              <w:rPr>
                <w:sz w:val="20"/>
                <w:szCs w:val="20"/>
                <w:color w:val="auto"/>
              </w:rPr>
            </w:pPr>
            <w:r>
              <w:rPr>
                <w:rFonts w:ascii="Arial" w:cs="Arial" w:eastAsia="Arial" w:hAnsi="Arial"/>
                <w:sz w:val="18"/>
                <w:szCs w:val="18"/>
                <w:color w:val="auto"/>
                <w:w w:val="92"/>
              </w:rPr>
              <w:t>(13,545)</w:t>
            </w:r>
          </w:p>
        </w:tc>
        <w:tc>
          <w:tcPr>
            <w:tcW w:w="1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4"/>
              </w:rPr>
              <w:t>(3,344)</w:t>
            </w:r>
          </w:p>
        </w:tc>
        <w:tc>
          <w:tcPr>
            <w:tcW w:w="1440" w:type="dxa"/>
            <w:vAlign w:val="bottom"/>
            <w:vMerge w:val="restart"/>
            <w:shd w:val="clear" w:color="auto" w:fill="CCEEFF"/>
          </w:tcPr>
          <w:p>
            <w:pPr>
              <w:jc w:val="center"/>
              <w:ind w:left="152"/>
              <w:spacing w:after="0"/>
              <w:rPr>
                <w:sz w:val="20"/>
                <w:szCs w:val="20"/>
                <w:color w:val="auto"/>
              </w:rPr>
            </w:pPr>
            <w:r>
              <w:rPr>
                <w:rFonts w:ascii="Arial" w:cs="Arial" w:eastAsia="Arial" w:hAnsi="Arial"/>
                <w:sz w:val="18"/>
                <w:szCs w:val="18"/>
                <w:color w:val="auto"/>
                <w:w w:val="91"/>
              </w:rPr>
              <w:t>(3,551)</w:t>
            </w:r>
          </w:p>
        </w:tc>
        <w:tc>
          <w:tcPr>
            <w:tcW w:w="1500" w:type="dxa"/>
            <w:vAlign w:val="bottom"/>
            <w:vMerge w:val="restart"/>
            <w:shd w:val="clear" w:color="auto" w:fill="CCEEFF"/>
          </w:tcPr>
          <w:p>
            <w:pPr>
              <w:jc w:val="center"/>
              <w:ind w:left="293"/>
              <w:spacing w:after="0"/>
              <w:rPr>
                <w:sz w:val="20"/>
                <w:szCs w:val="20"/>
                <w:color w:val="auto"/>
              </w:rPr>
            </w:pPr>
            <w:r>
              <w:rPr>
                <w:rFonts w:ascii="Arial" w:cs="Arial" w:eastAsia="Arial" w:hAnsi="Arial"/>
                <w:sz w:val="18"/>
                <w:szCs w:val="18"/>
                <w:color w:val="auto"/>
                <w:w w:val="91"/>
              </w:rPr>
              <w:t>(2,662)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Operating result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(58,326)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(65,973)</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2"/>
              </w:rPr>
              <w:t>(36,660)</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2"/>
              </w:rPr>
              <w:t>(18,530)</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2"/>
              </w:rPr>
              <w:t>(19,675)</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89"/>
              </w:rPr>
              <w:t>(12,220)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415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1,599</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3"/>
              </w:rPr>
              <w:t>2,153</w:t>
            </w:r>
          </w:p>
        </w:tc>
        <w:tc>
          <w:tcPr>
            <w:tcW w:w="14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8"/>
              </w:rPr>
              <w:t>2,286</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(4,816)</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(1,210)</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0"/>
              </w:rPr>
              <w:t>(177)</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0"/>
              </w:rPr>
              <w:t>(196)</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91"/>
              </w:rPr>
              <w:t>(1,367)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 before income taxes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(62,775)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(71,005)</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2"/>
              </w:rPr>
              <w:t>(36,271)</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2"/>
              </w:rPr>
              <w:t>(16,554)</w:t>
            </w:r>
          </w:p>
        </w:tc>
        <w:tc>
          <w:tcPr>
            <w:tcW w:w="14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(13,339)</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3"/>
                <w:szCs w:val="23"/>
                <w:color w:val="auto"/>
              </w:rPr>
            </w:pPr>
          </w:p>
        </w:tc>
        <w:tc>
          <w:tcPr>
            <w:tcW w:w="1500" w:type="dxa"/>
            <w:vAlign w:val="bottom"/>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293"/>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result, attributable to shareholders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(62,764)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(70,992)</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2"/>
              </w:rPr>
              <w:t>(36,288)</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2"/>
              </w:rPr>
              <w:t>(16,554)</w:t>
            </w:r>
          </w:p>
        </w:tc>
        <w:tc>
          <w:tcPr>
            <w:tcW w:w="14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5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(13,345)</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Basic and diluted net result per share</w:t>
            </w:r>
            <w:r>
              <w:rPr>
                <w:rFonts w:ascii="Arial" w:cs="Arial" w:eastAsia="Arial" w:hAnsi="Arial"/>
                <w:sz w:val="23"/>
                <w:szCs w:val="23"/>
                <w:color w:val="auto"/>
                <w:w w:val="93"/>
                <w:vertAlign w:val="superscript"/>
              </w:rPr>
              <w:t>(2)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(1.69)</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(0.57)</w:t>
            </w:r>
          </w:p>
        </w:tc>
        <w:tc>
          <w:tcPr>
            <w:tcW w:w="144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9"/>
              </w:rPr>
              <w:t>(0.61)</w:t>
            </w:r>
          </w:p>
        </w:tc>
        <w:tc>
          <w:tcPr>
            <w:tcW w:w="150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3"/>
              </w:rPr>
              <w:t>(0.62)</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74" w:lineRule="exact"/>
        <w:rPr>
          <w:rFonts w:ascii="Arial" w:cs="Arial" w:eastAsia="Arial" w:hAnsi="Arial"/>
          <w:sz w:val="13"/>
          <w:szCs w:val="13"/>
          <w:color w:val="auto"/>
        </w:rPr>
      </w:pPr>
    </w:p>
    <w:p>
      <w:pPr>
        <w:ind w:left="340" w:right="120" w:hanging="332"/>
        <w:spacing w:after="0" w:line="296" w:lineRule="auto"/>
        <w:tabs>
          <w:tab w:leader="none" w:pos="335" w:val="left"/>
        </w:tabs>
        <w:numPr>
          <w:ilvl w:val="0"/>
          <w:numId w:val="52"/>
        </w:numPr>
        <w:rPr>
          <w:rFonts w:ascii="Arial" w:cs="Arial" w:eastAsia="Arial" w:hAnsi="Arial"/>
          <w:sz w:val="13"/>
          <w:szCs w:val="13"/>
          <w:color w:val="auto"/>
        </w:rPr>
      </w:pPr>
      <w:r>
        <w:rPr>
          <w:rFonts w:ascii="Arial" w:cs="Arial" w:eastAsia="Arial" w:hAnsi="Arial"/>
          <w:sz w:val="13"/>
          <w:szCs w:val="13"/>
          <w:color w:val="auto"/>
        </w:rPr>
        <w:t>See Note 21 to our audited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rPr>
              <w:t>As of March 31, 2021</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 CHF thousands</w:t>
            </w:r>
          </w:p>
        </w:tc>
        <w:tc>
          <w:tcPr>
            <w:tcW w:w="1520" w:type="dxa"/>
            <w:vAlign w:val="bottom"/>
          </w:tcPr>
          <w:p>
            <w:pPr>
              <w:ind w:left="160"/>
              <w:spacing w:after="0"/>
              <w:rPr>
                <w:sz w:val="20"/>
                <w:szCs w:val="20"/>
                <w:color w:val="auto"/>
              </w:rPr>
            </w:pPr>
            <w:r>
              <w:rPr>
                <w:rFonts w:ascii="Arial" w:cs="Arial" w:eastAsia="Arial" w:hAnsi="Arial"/>
                <w:sz w:val="16"/>
                <w:szCs w:val="16"/>
                <w:b w:val="1"/>
                <w:bCs w:val="1"/>
                <w:color w:val="auto"/>
                <w:w w:val="97"/>
              </w:rPr>
              <w:t>in USD thousands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plus short-term time deposits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154,601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183,729</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187,546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318,877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(80,326)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(221,359)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100,614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12" w:lineRule="exact"/>
        <w:rPr>
          <w:sz w:val="20"/>
          <w:szCs w:val="20"/>
          <w:color w:val="auto"/>
        </w:rPr>
      </w:pPr>
    </w:p>
    <w:p>
      <w:pPr>
        <w:ind w:right="140"/>
        <w:spacing w:after="0" w:line="272"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information in "Selected Financial Data" and our Annual Financial Statements, including the notes thereto, as well as our unaudited condensed consolidated interim financial statements, including the notes thereto, appearing elsewhere in this prospectus.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For the convenience of the reader, we have translated some Swiss franc amounts (i) as of and for the year ended December 31, 2020 into U.S. dollars at the noon buying rate of the Federal Reserve Bank of New York on December 31, 2020, which was CHF1.00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in-house DARPin programs are initially focused on infectious diseases, which include our first COVID-19 antiviral therapeutic product candidates, and our oncology program, where we see great 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were co-founded by the inventors of our DARPin platform and our operations to date have focused upon organizing and staffing our company, business planning, raising capital, developing our DARPin platform and conducting research and preclinical studies and clinical trials. We do not have any products approved for sale. For the years ended December 31, 2020 and 2019, we incurred negative net results, attributable to shareholders of CHF 62.8 million and CHF 36.3 million, respectively. For the three months ended March 31, 2021 and 2020, we incurred negative net results, attributable to shareholders of CHF 16.6 million and CHF 13.3 million, respectively. As of March 31, 2021, we had cumulative losses of CHF 208.5 million.</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DARPin product candidates, and seek regulatory approval and pursue commercialization of DARPin products, if approved. Until such time as we can generate significant revenue from product sales, if ever, we expect to finance our operations through a combination of public or private equity and debt financings or other sources, including payments upon achievement of certain development, regulatory and sales milestone events and royalty payments under our existing partnership agreements, and future collaborations with other third parties. We cannot assure you that adequate additional financing will be available to us on acceptable terms, or at all.</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inception through March 31, 2021, we have received a total of CHF 277.6 million in funding from our major partnership agreements. From inception through March 31, 2021, we have obtained a total of CHF 271.0 million in seven equity financing rounds, net of cost of capital increases. Since November 2014, we have been listed on the SIX Swiss Exchange, or SIX, under the symbol “MOLN.” As of March 31, 2021, we had cash and cash equivalents plus short-term time deposits of CHF 145.6 million ($154.6 million).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 COVID-19</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In response, many countries around the world, including European countries and the United States, have imposed quarantines and restrictions on travel and mass gatherings to slow the spread of the virus, and have closed non-essential businesses. We have taken various mitigation measures in response to the pandemic, including requesting most of our employees that are not required to work in the laboratory to work remotely. To date, we have not experienced any material business disruption as a result of the COVID-19 pandemic.</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is significant uncertainty as to the duration and likely effects of this disease which may, among other things, materially impact our planned future clinical trials or ability to raise funding in the future. This pandemic or outbreak could result in difficulty securing clinical trial site locations, ability to enroll patients in future trials, CROs, and/or trial monitors and other critical vendors and consultants supporting future trials. For example, our Phase 1 trial of ensovibep, our lead COVID-19 antiviral product candidate, experienced a temporary delay from December 2020 through April 2021 due to an inability to dose healthy volunteers in the UK resulting from government restrictions that were imposed at the end of 2020 in connection with the COVID-19 pandemic. Dosing for the Phase 1 trial of ensovibep recommenced, and was subsequently completed, in April 2021. These situations, or others associated with COVID-19, could cause delays in our future clinical trial plans, delays in obtaining regulatory approval for potential products and could increase expected costs,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extent to which COVID-19 will impact our results and operations will depend on future developments that cannot be reliably predicted, including actions to contain or treat the disease and mitigate its impact on the economies of the affected countries, among others. We will continue to monitor, assess and mitigate the COVID-19 pandemic and its potential impact on our business and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Licensing and Collaboration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we entered into an Option and Equity Rights agreement with Novartis, or the Novartis Agreement. Under the Novartis Agreement, we granted Novartis an option to exclusively license global rights of MP0420 and MP0423, our COVID-19 anti-viral DARPin product candidates. Under the terms of the Novartis Agreement, we received a non-refundable cash payment of CHF 20 million for development activities regarding technology transfer and manufacturing for the commercial supply of MP0420. As part of the transaction, Novartis also agreed to acquire CHF 40 million worth of our common shares, at a price of CHF 23 per share.</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Novartis Agreement, we will conduct Phase 1 clinical trials for MP0420. Additionally, if we and Novartis agree, we will perform all remaining preclinical work for MP0423 and would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clinical development of MP0420. A Phase 2/3 clinical trial for MP0420 initiated enrollment in May 2021. Manufacturing of MP0423 clinical batches has been completed in preparation for a potential Phase 1 clinical trial.</w:t>
      </w:r>
    </w:p>
    <w:p>
      <w:pPr>
        <w:spacing w:after="0" w:line="1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no earlier than ten years after such sale. Upon exercise of such option, Novartis would be responsible for all further development and commercialization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no earlier than ten years after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 an AbbVie Company</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 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3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no earlier than ten years after such sale.</w:t>
      </w:r>
    </w:p>
    <w:p>
      <w:pPr>
        <w:spacing w:after="0" w:line="1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 an AbbVie Company</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August 2012, we entered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no earlier than ten years after such sale.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2020, we announced the reservation by the Swiss Federal Office of Public Health: Bundesamt für Gesundheit, or FOPH-BAG, of a defined number of initial doses of ensovibep, our lead COVID-19 antiviral therapeutic product candidate. The reservation agreement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us. Certain pricing provisions have been pre-negotiated, but remain subject to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therapeutic dose and while there is preferential pricing for the initial doses, which results in a performance obligation, the pricing for any further doses is expected to be at market prices.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year ending December 31, 2020, we have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University of Zurich</w:t>
      </w:r>
    </w:p>
    <w:p>
      <w:pPr>
        <w:spacing w:after="0" w:line="14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primary patents under this license agreement will expire in September 2021 and we have elected to terminate the agreement effective October 2021.</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above, we have entered into partnerships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our operating expenses to increase substantially as compared to prior periods in connection with our ongoing activities, particularly as we continue the development of our proprietary product candidates, expand our proprietary product pipeline and invest in our DARPin platform. Our operating expenses may vary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from period to period mainly driven by the timing of enrollment of patients in clinical trials and other research and development activities.</w:t>
      </w:r>
    </w:p>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Furthermore, upon the closing of this offering, we expect to incur additional costs associated with operating as a public company in the United States, hiring additional personnel and, potentially, expanding our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Preclinical studies and clinical trials of our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and services under our partnership agreements;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Attributable facility expenses, including depreciation and amortization of equipment and any intangible research and development assets.</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inception through March 31, 2021, we cumulatively have spent a cash amount of approximately CHF 340 million on research and development activities which we classify as research and development expense for financial reporting purposes.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w:t>
      </w:r>
    </w:p>
    <w:p>
      <w:pPr>
        <w:spacing w:after="0" w:line="103"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studies and other related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current or future product candidates could mean a significant change in the costs and timing associated with the development of such product candidates.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1440" w:right="519" w:bottom="1440" w:gutter="0" w:footer="0" w:header="0"/>
        </w:sectPr>
      </w:pPr>
    </w:p>
    <w:bookmarkStart w:id="102" w:name="page103"/>
    <w:bookmarkEnd w:id="102"/>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nomination to the development candidate stage. Included in tables below are our external research and development expenses as well as external clinical and regulatory costs, presented by our most significant programs: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For the year</w:t>
            </w:r>
          </w:p>
        </w:tc>
        <w:tc>
          <w:tcPr>
            <w:tcW w:w="1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For the three</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780" w:type="dxa"/>
            <w:vAlign w:val="bottom"/>
            <w:gridSpan w:val="4"/>
            <w:vMerge w:val="restart"/>
          </w:tcPr>
          <w:p>
            <w:pPr>
              <w:ind w:left="660"/>
              <w:spacing w:after="0"/>
              <w:rPr>
                <w:sz w:val="20"/>
                <w:szCs w:val="20"/>
                <w:color w:val="auto"/>
              </w:rPr>
            </w:pPr>
            <w:r>
              <w:rPr>
                <w:rFonts w:ascii="Arial" w:cs="Arial" w:eastAsia="Arial" w:hAnsi="Arial"/>
                <w:sz w:val="16"/>
                <w:szCs w:val="16"/>
                <w:b w:val="1"/>
                <w:bCs w:val="1"/>
                <w:color w:val="auto"/>
              </w:rPr>
              <w:t>For the year ended</w:t>
            </w:r>
          </w:p>
        </w:tc>
        <w:tc>
          <w:tcPr>
            <w:tcW w:w="13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ended</w:t>
            </w:r>
          </w:p>
        </w:tc>
        <w:tc>
          <w:tcPr>
            <w:tcW w:w="2740" w:type="dxa"/>
            <w:vAlign w:val="bottom"/>
            <w:gridSpan w:val="4"/>
            <w:vMerge w:val="restart"/>
          </w:tcPr>
          <w:p>
            <w:pPr>
              <w:jc w:val="right"/>
              <w:ind w:right="480"/>
              <w:spacing w:after="0"/>
              <w:rPr>
                <w:sz w:val="20"/>
                <w:szCs w:val="20"/>
                <w:color w:val="auto"/>
              </w:rPr>
            </w:pPr>
            <w:r>
              <w:rPr>
                <w:rFonts w:ascii="Arial" w:cs="Arial" w:eastAsia="Arial" w:hAnsi="Arial"/>
                <w:sz w:val="16"/>
                <w:szCs w:val="16"/>
                <w:b w:val="1"/>
                <w:bCs w:val="1"/>
                <w:color w:val="auto"/>
              </w:rPr>
              <w:t>For the three months ended</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780" w:type="dxa"/>
            <w:vAlign w:val="bottom"/>
            <w:gridSpan w:val="4"/>
            <w:vMerge w:val="continue"/>
          </w:tcPr>
          <w:p>
            <w:pPr>
              <w:spacing w:after="0"/>
              <w:rPr>
                <w:sz w:val="14"/>
                <w:szCs w:val="14"/>
                <w:color w:val="auto"/>
              </w:rPr>
            </w:pP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740" w:type="dxa"/>
            <w:vAlign w:val="bottom"/>
            <w:gridSpan w:val="4"/>
            <w:vMerge w:val="continue"/>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December 31, 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740" w:type="dxa"/>
            <w:vAlign w:val="bottom"/>
            <w:tcBorders>
              <w:bottom w:val="single" w:sz="8" w:color="auto"/>
            </w:tcBorders>
            <w:gridSpan w:val="4"/>
          </w:tcPr>
          <w:p>
            <w:pPr>
              <w:ind w:left="780"/>
              <w:spacing w:after="0"/>
              <w:rPr>
                <w:sz w:val="20"/>
                <w:szCs w:val="20"/>
                <w:color w:val="auto"/>
              </w:rPr>
            </w:pPr>
            <w:r>
              <w:rPr>
                <w:rFonts w:ascii="Arial" w:cs="Arial" w:eastAsia="Arial" w:hAnsi="Arial"/>
                <w:sz w:val="16"/>
                <w:szCs w:val="16"/>
                <w:b w:val="1"/>
                <w:bCs w:val="1"/>
                <w:color w:val="auto"/>
              </w:rPr>
              <w:t>March 31, 2021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in CHF</w:t>
            </w:r>
          </w:p>
        </w:tc>
        <w:tc>
          <w:tcPr>
            <w:tcW w:w="14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5"/>
              </w:rPr>
              <w:t>in USD</w:t>
            </w: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00" w:type="dxa"/>
            <w:vAlign w:val="bottom"/>
          </w:tcPr>
          <w:p>
            <w:pPr>
              <w:spacing w:after="0"/>
              <w:rPr>
                <w:sz w:val="13"/>
                <w:szCs w:val="13"/>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in CHF</w:t>
            </w:r>
          </w:p>
        </w:tc>
        <w:tc>
          <w:tcPr>
            <w:tcW w:w="1380" w:type="dxa"/>
            <w:vAlign w:val="bottom"/>
            <w:gridSpan w:val="2"/>
          </w:tcPr>
          <w:p>
            <w:pPr>
              <w:jc w:val="right"/>
              <w:ind w:right="480"/>
              <w:spacing w:after="0" w:line="158" w:lineRule="exact"/>
              <w:rPr>
                <w:sz w:val="20"/>
                <w:szCs w:val="20"/>
                <w:color w:val="auto"/>
              </w:rPr>
            </w:pPr>
            <w:r>
              <w:rPr>
                <w:rFonts w:ascii="Arial" w:cs="Arial" w:eastAsia="Arial" w:hAnsi="Arial"/>
                <w:sz w:val="16"/>
                <w:szCs w:val="16"/>
                <w:b w:val="1"/>
                <w:bCs w:val="1"/>
                <w:color w:val="auto"/>
              </w:rPr>
              <w:t>in USD</w:t>
            </w: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thousands</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thousands</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thousands</w:t>
            </w: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thousands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b w:val="1"/>
                <w:bCs w:val="1"/>
                <w:color w:val="auto"/>
              </w:rPr>
              <w:t>External research and development</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expense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MP0250</w:t>
            </w:r>
          </w:p>
        </w:tc>
        <w:tc>
          <w:tcPr>
            <w:tcW w:w="126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MP0274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MP0310</w:t>
            </w:r>
          </w:p>
        </w:tc>
        <w:tc>
          <w:tcPr>
            <w:tcW w:w="126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MP0317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MP0420 / MP0423</w:t>
            </w:r>
          </w:p>
        </w:tc>
        <w:tc>
          <w:tcPr>
            <w:tcW w:w="1260" w:type="dxa"/>
            <w:vAlign w:val="bottom"/>
          </w:tcPr>
          <w:p>
            <w:pPr>
              <w:jc w:val="right"/>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5,881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research and development expense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30,834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20,233</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9,100</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9,738</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charge all research and development expenses, including internal patent filing and patent maintenance costs, to research and development expenses when incurred, as the criteria for capitalization are currently not met.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in Switzerland on the SIX.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and financial expenses</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income consists primarily of interest earned on our cash and cash equivalents and short-term time deposits as well as realized and unrealized gains of foreign exchange. The financial expenses are driven by realized and unrealized foreign exchange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58"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are entitled under Swiss laws to carry forward any losses incurred for a period of seven years and can offset our losses carried forward against future taxes. As of December 31, 2020, in Switzerland, we had tax loss carry-forwards totaling CHF 157.9 million. No deferred tax assets have been recognized for these tax loss carry-forwards because it is not probable that such loss carry-forwards can be utilized in the foreseeable future. In addition, no deferred tax assets were recognized on other deductible temporary differences (e.g- pension liabilities) due to the significant tax losses carried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three months ended March 31, 2021 and 2020</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our statements of income for the three months ended March 31, 2021 and 2020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For the three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2021</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2020</w:t>
            </w: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and other income</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and other income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977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(2,828)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(16,163)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(17,162)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(20,713)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(13,345)</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(3,209)</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three months ended March 31, 2021, we recognized total revenues and other income of CHF 1.0 million, a decrease of 74% compared to the three months ended March 31, 2020, in which we recognized total revenues and other income of CHF 3.8 million. All revenue from research and development collaborations recognized in 2021 and 2020 was the result of our collaboration agreement with Amgen. During the three months ended March 31, 2021, we entered into an agreement with Novartis to facilitate manufacturing of MP0420 drug supply at a third party supplier. The related agency services during the three months ended March 31, 2021 amounted to CHF 162,000 and are presented as other income.</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 revenue based on the ratio of the associated costs incurred to date and the total forecasted costs to satisfy the performance obligation. During the three months ended March 31, 2021, we increased our estimate of the total future costs required to satisfy the performance obligation under the collaboration agreement with Amgen. The increase in total estimated future costs is primarily related to continued development of various dosing schedules under phase 1a of the collaboration. This increase resulted in a lower amount of revenue recognized for the three months ended March 31, 2021, as compared to the prior 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operating expenses in the three months ended March 31, 2021 increased by CHF 3.5 million, or 22%, to CHF 19.5 million, compared to CHF 16.0 million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March 31, 2021, these costs included CHF 1.1 million in non-cash effective share-based compensation costs and increased employee benefits, as well as CHF 0.7 million in depreciation and amortization. The two major expense categories were personnel expenses of CHF 8.7 million, representing 45% of total operating expenses, and research consumables and external development expenses, totaling CHF 8.6 million, or 44% of total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research and development expenses in the three months ended March 31, 2021 increased by CHF 2.8 million, or 21%, to CHF 16.2 million, compared to CHF 13.4 million in the three months ended March 31, 2020. This increase was primarily due to the progress of our Covid-19 antiviral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Total selling, general and administrative expenses in the three months ended March 31, 2021 increased by CHF 0.7 million, or 26%, to CHF 3.3 million, compared to CHF 2.7 million in the three months ended March 31, 2020. This increase was mainly due to increased costs in personnel and professional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three months ended March 31, 2021, we recorded a positive financial result of CHF 2.0 million, compared to a net negative financial result of CHF 1.1 million for the three months ended March 31, 2020. The positive financial result during the three months ended March 31, 2021 is primarily attributable to net foreign exchange gains of CHF 2.2 million on our cash and cash equivalents and short-term time deposits positions held in currencies other than the Swiss franc.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2020 and 2019</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sets forth our statements of income for the years ended December 31, 2020 and 2019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20,383</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(76,542)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(65,973)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(71,005)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(36,288)</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(26,476)</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year ended December 31, 2020, we recognized total revenues of CHF 9.3 million, a decrease of 54% compared to the year ended December 31, 2019, in which we recognized total revenues of CHF 20.4 million. All revenue recognized in 2020 and 2019 was the result of our collaboration agreement with Amgen. We recognize revenue based on the ratio of the associated costs incurred to date and the total forecasted costs to satisfy the performance obligation. During the second half of 2020, we increased our estimate of the total future costs required to satisfy the performance obligation under the collaboration agreement with Amgen. This increase resulted in a lower amount of revenue recognized for the year ended December 31, 2020, as compared to the prior year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Total operating expenses in the year ended December 31, 2020 increased by CHF 10.6 million, or 19%, to CHF 67.7 million, compared to CHF 57.0 million in the year ended December 31, 2019. These costs included CHF 4.2 million in non-cash effective share-based compensation costs and increased employee benefits as well as CHF 2.9 million in depreciation and amortization. The two major expense categories were personnel expenses of CHF 33.6 million, representing 50% of total operating expenses, and research consumables and external development expenses, totaling CHF 26.6 million, or 39% of total operating expenses. Personnel expenses for the year ended December 31, 2020 increased, in part, due to increases in our number of full-time employees as compared to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research and development expenses in the year ended December 31, 2020 increased by CHF 12.6 million, or 29%, to CHF 56.1 million, compared to CHF 43.5 million in the year ended December 31, 2019. This increase was mainly due to progress in our pipeline of product candidates, including our investment in our COVID-19 antiviral product candidates, and increased personnel costs, in part due to increases in our number of full-time employees as compared to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Total selling, general and administrative expenses in the year ended December 31, 2020 decreased by CHF 2.0 million, or 15%, to CHF 11.6 million, compared to CHF 13.6 million in the year ended December 31, 2019. This decrease was, mainly due to lower professional fees.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year ended December 31, 2020, we recorded a negative financial result of CHF 4.4 million, compared to a net positive financial result of CHF 0.4 million in 2019. This loss is primarily attributable to net foreign exchange losses of CHF 4.5 million on our cash and cash equivalents and short-term time deposits positions held in currencies other than the Swiss franc.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years ended December 31, 2020 and 2019, we did not pay or accrue any income taxes in Switzerland. Molecular Partners Inc., our U.S. subsidiary, is subject to U.S. federal corporate income taxes and state income taxes for Massachusetts and California.</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inception through March 31, 2021, we have raised an aggregate of CHF 271.0 million of net proceeds from the sale of our common shares to founders and investors and collected cash under our partnership agreements in an aggregate of CHF 277.6 million. Our primary uses of cash are to fund our ongoing research and development activities. We currently have no ongoing material financing commitments, such as lines of credit or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2021 and December 31, 2020, we had CHF 145.6 million and CHF 173.7 million, respectively, in cash and cash equivalents and short-term time deposits. We are investing our cash in risk-free money market instruments in line with our treasury guidelines to accommodate our financial needs over time.</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the completion of this offering, we expect to incur additional costs associated with operating as a public company in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March 31, 2021 and December 31, 2020 and cash flows for the three months ended March 31, 2021 and March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center"/>
              <w:ind w:left="1433"/>
              <w:spacing w:after="0"/>
              <w:rPr>
                <w:sz w:val="20"/>
                <w:szCs w:val="20"/>
                <w:color w:val="auto"/>
              </w:rPr>
            </w:pPr>
            <w:r>
              <w:rPr>
                <w:rFonts w:ascii="Arial" w:cs="Arial" w:eastAsia="Arial" w:hAnsi="Arial"/>
                <w:sz w:val="16"/>
                <w:szCs w:val="16"/>
                <w:b w:val="1"/>
                <w:bCs w:val="1"/>
                <w:color w:val="auto"/>
                <w:w w:val="89"/>
              </w:rPr>
              <w:t>As of</w:t>
            </w:r>
          </w:p>
        </w:tc>
        <w:tc>
          <w:tcPr>
            <w:tcW w:w="1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36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96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in CHF thousands</w:t>
            </w:r>
          </w:p>
        </w:tc>
        <w:tc>
          <w:tcPr>
            <w:tcW w:w="152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in USD thousands</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41,869</w:t>
            </w:r>
          </w:p>
        </w:tc>
        <w:tc>
          <w:tcPr>
            <w:tcW w:w="12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154,601</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360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90"/>
              </w:rPr>
              <w:t>for the three months ended</w:t>
            </w:r>
          </w:p>
        </w:tc>
        <w:tc>
          <w:tcPr>
            <w:tcW w:w="2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for the three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3600" w:type="dxa"/>
            <w:vAlign w:val="bottom"/>
            <w:gridSpan w:val="5"/>
            <w:vMerge w:val="continue"/>
          </w:tcPr>
          <w:p>
            <w:pPr>
              <w:spacing w:after="0"/>
              <w:rPr>
                <w:sz w:val="14"/>
                <w:szCs w:val="14"/>
                <w:color w:val="auto"/>
              </w:rPr>
            </w:pPr>
          </w:p>
        </w:tc>
        <w:tc>
          <w:tcPr>
            <w:tcW w:w="2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36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(31,729)</w:t>
            </w:r>
          </w:p>
        </w:tc>
        <w:tc>
          <w:tcPr>
            <w:tcW w:w="120" w:type="dxa"/>
            <w:vAlign w:val="bottom"/>
          </w:tcPr>
          <w:p>
            <w:pPr>
              <w:spacing w:after="0"/>
              <w:rPr>
                <w:sz w:val="19"/>
                <w:szCs w:val="19"/>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investing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(29,253)</w:t>
            </w:r>
          </w:p>
        </w:tc>
        <w:tc>
          <w:tcPr>
            <w:tcW w:w="12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short-term time deposits at March 31, 2021 contain two positions in CHF and one position in USD with two major Swiss banks. The short-term time deposits at December 31, 2020 contain three positions in CHF with two major Swiss banks.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three months ended March 31, 2021, operating activities used CHF 29.9 million of cash, primarily as a result of the negative net result attributable to shareholders of CHF 16.6 million and an increase in prepaid expenses and accrued income of CHF 11.0 million, which mainly resulted from a prepayment of CHF 9.3 million related to the manufacturing of commercial supply for MP0420.</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During the three month ended March 31, 2020, operating activities used CHF 12.8 million of cash, primarily as a result of the negative net result attributable to shareholders of CHF 13.3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March 31, 2021 and 2020, cash received from investing activities related to investments in short-term time deposits was CHF 0.6 million and CHF 2.0 million, respectively.</w:t>
      </w:r>
    </w:p>
    <w:p>
      <w:pPr>
        <w:spacing w:after="0" w:line="103"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During the three months ended March 31, 2021, a CHF 0.2 million outflow was recorded for the acquisition of property, plant and equipment and intangible assets. During the three months ended March 31, 2020, a CHF 0.6 million outflow was recorded for the acquisition of property, plant and equipment and intangible assets and a CHF 0.4 million inflow was recorded from interest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2021, net cash used in financing activities was CHF 0.2 million, primarily related to the payment of the principal portion of our lease liabilities. During the three months ended March 31, 2020, net cash used in financing activities was CHF 0.1 million, of which CHF 0.3 million related to the payment of the principal portion of our lease liabilities, offset by CHF 0.2 million received from proceeds from the exercise of stock options, net of transaction costs.</w:t>
      </w:r>
    </w:p>
    <w:p>
      <w:pPr>
        <w:spacing w:after="0" w:line="200" w:lineRule="exact"/>
        <w:rPr>
          <w:sz w:val="20"/>
          <w:szCs w:val="20"/>
          <w:color w:val="auto"/>
        </w:rPr>
      </w:pPr>
    </w:p>
    <w:p>
      <w:pPr>
        <w:spacing w:after="0" w:line="3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December 31, 2020 and December 31, 2019 and cash flows for the years ended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062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As of and for the year</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35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w w:val="94"/>
              </w:rPr>
              <w:t>As of and for the year ended December 31, 2020</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 December 31,</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7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in CHF thousands</w:t>
            </w: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in USD thousands</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95,080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(21,746)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65,614</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short-term time deposits at December 31, 2020 contain three positions in CHF with two major Swiss banks. The short-term time deposits at December 31, 2019 contain one position in USD with a major Swiss bank.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year ended December 31, 2020, operating activities used CHF 29.0 million of cash, primarily as a result of the negative net result attributable to shareholders of CHF 62.8 million partially offset by an increase in contract liability of CHF 17.6 million, and non-cash share based compensation costs of CHF 2.9 million.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year ended December 31, 2019, operating activities used CHF 1.2 million of cash, primarily as a result of the negative net result attributable to shareholders of CHF 36.3 million but largely offset by an increase in trade and other receivables of CHF 49.6 million arising from the Amgen collaboration agreement and a reduction in contract liability of CHF 20.4 million related to that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2020 and 2019, cash used in investing activities related to investments in short-term time deposits was CHF 20.6 million and CHF 19.4 million, respectively.</w:t>
      </w:r>
    </w:p>
    <w:p>
      <w:pPr>
        <w:spacing w:after="0" w:line="10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During the year ended December 31, 2020, a CHF 1.7 million outflow was recorded for the acquisition of property, plant and equipment and intangible assets and a CHF 0.6 million inflow was recorded from interest received. During the year ended December 31, 2019, a CHF 1.9 million outflow was recorded for the acquisition of property, plant and equipment and intangible assets and a CHF 1.4 million inflow was recorded from interest received.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year ended December 31, 2020, net cash from financing activities was CHF 113.2 million, primarily related to the proceeds from issuance of new shares, net of transaction costs, that were issued following a financing round completed in July 2020 and as a result of the Option and Equity Rights agreement concluded with Novartis in October 2020.</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year ended December 31, 2019, net cash used in financing activities was CHF 0.2 million, of which CHF 1.2 million related to the payment of the principal portion of our lease liabilities, offset by CHF 1.0 million received as proceeds from the exercise of stock options, net of transaction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net proceeds from this offering, together with our existing cash and cash equivalents and short-term time deposits, will be sufficient to fund</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our operating expenses and capital expenditure requirements for at least into . However, our present and future funding requirements may change and will depend on many factors, including, among other things:</w:t>
      </w:r>
    </w:p>
    <w:p>
      <w:pPr>
        <w:spacing w:after="0" w:line="118"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timelines for preclinical and clinical development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in product development plans needed to address any set-backs in our research and development activities;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scope, prioritization and number of clinical trials and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rate of progress and cost of the clinical trials, and other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terms and timing of any collaborative, licensing and other arrangements that may be established;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and timing of preparing, filing, prosecuting, maintaining, defending and enforcing patent claims and other intellectual property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need or decision to acquire or license complementary compounds, technologies or complementary businesses or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regulatory approval, manufacturing or commercialization of our product candidates for which we receive marketing approval through partners;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timing and outcome of regulatory review of our product candidates;</w:t>
      </w:r>
    </w:p>
    <w:p>
      <w:pPr>
        <w:spacing w:after="0" w:line="157"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and timing of future commercialization activities, including drug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regulatory policies or laws that affect our operations;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competing medical treatment and market developments.</w:t>
      </w:r>
    </w:p>
    <w:p>
      <w:pPr>
        <w:spacing w:after="0" w:line="15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expect our operating expenses to increase over the next several years as we expand our research and development activities. In addition, we do not know whether any additional financings will be available at all or available on commercially acceptable terms when needed. To the extent that we raise additional capital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1440" w:right="439" w:bottom="1440" w:gutter="0" w:footer="0" w:header="0"/>
        </w:sectPr>
      </w:pPr>
    </w:p>
    <w:bookmarkStart w:id="109" w:name="page110"/>
    <w:bookmarkEnd w:id="109"/>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we did not have any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IFRS.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prospectus.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operate primarily in Switzerland, Europe and in the United States and are therefore exposed to market risk, which represents the risk of loss that may impact our financial position due to adverse changes in financial market prices and rates.</w:t>
      </w:r>
    </w:p>
    <w:p>
      <w:pPr>
        <w:spacing w:after="0" w:line="103" w:lineRule="exact"/>
        <w:rPr>
          <w:sz w:val="20"/>
          <w:szCs w:val="20"/>
          <w:color w:val="auto"/>
        </w:rPr>
      </w:pPr>
    </w:p>
    <w:p>
      <w:pPr>
        <w:ind w:right="2140"/>
        <w:spacing w:after="0" w:line="414" w:lineRule="auto"/>
        <w:rPr>
          <w:sz w:val="20"/>
          <w:szCs w:val="20"/>
          <w:color w:val="auto"/>
        </w:rPr>
      </w:pPr>
      <w:r>
        <w:rPr>
          <w:rFonts w:ascii="Arial" w:cs="Arial" w:eastAsia="Arial" w:hAnsi="Arial"/>
          <w:sz w:val="18"/>
          <w:szCs w:val="18"/>
          <w:color w:val="auto"/>
        </w:rPr>
        <w:t xml:space="preserve">As of March 31, 2021, we had cash and cash equivalents plus short-term time deposits of CHF 145.6 million ($154.6 million).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operate primarily in Switzerland, Europe and in the United States and our functional currency is the Swiss franc, and as a result, we are exposed to (1) transactional foreign exchange risk when we enter into a transaction in a currency other than our functional currency and (2) translational foreign exchange risk when we translate our financial statements from USD into our functional currency.</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order to reduce our foreign exchange exposure, we may enter into currency contracts with selected high-quality financial institutions to hedge against foreign currency exchange rate risks. Our hedging policy is (1) to maximize natural hedging by matching expected future cash flows in the different currencies and (2) to consider hedging some of the remaining expected net currency exposure as the need arises. However, due to market volatilities and uncertainties in the cash flows, a 100% hedging of the currency exposure is impossible.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maximum credit risk on financial instruments corresponds to the carrying amounts of our cash and cash equivalents and receivables. We have not entered into any guarantees or similar obligations that would increase the risk over and above the carrying amounts. As of March 31, 2021, substantially all of our cash and cash equivalents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Estimates and Judgments</w:t>
      </w:r>
    </w:p>
    <w:p>
      <w:pPr>
        <w:spacing w:after="0" w:line="1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International Financial Reporting Standards, or IFRS. Our accounts are prepared on a going concern basis. The preparation of our financial statements in conformity with IFRS requires us to make estimates, assumptions and judgments that affect the reported amounts of assets, liabilities, contingent liabilities, income and expenses. These estimates take into consideration historical experience, developments in economic circumstances, known trends and current events, actions that we may undertake in the future and various other factors that we believe are reasonable under the circumstances. These estimates are subject to risks and uncertainties. Our actual results may deviate from these estimates.</w:t>
      </w:r>
    </w:p>
    <w:p>
      <w:pPr>
        <w:spacing w:after="0" w:line="9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policy is the most critical to the judgments and estimates used in the preparation of our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our estimate of total estimated costs to complete satisfaction of the underlying performance obligations) is required to reflect the substance of the arrangement in the recognition of revenues. Under the cost-based method, our estimate of total costs to be incurred under certain agreements is for example, based on actual project-related contracts and history of similar contracts of other collaborations as well as industry experience. We are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5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as an emerging growth company, we may rely on other exemptions and reduced reporting requirements provided by the JOBS Act. Subject to certain conditions set forth in the JOBS Act, we are not required to, among other things, (1) provide an auditor's attestation report on our system of internal controls over financial reporting pursuant to Section 404(b) of the Sarbanes-Oxley Act and (2) comply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These exemptions will apply for a period of five years following the completion of this offering or until we are no longer an "emerging growth company." We would cease to be an emerging growth company if any of the following occurs: 1) we have more than $1.07 billion in annual gross revenue, 2) we have more than $700 million in market value of our equity securities held by non-affiliates or 3) we issue more than $1.0 billion of non-convertible debt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19" w:lineRule="exact"/>
        <w:rPr>
          <w:sz w:val="20"/>
          <w:szCs w:val="20"/>
          <w:color w:val="auto"/>
        </w:rPr>
      </w:pPr>
    </w:p>
    <w:p>
      <w:pPr>
        <w:ind w:left="3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89"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 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 Additionally, our board of directors includes current and former senior executives of Biogen, Millennium, Novartis AG, Roche, and Sanofi.</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from which we can select specific DARPin proteins capable of binding to a target protein. Single-domain DARPins bind to a single target and serve as building blocks to create our multi-specific DARPin product candidates that can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 As we have advanced our development programs, we have leveraged the insights from each product candidate to inform the development of the next product candidate, starting from a single-domain candidate (abicipar), and advancing to multi-specific candidates which are able to bind more than one target (MP0250 and the subsequently developed product candidates), bind a single target on more than one epitope (MP0274, and more recently MP0420 and MP0423), engage with the immune system (AMG 506 (MP0310) and MP0317, and our acute myeloid leukemia, or AML, program currently in development), and finally, bind a unique set of targets that other modalities cannot (our peptide-MHC, or pMHC, program).</w:t>
      </w:r>
    </w:p>
    <w:p>
      <w:pPr>
        <w:spacing w:after="0" w:line="1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in-house DARPin programs are initially focused on infectious diseases, which include our first COVID-19 antiviral therapeutic product candidates in partnership with Novartis, and our oncology program, where we see great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accumulated preclinical and clinical experience developing and testing DARPin product candidates has allowed us to establish an intellectual property portfolio that, as of March 1, 2021, included over 150 granted and over 100 additional pending U.S. and foreign patent applications, across 25 patent families, covering both core and derivative aspects of our DARPin platform.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DARPin platform was invented over twenty years ago by the co-founders of our company, then researchers from the University of Zurich.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37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a potential approval. Our partner, Abbvie, is currently evaluating potential next steps.</w:t>
      </w:r>
    </w:p>
    <w:p>
      <w:pPr>
        <w:spacing w:after="0" w:line="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While our DARPin molecules have distinct features to elicit specific therapeutic actions for a particular target, each DARPin therapeutic modality can be utilized across multiple programs. 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 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1440" w:right="41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3008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 xml:space="preserve">Figure 1. </w:t>
      </w:r>
      <w:r>
        <w:rPr>
          <w:rFonts w:ascii="Arial" w:cs="Arial" w:eastAsia="Arial" w:hAnsi="Arial"/>
          <w:sz w:val="16"/>
          <w:szCs w:val="16"/>
          <w:i w:val="1"/>
          <w:iCs w:val="1"/>
          <w:color w:val="auto"/>
        </w:rPr>
        <w:t>Once we develop a DARPin modality for one program, we can utilize it for some or all of the programs that follow. This figure depicts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various therapeutic modalities in use across our pipeline programs. Blue shading reflects the stage of development of each program.</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initiated enrollment in May 2021, with interim data expected in August 2021 and full data expected in 2022. We are presently enrolling up to 40 patients in a Phase 2 study for ensovibep in the Netherlands, which was initiated in March 2021. Ensovibep has demonstrated a favorable tolerability profile in its Phase 1 trial of 23 healthy volunteers since commencement in 2020. In June 2021, we announced that ensovibep received U.S. Food and Drug Administration, or FDA, fast track designation for the treatment of COVID-19 in the hospitalized and ambulatory settings. Furthermore, we have partnered with Novartis to develop, manufacture and commercialize ensovibep and MP0423, which we believe will allow us to develop this product candidate as a therapeutic for the treatment of COVID-19.</w:t>
      </w:r>
    </w:p>
    <w:p>
      <w:pPr>
        <w:spacing w:after="0" w:line="1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product candidates in our infectious disease program offer a differentiated approach to treating COVID-19 through a single molecule that can engage multiple parts of the SARS-CoV-2 virus simultaneously to neutralize the virus through multiple mechanisms. This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pacing w:after="0" w:line="12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COVID-19 antiviral therapeutic product candidates are also engineered with a half-life-enhancing DARPin domain that binds to human serum albumin, or HSA, to support long-lasting activity. HSA is found in elevated levels in the lung, which may provide a further benefit in a respiratory viral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Ensovibep was observed to be well tolerated in a Phase 1 clinical trial. Additional clinical work is ongoing in a Phase 2 clinical trial exploring the ability of ensovibep to halt the spread of the SARS-CoV-2 virus in infected patients, with data expected in the second half of 2021. A Phase 2/3 global registrational study, named EMPATHY, initiated enrollment in May 2021, with interim data expected in August 2021 and full data expected in 2022. Subject to the results of these trials and clinical need, our clinical development strategy aims to achieve potential emergency use authorization for ensovibep.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57150</wp:posOffset>
            </wp:positionV>
            <wp:extent cx="5186045" cy="865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 </w:t>
      </w:r>
      <w:r>
        <w:rPr>
          <w:rFonts w:ascii="Arial" w:cs="Arial" w:eastAsia="Arial" w:hAnsi="Arial"/>
          <w:sz w:val="18"/>
          <w:szCs w:val="18"/>
          <w:i w:val="1"/>
          <w:iCs w:val="1"/>
          <w:color w:val="auto"/>
        </w:rPr>
        <w:t>Ensovibep is constructed from three RBD binding DARPin domains and two HSA binding half-life extension DARPin domains.</w:t>
      </w:r>
    </w:p>
    <w:p>
      <w:pPr>
        <w:spacing w:after="0" w:line="1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Given the potential of DARPin therapeutics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74295</wp:posOffset>
            </wp:positionV>
            <wp:extent cx="5160645" cy="2065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6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i w:val="1"/>
          <w:iCs w:val="1"/>
          <w:color w:val="auto"/>
        </w:rPr>
        <w:t>The DARPin platform has multiple advantages in creating novel antiviral candidate. Among these, DARPin molecules have a mechanistic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advantage of multi-specific, cooperative surface protein binding and inhibition of viral entry into human cells. We are exploring additional viral infectious diseases, including RSV, that can be targeted by our DARPin molecules.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38"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w:t>
      </w:r>
    </w:p>
    <w:p>
      <w:pPr>
        <w:spacing w:after="0" w:line="8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have used our DARPin library to generate DARPin proteins directed against a broad range of oncology targets. From this library our DARPin technology allows us to construct DARPin product candidates that are only activated within a tumor or its supporting tissue, thereby avoiding systemic activation and minimizing adverse events.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developing AMG 506 (MP0310), the lead product candidate in our oncology program and which is partnered with Amgen, as a tumor-localized, 4-1BB immune-cell activator for the potential treatment of FAP-positive cancers, which include multiple solid tumors. It is widely recognized that 4-1BB represents a promising anti-cancer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but previous development attempts have resulted in minimal efficacy and/or high levels of systemic toxicity.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to establish safety and the tumor-restricted activation of immune-cells with initial results demonstrating proof of MOA after a single injection and a manageable adverse event profile consistent with MOA. We are currently conducting dosing regimen adaptations to identify the dosing regimen for sustained 4-1BB activation. We believe AMG 506 (MP0310) could be particularly relevant as a combination agent with potential combination studies in collaboration with Amgen.</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MP0317, the second product candidate in our oncology program, is designed to bind CD40 and FAP. Similar to AMG 506 (MP0310), we believe that the FAP binding mechanism should allow MP0317 to activate immune cells specifically in the tumor and not in the rest of the body, potentially delivering greater efficacy with fewer side effects.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previously developed two oncology product candidates demonstrating clinical proof-of-concept and validating the systemic administration of DARPin therapeutics in patients with both solid and hematologic malignancies. MP0250, a legacy product candidate in our oncology program, was designed to bind to and inhibit vascular endothelial growth factor, or VEGF, and hepatocyte growth factor, or HGF. VEGF supports the growth of new blood vessels that are required to sustain tumor growth and HGF promotes tumor growth. We believe that by binding to and thereby inhibiting the VEGF and HGF pathways,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MP0274 evidenced the ability to bind on HER2 in a fully inactive conformation and act as an allosteric inhibitor. We believe that by binding to these two specific epitopes at the same time, MP0274 locked HER2 in an abnormal position thereby rendering it inactive, thereby inhibiting HER-mediated signaling and leading to apoptosis, or programmed cell death, in susceptible tumor cells that over express HER2.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A strategic decision has been made to de-prioritize the product candidates in favor of investing in programs where a clear clinical differentiation could be made through DARPin constructs.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designed to activate relevant immune cells against specific cellular targets in a localized, specifically timed fashion. To date, many programs targeting CD3 have suffered from toxicity issues arising from CD3 activation outside the tumor and over-stimulation of the immune system. When dealing with complex, heterogeneous tumors, breakthrough efficacy has also been challenging to attain. In 2020, we made significant progress to integrate the CD3-targeting approach to T-cell engagement into a multi-DARPin format that addresses these key challenges. We are initially focused on targeting AML and other liquid tumors, with initial data presented at the American Academy for Cancer Research, or AACR, annual meeting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Figure 4. </w:t>
      </w:r>
      <w:r>
        <w:rPr>
          <w:rFonts w:ascii="Arial" w:cs="Arial" w:eastAsia="Arial" w:hAnsi="Arial"/>
          <w:sz w:val="18"/>
          <w:szCs w:val="18"/>
          <w:i w:val="1"/>
          <w:iCs w:val="1"/>
          <w:color w:val="auto"/>
        </w:rPr>
        <w:t>We can control the activation of our multi-specific T cell to be restricted to a specific location and/or activated slowly to avoid adverse events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related to misdirected or overly strong activity.</w:t>
      </w:r>
    </w:p>
    <w:p>
      <w:pPr>
        <w:spacing w:after="0" w:line="9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As pMHC complexes sample intracellular proteins and present them on the surface, specifically recognizing these complexes and binding to them allows pMHC DARPin molecules to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The small size and rigid binding surfaces of DARPin molecules make them well suited for binding to pMHC targets that have been difficult to target using the large, flexible structures of antibodies. We have demonstrated proof-of-concept for the ability of DARPin therapeutics to effectively drug pMHC complexes. We have screened multiple single-domain DARPin proteins for optimal binding to a range of pMHC complexes, which may be used to design DARPin product candidates with specific and potent diseased cell killing effects.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Team</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our name indicates, partnership and collaboration are at the core of our company, our research activities and our therapeutic designs. Molecular Partners is an international working environment comprised of 150+ individuals from numerous disciplines who contribute to our shared values of scientific excellence, respectful teamwork and personal aspiration. Whether it stems from our long-standing goal of improving the lives of patients with cancer, or to our more recent efforts to deploy our technology against COVID-19,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aspects of our strategy include the following:</w:t>
      </w:r>
    </w:p>
    <w:p>
      <w:pPr>
        <w:spacing w:after="0" w:line="158" w:lineRule="exact"/>
        <w:rPr>
          <w:sz w:val="20"/>
          <w:szCs w:val="20"/>
          <w:color w:val="auto"/>
        </w:rPr>
      </w:pPr>
    </w:p>
    <w:p>
      <w:pPr>
        <w:ind w:left="340" w:right="40" w:hanging="332"/>
        <w:spacing w:after="0" w:line="269" w:lineRule="auto"/>
        <w:tabs>
          <w:tab w:leader="none" w:pos="3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Unlock novel biological solutions and expand therapeutic applications of clinically validated DARPin approaches. Since our founding in 2004 by the inventors of our DARPin platform, we have been the only company contractually permitted to use, make, develop, sell or offer to sell DARPin molecules with the exception of academic institutions and research organizations. Consequently, we believe we are the world leaders in DARPin engineering and research. With this expertise, we have developed a strategy of unlocking various technical hurdles which may limit other discovery platforms, and then expanding our clinical product candidates based upon each technological solution. Examples of this include the ability to locally activate highly potent, immunostimulatory molecules, potentially opening therapeutic windows which were previously unavailable to patients. With our COVID-19 antiviral therapeutic product candidates, our preclinical data demonstrate how a multi-specific molecule will allow for high viral neutralization, even when faced with multiple viral mutations. Our emerging CD3 discovery programs demonstrate the ability of our DARPin platform to carefully localize an antitumor response and prevent unwanted activation throughout the body, either through slow activation technologies or conditional activation technologies. With each technical breakthrough we achieve, we are able to apply key learnings across our portfolio, leveraging each insight to improve future programs.</w:t>
      </w:r>
    </w:p>
    <w:p>
      <w:pPr>
        <w:spacing w:after="0" w:line="100" w:lineRule="exact"/>
        <w:rPr>
          <w:rFonts w:ascii="Arial" w:cs="Arial" w:eastAsia="Arial" w:hAnsi="Arial"/>
          <w:sz w:val="17"/>
          <w:szCs w:val="17"/>
          <w:color w:val="auto"/>
        </w:rPr>
      </w:pPr>
    </w:p>
    <w:p>
      <w:pPr>
        <w:ind w:left="340" w:hanging="332"/>
        <w:spacing w:after="0" w:line="270" w:lineRule="auto"/>
        <w:tabs>
          <w:tab w:leader="none" w:pos="3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Advance the clinical development of our COVID-19 antiviral therapeutic product candidates in our infectious disease program in collaboration with Novartis. Our COVID-19 product candidates, ensovibep and MP0423, are two unique tri-specific DARPin product candidates which in preclinical studies have demonstrated the ability to inactivate the SARS-CoV-2 virus through binding to multiple target sites simultaneously. We believe this result offers the potential to both treat and prevent COVID-19 and reduce the likelihood of the development of viral drug resistance, which can result from selection pressure on any single molecular target. A global Phase 2/3 registrational clinical trial for our lead COVID-19 antiviral therapeutic product candidate, ensovibep, initiated enrollment in May 2021. Our clinical strategy aims to achieve potential emergency use authorization for 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113"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clinical development of AMG 506 (MP0310) and MP0317, the most advanced product candidates in our oncology program. Utilizing our knowledge of DARPin designs, we have developed a method of locally clustering potent immunostimulatory molecules, which are designed to activate themselves only in the presence of specific conditions. Our lead oncology product candidate, AMG 506 (MP0310), is being developed to locally activate immune cells in the tumor by binding to FAP on tumor stromal cells where it acts as a localizer, and co-stimulating T cells via 4-1BB, an immune modulator protein, for the treatment of FAP-positive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0"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In a Phase 1 clinical trial, tumor biopsies from patients demonstrated that AMG 506 (MP0310) activated immune cells locally with minimal systemic side effects. Having unlocked this method of treatment, we are rapidly advancing our second lead oncology product candidate, MP0317, a tumor-localized immune-cell CD40 activator that is also being developed for the potential treatment of FAP-positive cancers. We expect to commence a Phase 1 clinical trial for MP0317 in the second half of 2021.</w:t>
      </w:r>
    </w:p>
    <w:p>
      <w:pPr>
        <w:spacing w:after="0" w:line="106" w:lineRule="exact"/>
        <w:rPr>
          <w:sz w:val="20"/>
          <w:szCs w:val="20"/>
          <w:color w:val="auto"/>
        </w:rPr>
      </w:pPr>
    </w:p>
    <w:p>
      <w:pPr>
        <w:ind w:left="340" w:right="60" w:hanging="332"/>
        <w:spacing w:after="0" w:line="271" w:lineRule="auto"/>
        <w:tabs>
          <w:tab w:leader="none" w:pos="3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Expand the clinical applications of our newly unlocked next-generation CD3 capabilities. We plan to generate novel product 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 Preclinical work shows that targeting three distinct tumor-associated antigens, or TAAs, against AML in combination with a CD3 DARPin results in a high anti-tumor response and offers the potential for an improved safety window, and limiting tumor escape. Beyond the multi-specific administration of our CD3 molecules, we have developed the capacity for both ‘slow activation’ and ‘conditional activation’ of T cells in the circulation, giving multiple levels of control over this key immuno-oncologic mechanism, which other T-cell activator approaches have struggled to leverage without accompanying systemic toxicity.</w:t>
      </w:r>
    </w:p>
    <w:p>
      <w:pPr>
        <w:spacing w:after="0" w:line="110" w:lineRule="exact"/>
        <w:rPr>
          <w:rFonts w:ascii="Arial" w:cs="Arial" w:eastAsia="Arial" w:hAnsi="Arial"/>
          <w:sz w:val="17"/>
          <w:szCs w:val="17"/>
          <w:color w:val="auto"/>
        </w:rPr>
      </w:pPr>
    </w:p>
    <w:p>
      <w:pPr>
        <w:ind w:left="340" w:right="20" w:hanging="332"/>
        <w:spacing w:after="0" w:line="291"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Leverage our proprietary libraries to expand the applicability of DARPin therapeutics. DARPin domains are designed to be added to new product candidates in a modular fashion to address novel disease biology. This process enables us to construct and screen multi-specific DARPin molecules for new disease areas and to quickly identify and progress differentiated candidates for our infectious disease and oncology programs. For example, in our oncology program, we are exploring the use of FAP colocalization to selectively activate immune cells in tumors. In pursuit of a sustainable and 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98" w:lineRule="exact"/>
        <w:rPr>
          <w:rFonts w:ascii="Arial" w:cs="Arial" w:eastAsia="Arial" w:hAnsi="Arial"/>
          <w:sz w:val="16"/>
          <w:szCs w:val="16"/>
          <w:color w:val="auto"/>
        </w:rPr>
      </w:pPr>
    </w:p>
    <w:p>
      <w:pPr>
        <w:ind w:left="340" w:hanging="332"/>
        <w:spacing w:after="0" w:line="289"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 a strategic approach to in-house versus partnered development. To unlock and expand the full potential of our 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 This strategy has allowed us to pursue major therapeutic innovations for the DARPin platform, often in parallel, across our infectious disease, oncology and ophthalmology focus areas. To this end, we continue to support our partners across our portfolio as we pursue the advancement of AMG 506 (MP0310) in solid tumors in collaboration with Amgen, the development and approval of our COVID-19 antiviral therapeutic product candidates with Novartis, and abicipar, which in two Phase 3 trials in nAMD demonstrated the capacity to support maintenance of stable vision, but which requires additional development by our partner Abbvie if it is to achieve regulatory approval.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DARPin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DARPin platform was invented over twenty years ago by the co-founders of our company, then researchers from the University of Zurich. DARPin molecules were discovered as a result of our co-founders’ quest to find a solution beyond antibodies. The ease of use and manufacturing of DARPin binders, along with the ability to design multi-specific molecules, made DARPin technology an ideal platform from which to pursue treatments beyond traditional protein therapeutics. The DARPin base technology we use in our DARPin platform to generate our DARPin product candidates is exclusively licensed to us by the University of Zurich.</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Leveraging our DARPin platform, we have designed DARPin product candidates with multiple MOAs that we believe have the potential to offer patients therapeutic options with higher efficacy and fewer adverse events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compared to standard-of-care therapies. Among these multiple MOAs, DARPin product candidates have been designed to block growth factors, localize activity, conditionally activate, neutralize viruses, adjust half-life as needed, and initiate cell death. These features, and others, are applied across our portfolio and utilized when required to elicit a specific therapeutic response.</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design our DARPin product candidates using natural ankyrin repeat proteins. Like monoclonal antibodies, or mAbs, ankyrin repeat proteins are a known class of natural binding protein, prevalent in humans and many other species, which display highly specific and strong target binding capacity. Ankyrin repeat proteins, through the ankyrin repeat fold, and mAbs, through the more geometrically complex immuno-globulin, or Ig, fold, have a framework and scaffold that preserves their structure and allows them to carry a variety of potential binding sites. The Ig fold in a mAb consists mainly of structures referred to as beta-sheets, and the ankyrin repeat fold in a single-domain DARPin consists primarily of alpha-helical structures. Since alpha-helical structures are less complex and are frequently easier to manipulate without loss of structure, produce and preserve compared to structures built with beta-sheet folds, we believe that our DARPin product candidates have significant potential advantages over current and future mAb treatments. The figure below highlights a few of the differences between mAbs and single-domain DARPin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79375</wp:posOffset>
            </wp:positionV>
            <wp:extent cx="5349240" cy="2263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i w:val="1"/>
          <w:iCs w:val="1"/>
          <w:color w:val="auto"/>
        </w:rPr>
        <w:t>In comparison to monoclonal antibodies, we believe the smaller size and simple architecture of DARPin binders make them ideally suited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perform multiple biological functions in a single molecule.</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the architectural flexibility and novel geometry of single-domain DARPin modules will allow us to develop differentiated drugs with advantages over traditional mAb therapies and to explore therapeutic opportunities unavailable to most other platforms. We are able to generate different single-domain DARPin modules and linkers to create our DARPin product candidates, with multiple MOAs either directed at a single target, or several targets at once. For example, we have generated DARPin molecules with six targets or MOAs in a single product candidate. The resulting molecular complex of this six factor DARPin molecule is still approximately half the size of most single-target mAbs. The figure below illustrates the binding of mAbs and multi-DARPin product candidates to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320" w:top="1440" w:right="41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i w:val="1"/>
          <w:iCs w:val="1"/>
          <w:color w:val="auto"/>
        </w:rPr>
        <w:t>DARPin product candidates can perform multiple biological functions at the same time.</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DARPin platform has the potential to yield novel product candidates with broad therapeutic application given their ability to overcome many of the limitations of conventional protein and mAb-based therapeutics.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 and Advantages of our DARPin Platform over Traditional Approaches</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the effectiveness of our solution is driven by the architectural flexibility of our DARPin product candidates and the biophysical properties of single-domain DARPin modules, which allow us to select the optimal product candidates from among approximately 10,000 potential combinations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408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7. </w:t>
      </w:r>
      <w:r>
        <w:rPr>
          <w:rFonts w:ascii="Arial" w:cs="Arial" w:eastAsia="Arial" w:hAnsi="Arial"/>
          <w:sz w:val="18"/>
          <w:szCs w:val="18"/>
          <w:i w:val="1"/>
          <w:iCs w:val="1"/>
          <w:color w:val="auto"/>
        </w:rPr>
        <w:t>We leverage the innate properties DARPin binders to create specific therapeutic outputs, based on a target patient.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benefits of our DARPin platform include: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Ability of DARPin product candidates to target multiple escape pathways in parallel. </w:t>
      </w:r>
      <w:r>
        <w:rPr>
          <w:rFonts w:ascii="Arial" w:cs="Arial" w:eastAsia="Arial" w:hAnsi="Arial"/>
          <w:sz w:val="18"/>
          <w:szCs w:val="18"/>
          <w:color w:val="auto"/>
        </w:rPr>
        <w:t>When cancer cells or a virus are attacked by conventional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often develop resistance by loss of target, mutational escape or activating multiple escape pathways at once. To create effective products, we believe that we must understand the dynamics of these escape pathways and then target their key components in parallel. We believe our DARPin product candidates are ideally suited for this approach because of their ability to bind to multiple targets and inhibit multiple escape pathways at once. Our approach allows us to efficiently test product candidates to determine the affinity and target binding of our single-domain DARPin proteins in the relevant setting. The most effective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00"/>
          </w:cols>
          <w:pgMar w:left="320" w:top="1440" w:right="379" w:bottom="1440" w:gutter="0" w:footer="0" w:header="0"/>
          <w:type w:val="continuous"/>
        </w:sectPr>
      </w:pPr>
    </w:p>
    <w:bookmarkStart w:id="122" w:name="page123"/>
    <w:bookmarkEnd w:id="122"/>
    <w:p>
      <w:pPr>
        <w:spacing w:after="0" w:line="13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combination of single-domain DARPin proteins is assembled into one DARPin product candidate for further product development. These DARPin product candidates can demonstrate cooperative binding, leading to high potency and preventing escape as demonstrated by our antiviral product candidates.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Capacity to find and address new biology on known targets. </w:t>
      </w:r>
      <w:r>
        <w:rPr>
          <w:rFonts w:ascii="Arial" w:cs="Arial" w:eastAsia="Arial" w:hAnsi="Arial"/>
          <w:sz w:val="16"/>
          <w:szCs w:val="16"/>
          <w:color w:val="auto"/>
        </w:rPr>
        <w:t>Using our DARPin approach, we are able to select single-domain DARPin proteins that bind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known targets in novel ways, thereby unlocking additional therapeutic solutions. For example, in our CD3 discovery programs, we ‘mask’ a CD3 DARPin with another blocking DARPin utilizing a flexible linker to connect the two, which allows us to ‘unlock’ the active therapeutic in a slow activation capacity and dampen potential cytokine release syndrome, or CRS, thereby limiting the adverse event profile. We can also achieve conditional activation where the molecule will activate only in the presence of a particular TAA. Our first nominated CD3 product candidate will utilize the power of multi-specific targeting to potentially enhance efficacy and minimize tumor resistance through simultaneously targeting three known hallmarks of AML, which, to our knowledge, have never been administered as one molecule until now. Previous preclinical studies have also demonstrated the capacity of single-domain DARPin proteins to bind to different epitopes on the same target. MP0274, for example, targets human epidermal growth factor 2, or HER2, on two distinct epitopes with two DARPin-proteins connected by a short linker locking HER2 in an abnormal position, forming a ‘molecular handcuff’ and thereby inducing cell death, or apoptosis. This approach is also used as one of the mechanisms of action for MP0423, which we believe can ‘handcuff’ the spike protein of SAR-CoV-2 to prevent infection. We believe these results are not functionally feasible with conventional antibody approaches.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Flexible architecture to engage and locally activate immune cells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Immuno-oncology relies on the activation of a patient’s immune response to fight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tumors. In some cases, blocking negative checkpoint signals can produce a deep and durable effect in stopping the growth of, and regressing, tumors. We believe that our DARPin platform is well suited for the combined approaches of blocking negative checkpoint signals and engaging and activating immune cells. We have unlocked approaches that utilize single-domain DARPin proteins to direct tumor-localized activation of immune cells, resulting in the selective activation of immune system cells within a tumor, which may potentially avoid systemic adverse events. We have designed two of our DARPin product candidates, AMG 506 (MP0310) and MP0317, to cluster, thereby locally activating immune cells more effectively. AMG 506 (MP0310) is a tumor-restricted 4-1BB immune-cell activator for the potential treatment of FAP-positive cancers, and MP0317 activates CD40, also in an FAP-dependent manner. As these DARPin product candidates are directed to tumor supportive structures rather than tumor cells, we believe they will be less subject to the development of treatment resistance and will thereby retain activity.</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Tailored pharmacokinetic profile. </w:t>
      </w:r>
      <w:r>
        <w:rPr>
          <w:rFonts w:ascii="Arial" w:cs="Arial" w:eastAsia="Arial" w:hAnsi="Arial"/>
          <w:sz w:val="18"/>
          <w:szCs w:val="18"/>
          <w:color w:val="auto"/>
        </w:rPr>
        <w:t>We are able to tailor the half-life of our DARPin product candidates in the body to match the relevant target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biology ranging from hours to weeks. Depending on the relevant therapeutic application we are targeting, we have multiple approaches to choose from, each of which leads to a different pharmacokinetic profile for our DARPin product candidates. This allows us to equip each of our product candidates with the half-life that we believe is ideal for the specific therapeutic function.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Established and efficient process and ease of storage. </w:t>
      </w:r>
      <w:r>
        <w:rPr>
          <w:rFonts w:ascii="Arial" w:cs="Arial" w:eastAsia="Arial" w:hAnsi="Arial"/>
          <w:sz w:val="18"/>
          <w:szCs w:val="18"/>
          <w:color w:val="auto"/>
        </w:rPr>
        <w:t>All or our DARPin product candidates are constructed to benefit from high-yield and low-cost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microbial manufacturing. Unlike manufacturing using traditional mammalian cell lines, productions of DARPin molecules via microbial manufacturing allow for several key competitive advantages, including the ability to manufacture clinical batches every seven to ten days, versus a thirty-day mammalian campaign. This advantage is an imperative as we look to make our drugs available on a global scale. Additional benefits include high production yield of raw drug substance, 12-15g/L for example, as well as high thermal stability, with certain programs demonstrating shelf stability at 4 degrees centigrade for several years.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Our DARPin Platform: A Source of Virtually Unlimited Binding Proteins</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fundamental building block for all of our DARPin product candidates is the single-domain DARPin protein. A single-domain DARPin protein consists of an engineered protein base structure, which we refer to as the scaffold. The DARPin scaffold is formed from consecutive copies of ankyrin repeat proteins, which are 33 amino acid long chains stacked together. The scaffold can be generated to provide a binding site to specifically recognize, or permit binding to, a desired target protein or other molecule, similar to how mAbs can be generated to recognize a single target antigen.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have developed and upgraded our DARPin libraries to include over 1 trillion single-domain DARPin proteins, each of which can potentially bind to a specific target structure. From this library we can screen and select within weeks single-domain DARPin proteins that are highly specific to and have high affinity with any given target structure. We use the selected single-domain DARPin proteins to build our DARPin product candidates.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Single-domain DARPin proteins are small, having a molecular weight of approximately 14–18 kilodaltons, or approximately the tenth of the size of a mAb. We believe this smaller size potentially enables increased tissue penetration and a higher potency at lower doses. The natural biophysical properties of single-domain DARPin proteins,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on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85725</wp:posOffset>
            </wp:positionV>
            <wp:extent cx="5160645" cy="1808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06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Figure 8. </w:t>
      </w:r>
      <w:r>
        <w:rPr>
          <w:rFonts w:ascii="Arial" w:cs="Arial" w:eastAsia="Arial" w:hAnsi="Arial"/>
          <w:sz w:val="18"/>
          <w:szCs w:val="18"/>
          <w:i w:val="1"/>
          <w:iCs w:val="1"/>
          <w:color w:val="auto"/>
        </w:rPr>
        <w:t>Our DARPin libraries allows us to identify single-domain DARPin binders with desired characteristics. We can then construct and screen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numerous DARPin candidates to identify an optimal molecule.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Use Single-Domain DARPin Proteins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 select single-domain DARPin proteins to bind to a given target and form the basis of a product candidate, or we can genetically assemble single-domain DARPin proteins into DARPin product candidates using different linkers. This allows us to screen over 10,000 different DARPin product candidates for each target and select those with the optimal properties. We believe this process is more difficult with multi-specific mAbs or other complex proteins. Further, we can add additional elements either to increase the half-life of our product candidates to match the therapeutic need or to add functionality.</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antibodies generally have a long systemic half-life, most repeat proteins have a short half-life. The half-life of a single-domain DARPin protein is usually a few hours when injected into the blood stream. To increase the half-life of DARPin product candidates, we have created proprietary, patent-protected, specific single-domain DARPin proteins that bind to HSA. HSA is the most abundant protein in human blood and has a half-life of approximately three weeks. When administered intravenously, the HSA-DARPin protein binds to its target to extend its half-life to the same period as HSA. If this single-domain DARPin protein is used in a DARPin product candidate, the entire product candidate benefits from HSA's longer half-life. This approach allows us to tailor the half-life of our individual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image below depicts how we generate DARPin product candidates using our DARPin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237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 xml:space="preserve">Figure 9. </w:t>
      </w:r>
      <w:r>
        <w:rPr>
          <w:rFonts w:ascii="Arial" w:cs="Arial" w:eastAsia="Arial" w:hAnsi="Arial"/>
          <w:sz w:val="18"/>
          <w:szCs w:val="18"/>
          <w:i w:val="1"/>
          <w:iCs w:val="1"/>
          <w:color w:val="auto"/>
        </w:rPr>
        <w:t>To best design molecules with a desired therapeutic effect, DARPin molecules can be constructed in a multitude of conformations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combinations, including variable linkers, as well as the ability to attach DARPin modules to additional therapeutic modalities. E.g. cell therapies, antibodies, or other protein therapeutics.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Candidates and Research Program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proprietary and partnered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37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Our Infectious Disease Program</w:t>
      </w:r>
    </w:p>
    <w:p>
      <w:pPr>
        <w:spacing w:after="0" w:line="1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2020 we launched our first product candidate in our infectious disease program, which targets SARS-CoV-2, the causative agent of COVID-19. Our rapid candidate design and assessment process allowed us to quickly substantiate</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1440" w:right="459" w:bottom="1440" w:gutter="0" w:footer="0" w:header="0"/>
          <w:type w:val="continuous"/>
        </w:sectPr>
      </w:pPr>
    </w:p>
    <w:bookmarkStart w:id="125" w:name="page126"/>
    <w:bookmarkEnd w:id="125"/>
    <w:p>
      <w:pPr>
        <w:spacing w:after="0" w:line="13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potential of an antiviral DARPin approach and its differentiation compared to other therapeutic approaches. Based on the strong potential of DARPin therapeutics as antivirals, we have begun exploring other global viral threats with high unmet need as potential targets for new product candidates in our infectious disease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Product Candidates: Ensovibep (MP0420) and MP0423</w:t>
      </w:r>
    </w:p>
    <w:p>
      <w:pPr>
        <w:spacing w:after="0" w:line="158" w:lineRule="exact"/>
        <w:rPr>
          <w:sz w:val="20"/>
          <w:szCs w:val="20"/>
          <w:color w:val="auto"/>
        </w:rPr>
      </w:pPr>
    </w:p>
    <w:p>
      <w:pPr>
        <w:ind w:left="340" w:right="104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Ensovibep, a unique tri-specific DARPin product candidate that targets three different epitopes on the receptor-binding domain, or RBD, simultaneously.</w:t>
      </w:r>
    </w:p>
    <w:p>
      <w:pPr>
        <w:spacing w:after="0" w:line="102"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MP0423, a unique multi-mode tri-specific DARPin product candidate that targets three different parts of the coronavirus spike protein simultaneously, including the RBD.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Candidates display strong affinity to the spike protein and prevent infectivity in vitro and in vivo and remain active on known prevalent variants.</w:t>
      </w:r>
    </w:p>
    <w:p>
      <w:pPr>
        <w:spacing w:after="0" w:line="169"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Phase 1 clinical trial results demonstrate ensovibep to be well tolerated, with a favorable pharmacodynamic profile; global registrational study initiated enrollment in May 2021.</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early 2020, recognizing the global need for all scientific discovery to lend itself to solving the emerging SARS-Cov-2 pandemic, which would come to be known as COVID-19, we immediately began investigating what effect, if any, DARPin binders could produce as an antiviral therapy against SARS-Cov-2. In a matter of weeks, a rapid screening of thousands of our single-domain binders resulted in a reservoir of several hundred DARPin modules with high affinity to the SARS-CoV-2 spike protein. We then assembled several dozen intelligently designed DARPin molecules, screened them again for spike-protein binding, and identified our two lead tri-specific COVID-19 antiviral therapeutic product candidates, ensovibep and MP0423. Concept to candidate identification took us less than eight weeks. Ensovibep was constructed from three distinct single-domain DARPin binders that target the RBD of the spike protein, whereas MP0423, which also takes advantage of strong RBD binding, includes two additional MOAs: blocking protease cleavage and the formation of a ‘molecular handcuff’ around the spike protein, preventing its ability to infect healthy cells. These product candidates are engineered to target multiple epitopes on the SARS-CoV-2 spike protein that are crucial for infection. Our COVID-19 antiviral therapeutic product candidates are also built with two half-life enhancing DARPin domains that bind to HSA to support long-lasting activity. As HSA is found in elevated levels in the lung, its binding may provide a further benefit treating SARS-CoV-2 since it is a respiratory virus. In preclinical models, both of these product candidates have demonstrated strong binding and neutralizing potency. For risks regarding the inherent uncertainty of development timelines of future product candidates, see the sections of this prospectus titled “Government Regulation” and “Risk Factors—Risks Related to the Development and Clinical Testing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2914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10. </w:t>
      </w:r>
      <w:r>
        <w:rPr>
          <w:rFonts w:ascii="Arial" w:cs="Arial" w:eastAsia="Arial" w:hAnsi="Arial"/>
          <w:sz w:val="18"/>
          <w:szCs w:val="18"/>
          <w:i w:val="1"/>
          <w:iCs w:val="1"/>
          <w:color w:val="auto"/>
        </w:rPr>
        <w:t>In vivo preclinical data demonstrating ability of ensovibep (MP420) to deliver high suppression of virus in the lung of animal models, providing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essentially complete blocking of viral infectivity.</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advancing the clinical development of ensovibep and MP0423 in collaboration with Novartis. Pursuant to the collaboration agreement, Novartis has the option to develop, manufacture and commercialize these product candidates. In addition to making a non-refundable cash payment and an equity investment totaling CHF 60.0 million, if Novartis exercises its option to invest in the clinical development and manufacturing of ensovibep we would potentially receive a near-term milestone to our company of CHF 150.0 million in the next 12 months. If Novartis chooses to commercialize ensovibep or MP0423, we would receive royalties of 22% on future commercial sales in certain agreed territories. We and Novartis have also agreed to forgo any profits in developing nations. We have also reached an agreement with the Swiss Government regarding rights to purchase up to 3.2 million doses of ensovibep if it is approved in Switzerland. In addition to our partnership with Novartis, we are collaborating with AGC Biologics and Baccinex to support development of our anti-COVID-19 programs.</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 Phase 1 clinical trial involving 23 volunteers, ensovibep was observed to be well tolerated within, and above, expected clinically relevant doses.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 addition, a global Phase 2/3 registrational study, named EMPATHY, initiated enrollment in May 2021, and will seek to enroll over 2,100 patients in the ambulatory setting, with the goal of demonstrating the ability of ensovibep to prevent disease worsening, hospitalizations, and death. This trial includes two phases, as illustrated in Figure 11 below, with interim data anticipated in the first 400 patients in August 2021, and full results available in 2022. In an effort to explore the potential benefit of ensovibep in additional settings, we have also aligned with the National Institute of Allergy and Infectious diseases, or NIAID, through an ongoing international master protocol/platform study, ACTIV-3. ACTIV-3 is a Phase 3 clinical trial designed to investigate safety and efficacy of ensovibep in hospitalized adults with COVID-19. In June 2021, we announced that the first patient had been dosed in the ACTIV-3 clinical trial. This trial is examining ensovibep plus a standardized treatment, remdesivir, and will recruit 500 patients versus an additional arm of 500 patients treated with remdesivir plus standard-of-care as the control. The protocol includes an interim analysis for futility after the first 300 patients have been randomized and recruited. If the ensovibep treatment arm appears to have a positive benefit:risk profile at the time of the interim analysis, the trial will enroll an additional 700 participants. Trial participants will be followed for 90 days following enrollment to analyze their response to treatment. The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efficacy endpoint is the time from randomization to participants' sustained recovery for 14 days after release from the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100330</wp:posOffset>
            </wp:positionV>
            <wp:extent cx="5349240" cy="3008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Figure 11. </w:t>
      </w:r>
      <w:r>
        <w:rPr>
          <w:rFonts w:ascii="Arial" w:cs="Arial" w:eastAsia="Arial" w:hAnsi="Arial"/>
          <w:sz w:val="18"/>
          <w:szCs w:val="18"/>
          <w:i w:val="1"/>
          <w:iCs w:val="1"/>
          <w:color w:val="auto"/>
        </w:rPr>
        <w:t>All dates are preliminary and subject to health authority input. As part of the global strategy to ensure the potential of ensovibep is realized,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draft development plans include a clinical study for approval in the non-hospitalized setting, strategies for subcutaneous bridging, and upscaled manufacturing through our partner Novartis, allowing for sufficient global capacity.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of doses of MP0423 has been completed.</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developed world is moving quickly toward vaccinating a large part of its population, we believe there is still a significant need for therapeutics such as our COVID-19 antiviral therapeutic product candidates, since there are both many parts of the world that have not been able to obtain vaccines due to lack of funding and/or delivery issues and many people who cannot or will not get vaccinated. As our therapeutic product candidates are relatively inexpensive to produce and easy to deliver, we believe they can serve as a solution to specifically treat and stop the spread of the disease in under-vaccinated areas. Furthermore, even in areas where there are very high percentages of vaccinated population, there will continue to be a need for efficacious and easily administrated antiviral therapies.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Preclinical potency data suggests that our DARPin product candidates may be administrable as a rapid infusion, or potentially as a subcutaneous injection, which would be a significant advantage for ease of delivery. Once an acceptable dose is identified from Part A of the EMPATHY trial, which initiated enrollment in May 2021, clinical work can begin to optimize a subcutaneous dose formulation for ensovibep. We believe that the greatest potential for ensovibep will be its administration in the community care setting. While vaccines against SARS-CoV-2 continue to emerge, the need for an efficacious and easily administered antiviral will be key to the patients who still contract this virus. To that end, we believe a subcutaneous, potent antiviral will be a key component to the treatment paradigm.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Candidate Characteristics and Development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Ensovibep (MP420)</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Ensovibep is a unique tri-specific DARPin product candidate that has demonstrated cooperative target binding and sub-picomolar potency which is among the strongest virus inhibition reported to date. As shown in preclinical studies, ensovibep is a tri-specific DARPin product candidate that targets three different epitopes on the RBD</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60"/>
          </w:cols>
          <w:pgMar w:left="320" w:top="1440" w:right="419" w:bottom="1440" w:gutter="0" w:footer="0" w:header="0"/>
          <w:type w:val="continuous"/>
        </w:sectPr>
      </w:pPr>
    </w:p>
    <w:bookmarkStart w:id="128" w:name="page129"/>
    <w:bookmarkEnd w:id="12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simultaneously, but with different antigen-binding sequences, as shown in Figure 12 below, a concept we refer to as cooperative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100330</wp:posOffset>
            </wp:positionV>
            <wp:extent cx="5186045" cy="865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i w:val="1"/>
          <w:iCs w:val="1"/>
          <w:color w:val="auto"/>
        </w:rPr>
        <w:t>Full length design of ensovibep, a penta-DARPin including 3 RBD binding DARPin modules, as well as 2 HSA DARPin modules to extend half-life to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71120</wp:posOffset>
            </wp:positionV>
            <wp:extent cx="4526280" cy="2837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262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13. </w:t>
      </w:r>
      <w:r>
        <w:rPr>
          <w:rFonts w:ascii="Arial" w:cs="Arial" w:eastAsia="Arial" w:hAnsi="Arial"/>
          <w:sz w:val="18"/>
          <w:szCs w:val="18"/>
          <w:i w:val="1"/>
          <w:iCs w:val="1"/>
          <w:color w:val="auto"/>
        </w:rPr>
        <w:t>3D illustration of ensovibep showing its binding and neutralizing action at the ‘crown’ of the SARS-CoV-2 spike protein, which the virus uses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infiltrate human cells.</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preclinical models, we have demonstrated ensovibep’s ability to be a potent neutralizer of wild type, or WT, SARS-CoV-2. In addition, based on its multi-specific design and use of cooperative binding, ensovibep appears to remain highly potent against a number of emerging SARS-CoV-2 mutations, or variants, which have been initially identified in Brazil, South Africa, and the United Kingdom. These individual variants have been tested against ensovibep as well as MP0423. We intend to test new variants against our product candidates as they emerge as well. As demonstrated in Figure 14 below, while individual single-domain DARPin components can lose potency, the overall molecule will retain therapeutically relevant neutralization. We believe this is possible due to the cooperative binding of the molecule, where even if individual binders lose potency, the other binders should keep the molecule active and neutralizing.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1005840</wp:posOffset>
            </wp:positionV>
            <wp:extent cx="4911725" cy="4166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1172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Figure 14. </w:t>
      </w:r>
      <w:r>
        <w:rPr>
          <w:rFonts w:ascii="Arial" w:cs="Arial" w:eastAsia="Arial" w:hAnsi="Arial"/>
          <w:sz w:val="16"/>
          <w:szCs w:val="16"/>
          <w:i w:val="1"/>
          <w:iCs w:val="1"/>
          <w:color w:val="auto"/>
        </w:rPr>
        <w:t>Ensovibep was tested against multiple different mutated spike proteins to examine how the different mutations affect the binding of the full-length construct as well as each of single-domain RBD binders that constitute the candidate. One strain, F486V, is not naturally occurring and was constructed as a negative control. This variant would not be likely to infect healthy cells in humans due to its diminished binding capacities</w:t>
      </w:r>
      <w:r>
        <w:rPr>
          <w:rFonts w:ascii="Arial" w:cs="Arial" w:eastAsia="Arial" w:hAnsi="Arial"/>
          <w:sz w:val="16"/>
          <w:szCs w:val="16"/>
          <w:color w:val="auto"/>
        </w:rPr>
        <w:t>.</w:t>
      </w:r>
    </w:p>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Figure 14 shows, the full-length construct maintains binding to B.1.351 and B.1.1.7, the variants first observed in South Africa and the United Kingdom, respectively. Further, ensovibep also maintains binding when presented with multiple other reported mutations, not including the F486V negative control. Figure 14 also illustrates cooperative binding, demonstrating that some of the single-domain binders lose affinity to some of the mutants, but given the cooperative nature of the full-length construct, its binding strength remains largely the same.</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and our collaborators continually monitor the emerging landscape of new variants of concern. Results from our ongoing efforts to analyze ensovibep’s neutralization capabilities against emergent SARS-CoV-2 variants of concern are summarized in the table below. As shown below, ensovibep continues to neutralize new variants at similar effectivity to that of the wild type strain.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1440" w:right="4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4286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15. </w:t>
      </w:r>
      <w:r>
        <w:rPr>
          <w:rFonts w:ascii="Arial" w:cs="Arial" w:eastAsia="Arial" w:hAnsi="Arial"/>
          <w:sz w:val="18"/>
          <w:szCs w:val="18"/>
          <w:i w:val="1"/>
          <w:iCs w:val="1"/>
          <w:color w:val="auto"/>
        </w:rPr>
        <w:t>SARS-CoV-2 Variant and Mutation Analysis for ensovibep; Pseudotype VSV or lentivirus SARS-CoV-2 neutralization assay</w:t>
      </w:r>
      <w:r>
        <w:rPr>
          <w:rFonts w:ascii="Arial" w:cs="Arial" w:eastAsia="Arial" w:hAnsi="Arial"/>
          <w:sz w:val="18"/>
          <w:szCs w:val="18"/>
          <w:color w:val="auto"/>
        </w:rPr>
        <w:t>.</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2020, we dosed the first cohort of healthy volunteers in a Phase 1, randomized, double-blind, placebo-controlled, first-in-human single ascending dose clinical trial to evaluate the safety, tolerability, and pharmacokinetics of intravenously administered ensovibep in 23 healthy volunteers. The volunteers were divided into three dose cohorts, with each cohort stratified 3:1 in favor of ensovibep. To date, interim results demonstrate that ensovibep is well tolerated. We expect to report data from this Phase 1 clinical trial in the second half of 2021.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Interim data from the EMPATHY global registrational study, which initiated enrollment in May 2021, is expected to be reported in August 2021. Depending on the evolution of the global COVID-19 pandemic, we believe that ensovibep has the potential to be granted emergency use authorization from regulatory authorities.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MP0423</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MP0423 is a unique tri-specific DARPin product candidate that shows cooperative target binding and exhibits among the strongest virus inhibition potency reported by any clinical product candidate to date. MP0423 targets three different parts of the coronavirus spike protein simultaneously, including the RBD, as shown in Figure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below. By tackling multiple different viral spike domains in parallel, MP0423 is designed to provide potential additional protection against viral mutations that can reduce the binding ability of therapeutics to specific epitopes.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66040</wp:posOffset>
            </wp:positionV>
            <wp:extent cx="5186045" cy="104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i w:val="1"/>
          <w:iCs w:val="1"/>
          <w:color w:val="auto"/>
        </w:rPr>
        <w:t>Full length design of MP0423, a penta-DARPin including 3 distinct binding DARPin binders, including 1 RBD binder, 2 additional binders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alternative binding sites, and 2 HSA DARPin modules to extend half-life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71120</wp:posOffset>
            </wp:positionV>
            <wp:extent cx="5349240" cy="3360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17. </w:t>
      </w:r>
      <w:r>
        <w:rPr>
          <w:rFonts w:ascii="Arial" w:cs="Arial" w:eastAsia="Arial" w:hAnsi="Arial"/>
          <w:sz w:val="18"/>
          <w:szCs w:val="18"/>
          <w:i w:val="1"/>
          <w:iCs w:val="1"/>
          <w:color w:val="auto"/>
        </w:rPr>
        <w:t>3D illustration of MP0423 showing its binding and neutralizing action through targeting multiple domains along the SARS-CoV-2 spike protein,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which the virus uses to infiltrate human cells.</w:t>
      </w:r>
    </w:p>
    <w:p>
      <w:pPr>
        <w:spacing w:after="0" w:line="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By binding to multiple epitopes on the spike protein, MP0423 can potentially neutralize SARS-CoV-2 through multiple MOAs. These MOAs include the ability to neutralize the virus at the RBD, blocking protease cleavage and the formation of a ‘molecular handcuff’ around the spike protein, preventing its ability to infect healthy cells. This 3-in-1 mechanism was designed with the rationale that if the RBD were to mutate, and make other therapeutics less potent, MP0423 would still remain active against the virus. Manufacturing of MP0423 clinical batches has been completed in preparation for a potential Phase 1 clinical trial..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Infectious Disease Applications of our DARPin Platform</w:t>
      </w:r>
    </w:p>
    <w:p>
      <w:pPr>
        <w:spacing w:after="0" w:line="14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Given the momentum of the COVID-19 product candidates in our infectious disease program, as well as the clear fit between the DARPin therapeutic profile and compelling antiviral product profiles, we intend to pursue other high value antiviral indications with unmet global need. Our rapid candidate design and assessment process has allowed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1440" w:right="359" w:bottom="1440" w:gutter="0" w:footer="0" w:header="0"/>
          <w:type w:val="continuous"/>
        </w:sectPr>
      </w:pPr>
    </w:p>
    <w:bookmarkStart w:id="132" w:name="page133"/>
    <w:bookmarkEnd w:id="132"/>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us to quickly substantiate the potential of an antiviral DARPin approach and its differentiation against other therapeutic approaches. Based on the strong potential of DARPin therapeutics as antivirals, we have begun exploring other global viral threats with high unmet needs as potential targets for new product candidates. This evaluation includes additional work on pandemic threats, including potential pan-coronavirus treatments, tropical diseases, and respiratory viruses, such as RSV.</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Our Oncology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Background and Treatment</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rapid development of immuno-oncology, or IO, therapies for multiple types of cancer has transformed the oncology treatment landscape and improved the long-term outlook for many cancer patients. Rather than targeting treatments directly at the tumor, IO therapies generally engage the immune system to promote its recognition and eradication of tumor cells. Key features of immune-mediated therapy include specificity, breadth of response, and memory.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features can contribute to complete tumor regressions, often providing more durable clinical outcomes and improved quality of life relative to other therapies. However, despite the early success observed with immune-method therapies, it has become clear that these immuno-oncology treatments can currently help only a minority of patients and are more effective in some tumor types than others. This limit arises from various factors, including differential target expression patterns by cancer cells, variable immune responses to the treatment, and cancer immune-escape via mutagenesis and proliferation of non-targeted cellular populations.</w:t>
      </w:r>
    </w:p>
    <w:p>
      <w:pPr>
        <w:spacing w:after="0" w:line="11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believe that, through years of building our DARPin expertise, we have developed DARPin product candidates that can unlock and expand IO capabilities through several mechanisms, which include targeting immuno-stimulatory proteins through multi-specific DARPin binders and also using delayed and/or conditional activation of our immune engagers. These attributes allow us to optimize the potency, localization and/or exposure of our product candidates and reduce the risk of off-target toxicity in order to improve their therapeutic index and overall profile.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Localized Immune Agonists: AMG 506 (MP0310) and MP0317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primary focus of our oncology program is product candidate development of localized immune agonists. We are currently developing:</w:t>
      </w:r>
    </w:p>
    <w:p>
      <w:pPr>
        <w:spacing w:after="0" w:line="144" w:lineRule="exact"/>
        <w:rPr>
          <w:sz w:val="20"/>
          <w:szCs w:val="20"/>
          <w:color w:val="auto"/>
        </w:rPr>
      </w:pPr>
    </w:p>
    <w:p>
      <w:pPr>
        <w:ind w:left="340" w:right="10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AMG 506 (MP0310), in partnership with Amgen, which allows for tumor-restricted immune-cell 4-1BB activation for the potential treatment of FAP positive cancers;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MP0317, which allows for tumor-restricted immune-cell CD40 activation for the treatment of FAP positive cancers.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Development of our AMG 506 (MP0310) and MP0317 product candidates has leveraged the learnings from our two first-generation product candidates in our oncology program, MP0250 and MP0274. Those candidates have demonstrated DARPin efficacy and tolerability in preclinical and clinical studies in patient populations who were resistant and /or refractory to previous standard of care treatments. However, AMG 506 (MP0310) and MP0317 both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w:t>
      </w:r>
      <w:r>
        <w:rPr>
          <w:rFonts w:ascii="Arial" w:cs="Arial" w:eastAsia="Arial" w:hAnsi="Arial"/>
          <w:sz w:val="16"/>
          <w:szCs w:val="16"/>
          <w:i w:val="1"/>
          <w:iCs w:val="1"/>
          <w:color w:val="auto"/>
        </w:rPr>
        <w:t>Some of our product candidates utilize a novel mechanism of action which may result in greater research and development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issues that could delay or prevent approval, or discovery of unknown or unanticipated adverse effects</w:t>
      </w:r>
      <w:r>
        <w:rPr>
          <w:rFonts w:ascii="Arial" w:cs="Arial" w:eastAsia="Arial" w:hAnsi="Arial"/>
          <w:sz w:val="16"/>
          <w:szCs w:val="16"/>
          <w:color w:val="auto"/>
        </w:rPr>
        <w:t>.”</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due to shifts in the market and the need for further research and development and financial investment, we are now pursuing development of our first-generation product candidates via partnerships and have paused our investments as single sponsors.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 506 (MP0310): DARPin Molecule Targeting 4-1BB x FAP</w:t>
      </w:r>
    </w:p>
    <w:p>
      <w:pPr>
        <w:spacing w:after="0" w:line="158"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 costimulatory target 4-1BB on immune cells activated only in presence of FAP clustering on tumor-associated fibroblasts.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Favorable tolerability profile demonstrated in ongoing Phase 1 clinical trial, with possible weekly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1440" w:right="399" w:bottom="1440" w:gutter="0" w:footer="0" w:header="0"/>
        </w:sectPr>
      </w:pPr>
    </w:p>
    <w:bookmarkStart w:id="133" w:name="page134"/>
    <w:bookmarkEnd w:id="133"/>
    <w:p>
      <w:pPr>
        <w:spacing w:after="0" w:line="13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Engineered to offer a broader therapeutic index than other non-localized 4-1BB engagers.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Data from ongoing Phase 1 clinical trial expected in 2021.</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Immunotherapies, such as checkpoint inhibitors, have produced unprecedented clinical outcomes in cancer. However, despite long term survival in some patients, the majority of patients still develop primary or secondary resistance to current immunotherapy approaches. Historically, development of 4-1BB monotherapies has been met with clinical hurdles, including systemic toxicities, and lack of tumor specificity. Aiming to address these limitations and expand the benefits of immunotherapies to more patients, we developed AMG 506 (MP0310). We expect that a 4-1BB activating DARPin can mitigate some key mechanisms of resistance to current treatments by recruiting and activating the immune system in a highly localized fashion in the tumor microenvironment via multi-specific binders that are designed to interact with immune targets only when they are in the tumor microenvironment.</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4-1BB is a costimulatory receptor and member of the tumor necrosis factor, or TNF, superfamily that is expressed following activation of T cells and Natural Killer, or NK cells. Binding of 4-1BB by its natural ligand 4-1BBL, provided by antigen-presenting cells, or APCs, or by agonistic antibodies, has been reported to enhance proliferation, effector functions, memory formation and survival in CD8+ T cells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4-1BB is considered to be an attractive drug target as its upregulation in T cells is associated with an encounter with antigen in the tumor, which provides a costimulatory signal to the T cells. AMG 506 (MP0310) targets 4-1BB along with FAP. FAP is a membrane bound enzyme, highly expressed on the cell surface of activated but not quiescent fibroblasts. Expression in normal adult tissues is absent or low, but increases in remodeling processes such as wound healing, inflammation, or fibrosis when fibroblasts become activated. Importantly, FAP is highly expressed by cancer-associated fibroblasts, or CAFs, a major constituent of tumor stroma.</w:t>
      </w:r>
    </w:p>
    <w:p>
      <w:pPr>
        <w:spacing w:after="0" w:line="1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AMG 506 (MP0310) is designed to activate itself only the local tumor microenvironment by binding to FAP on tumor stromal cells and to T cells via 4-1BB. We believe that this approach may be effective in re-opening the 4-1BB therapeutic window by excluding systemic 4-1BB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59055</wp:posOffset>
            </wp:positionV>
            <wp:extent cx="5340350" cy="1080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03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18. </w:t>
      </w:r>
      <w:r>
        <w:rPr>
          <w:rFonts w:ascii="Arial" w:cs="Arial" w:eastAsia="Arial" w:hAnsi="Arial"/>
          <w:sz w:val="17"/>
          <w:szCs w:val="17"/>
          <w:i w:val="1"/>
          <w:iCs w:val="1"/>
          <w:color w:val="auto"/>
        </w:rPr>
        <w:t>Full length design of AMG 506 (MP0310), a penta-DARPin molecule with 2 HSA DARPin binders, 2 4-1BB binders, and 1 FAP binder.</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June 2020, we presented preclinical data at the 2020 AACR annual meeting describing the pharmacokinetic and pharmacodynamic research used to establish the optimal dose range for the ongoing multiple ascending dose, Phase 1 clinical trial of this novel tumor-localized immune agonist. In the preclinical study, a translational pharmacokinetic-pharmacodynamic modeling approach to integrate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was demonstrated to support the estimation of a minimal anticipated biological effect level and the relevant dose range for first in human studies.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Preliminary, non-adjudicated clinical data from the ongoing Phase 1 clinical trial were also presented in December 2020 at our R&amp;D day, which support our preclinical observations. True to its design, the FAP binding localization was shown to be effective; AMG 506 (MP0310) colocalizes with the tumor as shown in Figure 19 below. At fairly low dose levels, AMG 506 (MP0310) begins to colocalize with FAP. This FAP binding is observed to be dose dependent, with a saturation of the tumor expressed FAP in high AMG 506 (MP0310) concentrations.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288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19. </w:t>
      </w:r>
      <w:r>
        <w:rPr>
          <w:rFonts w:ascii="Arial" w:cs="Arial" w:eastAsia="Arial" w:hAnsi="Arial"/>
          <w:sz w:val="17"/>
          <w:szCs w:val="17"/>
          <w:i w:val="1"/>
          <w:iCs w:val="1"/>
          <w:color w:val="auto"/>
        </w:rPr>
        <w:t>AMG 506 (MP0310) is seen to colocalize, and saturate FAP in the tumor microenvironment of patients in a dose dependent manner.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analyzing paired biopsies of some patients, significant tumor-localized increases in immune activation were seen across multiple immune cell types after a single injection, while systemic inflammatory markers were unchanged, and no AMG 506 (MP0310) activity was seen in peripheral tissues. As of November 30, 2020, the data cut-off date, AMG 506 (MP0310) was well tolerated with the protocol defined infusion-related reactions, or IRRs, observed in 12 of 23 patients. All of the IRRs were manageable and consistent with an immune-engaging drug. Notably, no other type of significant systemic toxicity was observed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85725</wp:posOffset>
            </wp:positionV>
            <wp:extent cx="5349240" cy="2417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i w:val="1"/>
          <w:iCs w:val="1"/>
          <w:color w:val="auto"/>
        </w:rPr>
        <w:t>Pharmacodynamic activity of AMG 506 (MP0310) is shown to activate T cells and NK cells, while avoiding systemic activation. ↑ T and 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population; ↑ IFNγ activation and cytotoxicity observed in cohort 3.</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 dosing work is ongoing in the current Phase 1 clinical trial to identify the dosing regimen to obtain the durable activity after several injections of our tumor localized 4-1BB agonist. We expect to study weekly dosing of AMG 506 (MP0310), compared with three weekly dosing, and the potential to reduce the proportion of patients developing IRRs and extend the period of exposure of AMG 506 (MP0310) in the body. We are encouraged by repeated signals of drug localization and pathway activation in biopsies and anecdotal signs of clinical efficacy, which inform the study. However, while we have observed biological activity in patient samples following administration of an initial dose in our ongoing MP0310 Phase 1 clinical trial, such biological activity may not be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similarly observed and maintained following administration of additional doses. See “Risk Factors—Risks Related to the Development and Clinical Testing of Our Product Candidates—</w:t>
      </w:r>
      <w:r>
        <w:rPr>
          <w:rFonts w:ascii="Arial" w:cs="Arial" w:eastAsia="Arial" w:hAnsi="Arial"/>
          <w:sz w:val="18"/>
          <w:szCs w:val="18"/>
          <w:i w:val="1"/>
          <w:iCs w:val="1"/>
          <w:color w:val="auto"/>
        </w:rPr>
        <w:t>Positive results from early preclinical studies of our product candidates would not necessarily be predictive of the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later preclinical studies and any ongoing or future clinical trials of our product candidates</w:t>
      </w:r>
      <w:r>
        <w:rPr>
          <w:rFonts w:ascii="Arial" w:cs="Arial" w:eastAsia="Arial" w:hAnsi="Arial"/>
          <w:sz w:val="18"/>
          <w:szCs w:val="18"/>
          <w:color w:val="auto"/>
        </w:rPr>
        <w:t>.”</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a limited proportion of the patient population may benefit from this therapeutic candidate as a monotherapy, we designed AMG 506 (MP0310) expecting that the full therapeutic benefit for patients will be achieved by combining AMG 506 (MP0310) with a second oncology drug, and more specifically an additional therapeutic directing the activated T-cell to target tumor cells. Although 4-1BB activation can serve as a mechanism to attract immune cells to the tumor microenvironment, additional signals are likely required for full activation against specific tumors. The addition of a second immune-stimulating product should assist with activating and directing specific anti-cancer T cells to engage with their targets. In other words, we believe that AMG 506 (MP0310) can create a localized immune response in the tumor microenvironment, and a second drug could specifically direct T cells to kill tumor cells.</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announced a strategic collaboration with Amgen, initiated in December 2018, to evaluate AMG 506 (MP0310) in combination with Amgen`s oncology pipeline products, including its investigational bispecific TCE, or BiTE®, molecules. Under the licensing agreement with Amgen, we retain certain rights to develop and commercialize our proprietary DARPin platform product candidates in combination with AMG 506 (MP0310). We believe our partnership with Amgen allows for a meaningful investigation of combination therapies, given Amgen’s expertise in the field of oncology. We expect that the ongoing Phase 1 clinical trial of AMG 506 (MP0310), should it demonstrate sustained activity of 4-1BB, will produce data in 2021 to inform potential combination studies which would be conducted by Amgen assets. Pursuant to the collaboration, we received an upfront payment of $50.0 million and are eligible to receive up to $497.0 million in development, regulatory and commercial milestone payments and royalty payments from low double digit up to the high teens.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MP0317: DARPin Molecule targeting FAP x CD40</w:t>
      </w:r>
    </w:p>
    <w:p>
      <w:pPr>
        <w:spacing w:after="0" w:line="14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activate CD40 only in environments with high level of FAP expression, similar to AMG 506 (MP0310).</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Localized activation by FAP targeting underpins the therapeutic benefits while expanding the range of immune cell activation.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facilitate uses of other immune stimulating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Shown in vitro to repolarize M2 macrophages and revert T-cell suppression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in human Phase 1 clinical trial expected to commence in the second half of 2021.</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tumor-localized immune agonist MP0317 is the second product candidate in our oncology program. MP0317 comprises a localizer to FAP and immune stimulator binding to CD40. FAP is found in the tumor stroma in high density and its binding is intended to create a cluster of CD40 on immune cells enabling immune activation. As depicted in Figure 21, MP0317 is designed to simultaneously engage FAP and CD40 to create tightly bound clusters around tumors, which are necessary to induce CD40-mediated local immune activation.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178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21. </w:t>
      </w:r>
      <w:r>
        <w:rPr>
          <w:rFonts w:ascii="Arial" w:cs="Arial" w:eastAsia="Arial" w:hAnsi="Arial"/>
          <w:sz w:val="18"/>
          <w:szCs w:val="18"/>
          <w:i w:val="1"/>
          <w:iCs w:val="1"/>
          <w:color w:val="auto"/>
        </w:rPr>
        <w:t>MP0317 is seen to activate CD40 only when clustering with FAP, designed to prevent systemic activation.</w:t>
      </w:r>
    </w:p>
    <w:p>
      <w:pPr>
        <w:spacing w:after="0" w:line="1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CD40 plays a critical role in antigen presentation and the monocyte maturation process, and therefore, indirectly, T-cell activation. One of the main functions of CD40 signaling is to enhance antigen-presentation to T cells by activating dendritic cells, or DCs. CD40 engagement on the surface of DCs promotes cytokine and chemokine production, induces expression of costimulatory molecules, and facilitates the cross-presentation of antigens. This step increases the interaction of DCs with T cells by upregulating surface proteins such as CD54 and CD86, thereby activating the surface proteins.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Agonist anti-CD40 antibody treatments have been associated with mild to moderate toxicity in the clinic, which we believe is related to on-target but off-tumor effects causing CRS and liver toxicity.</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831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576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22. </w:t>
      </w:r>
      <w:r>
        <w:rPr>
          <w:rFonts w:ascii="Arial" w:cs="Arial" w:eastAsia="Arial" w:hAnsi="Arial"/>
          <w:sz w:val="18"/>
          <w:szCs w:val="18"/>
          <w:i w:val="1"/>
          <w:iCs w:val="1"/>
          <w:color w:val="auto"/>
        </w:rPr>
        <w:t>Full length design of MP0317, a tetra-DARPin with 2 CD-40 DARPin binders, 1 FAP DARPin binder, and 1 HSA DARPin binder.</w:t>
      </w:r>
    </w:p>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the 2020 AACR virtual annual meeting in June 2020, we presented preclinical data that supports the intended profile and CD40-mediated immune activation capabilities of MP0317. As depicted in Figure 23, MP0317 was found in human B cells, macrophages and DCs to activate the CD40 pathway solely in the presence of FAP-positive cells, confirming its strict dependence on FAP-mediated crosslinking.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700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23. </w:t>
      </w:r>
      <w:r>
        <w:rPr>
          <w:rFonts w:ascii="Arial" w:cs="Arial" w:eastAsia="Arial" w:hAnsi="Arial"/>
          <w:sz w:val="18"/>
          <w:szCs w:val="18"/>
          <w:i w:val="1"/>
          <w:iCs w:val="1"/>
          <w:color w:val="auto"/>
        </w:rPr>
        <w:t>MP0317 demonstrates the ability to activate multiple immune cells, similar to a monoclonal CD40 antibody, while limiting activation when only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presence of FAP</w:t>
      </w:r>
      <w:r>
        <w:rPr>
          <w:rFonts w:ascii="Arial" w:cs="Arial" w:eastAsia="Arial" w:hAnsi="Arial"/>
          <w:sz w:val="18"/>
          <w:szCs w:val="18"/>
          <w:color w:val="auto"/>
        </w:rPr>
        <w:t>.</w:t>
      </w:r>
    </w:p>
    <w:p>
      <w:pPr>
        <w:spacing w:after="0" w:line="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Further, in a mouse model, a mouse-specific surrogate of MP0317 was found to substantially inhibit the progression of FAP-positive tumors without showing any of the toxicities seen with administration of a mouse CD40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74295</wp:posOffset>
            </wp:positionV>
            <wp:extent cx="4869180" cy="2211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Figure 24. </w:t>
      </w:r>
      <w:r>
        <w:rPr>
          <w:rFonts w:ascii="Arial" w:cs="Arial" w:eastAsia="Arial" w:hAnsi="Arial"/>
          <w:sz w:val="18"/>
          <w:szCs w:val="18"/>
          <w:i w:val="1"/>
          <w:iCs w:val="1"/>
          <w:color w:val="auto"/>
        </w:rPr>
        <w:t>In a colorectal cancer model, MP0317 is shown to activate in an FAP/tumor specific manner, when compared with a monoclonal antibody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targeting CD40 which demonstrates broad systemic activation of inflammatory markers.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April 2021, we presented new data at the 2021 AACR virtual annual meeting, showing further supportive evidence of MP0317’s unique therapeutic potential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 system. The results demonstrated an MP0317-dependent repolarization of macrophage phenotypes and reveal a release of T cells from macrophage-mediated suppression. The preclinical study has additionally demonstrated FAP-dependent activation of CD40-expressing B-cell and myeloid cell populations in dissociated human tumors.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20"/>
          </w:cols>
          <w:pgMar w:left="320" w:top="1440" w:right="359" w:bottom="1440" w:gutter="0" w:footer="0" w:header="0"/>
          <w:type w:val="continuous"/>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714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Figure 25. </w:t>
      </w:r>
      <w:r>
        <w:rPr>
          <w:rFonts w:ascii="Arial" w:cs="Arial" w:eastAsia="Arial" w:hAnsi="Arial"/>
          <w:sz w:val="18"/>
          <w:szCs w:val="18"/>
          <w:i w:val="1"/>
          <w:iCs w:val="1"/>
          <w:color w:val="auto"/>
        </w:rPr>
        <w:t>MP0317 leads to downregulation of CD163 and upregulation of CD80 on human M2-like macrophages that consequently results in CD8 T-cell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activation. Monocyte-derived macrophages were generated in vitro and polarized towards a M2 phenotype. They were then co-cultured with cell lines expressing physiological FAP levels or no FAP in the presence of either MP0317 or an anti-human CD40 monoclonal antibody for 48 hours, with a portion stained for CD163 and CD80. The remaining macrophages were co-cultured with autologous T-cells and dynabeads for 5 days and CD25 expression was assessed on T-cells. Results are plotted as the percentage of positive cells for each marker after subtracting the average percentage of positive cells of the untreated control from the experimental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87630</wp:posOffset>
            </wp:positionV>
            <wp:extent cx="5349240" cy="2425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Figure 26. </w:t>
      </w:r>
      <w:r>
        <w:rPr>
          <w:rFonts w:ascii="Arial" w:cs="Arial" w:eastAsia="Arial" w:hAnsi="Arial"/>
          <w:sz w:val="18"/>
          <w:szCs w:val="18"/>
          <w:i w:val="1"/>
          <w:iCs w:val="1"/>
          <w:color w:val="auto"/>
        </w:rPr>
        <w:t>Endogenous FAP level expressed by patient-derived cancer associated fibroblasts (CAFs) is sufficient to drive MP0317-mediated CD40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clustering and activate B-cells. B-cells were co-cultured with patient-derived CAFs in the presence of MP0317 (left) or an anti-human CD40 monoclonal antibody (right). CD86 and CD54 expression on B cells was analyzed by FACS and is plotted here as Δ% of positive cells after subtracting the average % of positive cells of the untreated control from the experimental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84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i w:val="1"/>
          <w:iCs w:val="1"/>
          <w:color w:val="auto"/>
        </w:rPr>
        <w:t>MP0317 activates B-cells and repolarises macrophages in a high FAP ex vivo tissue sample of ovarian cancer. A fresh ovarian tumour tissue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sample was dissociated and single cells were then cultured in the presence of MP0317 or an anti-human CD40 mAb at indicated concentrations for 42 h. CD54 expression was evaluated on B cells and CD80, CD163, CD68 expression on macrophages and plotted here as ΔMFI, after subtracting the average MFI of the untreated control from the experimental MFI values.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MP0317 was incubated with patient-derived cancer associated fibroblasts (CAFs) and with ovarian cancer tissue ex vivo; as shown in Figures 26 and 27 above, with CAFs it was shown to activate B cells in the sample as demonstrated by changes in CD86 and CD54 expression on B cells; and with the ovarian cancer tissue it was shown to activate B cells in the sample and repolarize macrophages as shown by CD54 expression on B cells and CD80, CD163, CD68 expression on macrophages.</w:t>
      </w:r>
    </w:p>
    <w:p>
      <w:pPr>
        <w:spacing w:after="0" w:line="11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anticipate initiating a Phase 1 clinical trial for MP0317 in the second half of 2021. The clinical trial is expected to enroll patients with solid tumors which have per literature at least a moderate level of FAP expression. Leveraging our experience from the AMG 506 (MP0310) clinical trial into the clinical design of our MP0317 product candidate, we expect to achieve greater speed in treating patients at meaningful dose levels. In parallel and to complement the Phase 1 clinical trial of MP0317, we are planning to undertake the following:</w:t>
      </w:r>
    </w:p>
    <w:p>
      <w:pPr>
        <w:spacing w:after="0" w:line="90" w:lineRule="exact"/>
        <w:rPr>
          <w:sz w:val="20"/>
          <w:szCs w:val="20"/>
          <w:color w:val="auto"/>
        </w:rPr>
      </w:pPr>
    </w:p>
    <w:p>
      <w:pPr>
        <w:ind w:left="340" w:right="80" w:hanging="332"/>
        <w:spacing w:after="0" w:line="25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preclinical set of experiments to evaluate the relevance and optimal sequencing approach of combining MP0317 with radiation. Although high dose external beam radiotherapy, or XRT, is effective in releasing antigens, priming T cells, and mediating systemic immune mediated outcomes, it often leads to fibrosis and accumulation of CAFs at the primary site of irradiation. These CAFs express the FAP that we can use to our advantage for targeted drug delivery into the TME. Therefore, we hypothesize that combining the FAP-CD40 drug conjugate with XRT will yield high primary as well as secondary tumor control.</w:t>
      </w:r>
    </w:p>
    <w:p>
      <w:pPr>
        <w:spacing w:after="0" w:line="12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translational component of the dose escalation study re-enforced by the preclinical modules will help inform the prioritization of the following dose expansions and efficacy combination studies once we have identified a biologically effective dose. We expect our future development plans to include:</w:t>
      </w:r>
    </w:p>
    <w:p>
      <w:pPr>
        <w:spacing w:after="0" w:line="56" w:lineRule="exact"/>
        <w:rPr>
          <w:sz w:val="20"/>
          <w:szCs w:val="20"/>
          <w:color w:val="auto"/>
        </w:rPr>
      </w:pPr>
    </w:p>
    <w:p>
      <w:pPr>
        <w:ind w:left="340" w:hanging="332"/>
        <w:spacing w:after="0" w:line="26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Combining MP0317 with checkpoint inhibitors in FAP rich tumors that have high levels of infiltrated immune cells, or ‘hot’ tumors, such as urothelial, non-small cell lung cancer, or NSCLC, and melanoma, and also in FAP rich tumors that have low levels of infiltrated immune cells, or ‘cold’ tumors, such as pancreatic duct adenocarcinoma and sarcoma, with chemotherapies +/- PD1 inhibitors.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combination study with checkpoint inhibitors and radiation in NSCLC and/or head and neck squamous cell carcinoma.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 TCE Program</w:t>
      </w:r>
    </w:p>
    <w:p>
      <w:pPr>
        <w:spacing w:after="0" w:line="1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Novel CD3-binding T-cell engagement programs with a multitude of binding modules allowing optimized product efficacy and safety.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135</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30"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to achieve single agent activity combined with a multi-specific cancer antigen targeting.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specificity combined with target redundancy to treat more cancers and avoid healthy tissue.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Prodrug capabilities which include attenuated and/or localized activation of immune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CD3 / T-Cell Targeting DARPin molecules</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part of our strategic evolution, we are focusing our efforts on creating DARPin product candidates that convey single-agent activity and do not explicitly require combination with additional compounds to show clinical efficacy. Executing on this strategy, we have developed a CD3 TCE therapeutic platform, designed to activate respective immune cells against specific cellular targets in a highly selective, localized and specifically timed fashion. We believe that our CD3-targeting approach to T-cell engagement has the potential to address the key challenges of currently existing CD3-targeting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of Existing TCE Approaches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TCEs have been shown to be very potent anti-tumor drugs. The multiple efforts in developing bispecific T-cell redirecting molecules are fueled by the initial success of Blincyto, a CD19 directed TCE, that was approved in 2014 as the first TCE in cancer therapy, and is to date the only approved molecule of its kind. Fast followers of this potent bispecific mainly involved T-cell redirecting molecules for hematological malignancies and recent data on CD20 directed TCEs has sparked new excitement in the field.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Despite these successes, the development of TCEs targeting tumor associated antigens is typically hampered by four major challenges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1619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28: </w:t>
      </w:r>
      <w:r>
        <w:rPr>
          <w:rFonts w:ascii="Arial" w:cs="Arial" w:eastAsia="Arial" w:hAnsi="Arial"/>
          <w:sz w:val="18"/>
          <w:szCs w:val="18"/>
          <w:i w:val="1"/>
          <w:iCs w:val="1"/>
          <w:color w:val="auto"/>
        </w:rPr>
        <w:t>Challenges of tumor antigen redirecting TCEs in the clinic</w:t>
      </w:r>
      <w:r>
        <w:rPr>
          <w:rFonts w:ascii="Arial" w:cs="Arial" w:eastAsia="Arial" w:hAnsi="Arial"/>
          <w:sz w:val="18"/>
          <w:szCs w:val="18"/>
          <w:b w:val="1"/>
          <w:bCs w:val="1"/>
          <w:color w:val="auto"/>
        </w:rPr>
        <w:t>.</w:t>
      </w:r>
    </w:p>
    <w:p>
      <w:pPr>
        <w:spacing w:after="0" w:line="148"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Efficacy can be compromised by the heterogeneity of the tumor with regards to target expression, target loss, mutation or downregulation.</w:t>
      </w:r>
    </w:p>
    <w:p>
      <w:pPr>
        <w:spacing w:after="0" w:line="169" w:lineRule="exact"/>
        <w:rPr>
          <w:rFonts w:ascii="Arial" w:cs="Arial" w:eastAsia="Arial" w:hAnsi="Arial"/>
          <w:sz w:val="17"/>
          <w:szCs w:val="17"/>
          <w:color w:val="auto"/>
        </w:rPr>
      </w:pPr>
    </w:p>
    <w:p>
      <w:pPr>
        <w:ind w:left="340" w:right="44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Limited tissue penetration, the immunosuppressive microenvironment and the risk for T-cell exhaustion can further negatively affect the efficacy which may especially be true for solid tumor indications.</w:t>
      </w:r>
    </w:p>
    <w:p>
      <w:pPr>
        <w:spacing w:after="0" w:line="102"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Due to the lack of truly tumor-specific targets, highly potent TCEs bear the risk of inducing on-target, but off-tumor toxicity by attacking normal healthy tissue, limiting the achievement of dose levels needed for optimal anti-tumor activity.</w:t>
      </w:r>
    </w:p>
    <w:p>
      <w:pPr>
        <w:spacing w:after="0" w:line="89" w:lineRule="exact"/>
        <w:rPr>
          <w:rFonts w:ascii="Arial" w:cs="Arial" w:eastAsia="Arial" w:hAnsi="Arial"/>
          <w:sz w:val="18"/>
          <w:szCs w:val="18"/>
          <w:color w:val="auto"/>
        </w:rPr>
      </w:pPr>
    </w:p>
    <w:p>
      <w:pPr>
        <w:ind w:left="340" w:right="6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Hyper-immune stimulation due to pan-T-cell activation may result in CRS, lymphocyte redistribution phenomenon, endothelial activation and neurological toxicity, all of which can further compromise optimal dosing.</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Due to the suboptimal therapeutic window, many TCEs fail along the development process. Therefore, novel approaches with distinct features are needed to tackle those challenges and to control those highly potent molecules.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Bi-specifics: Our Next Generation DARPin-based TCE Platform</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years we have made significant progress to integrate the CD3-targeting approach for T-cell engagement into a DARPin format that addresses these key challenges. To pursue T-cell activation, we have generated a toolbox of CD3 DARPin product candidates to cover a broad CD3 affinity spectrum from very modest CD3 binding up to equivalent/superior binding compared to existing high affinity benchmarks. The affinity range provides us with DARPin-based TCEs with different functional activities. This allows us to assemble multi-specific TCE DARPin drug candidates with CD3 engagement optimized for the targeted tumor antigen and MOA. Specifically, it enables the induction of an optimal T-cell response to efficiently attack tumor cells without over-simulation of the immune system that can result in toxicities or T-cell exhaustion. In combination with the unique format flexibility and modular design capabilities of DARPin binders, we believe the CD3 toolbox allows us to generate a superior suite of next generation TCE therapeutics.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Multi-targeting Strategy with Curative Intent for the Treatment of AML</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medical need in AML remains high. Despite the achievement of remission for a majority of patients, up to 70% of adults and 30% of children will not survive beyond five years after initial clinical response due to relapsing disease. Further, the treatment of relapsed/refractory AML, or r/r AML, is therapeutically challenging due to high relapse rates with current standard-of-care treatments and the aggressive nature of the disease. Currently, a variety of highly potent mono-targeting TCE and CAR-T therapies have entered clinical development, but those therapies are often accompanied by dose limiting toxicities such as CRS and myelotoxicities, preventing dose escalation to induce robust anti-tumor efficacy. More selective therapies addressing the growing number of subclasses and rationally designed target combinations are needed to allow for extended dose escalation with a more acceptable safety profile and to achieve more durable responses.</w:t>
      </w:r>
    </w:p>
    <w:p>
      <w:pPr>
        <w:spacing w:after="0" w:line="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AML, leukemia stem cells, or LSCs, produce all the leukemic cells in the patient and therefore a lasting cure for this disease is dependent on eradication of these cells. However, LSCs are relatively resistant to standard therapies. For example, these cells are less sensitive to killing by daunorubicin and cytarabine, two commonly used chemotherapeutic agents. This is partially due to increased expression by LSCs of multidrug resistance genes, and also to their quiescent state, which reduces the effects of cytotoxic agents that target rapidly replicating cells. It is therefore essential to primarily target LSCs to achieve durable disease control.</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Some cancer antigens are also present on many healthy cells, but at a lower concentration, and as such it is difficult to select any single target to sufficiently differentiate between cancer cells and healthy tissue. To overcome this limitation and increase specificity, we leveraged our unique DARPin platform to generate a multi-specific TCE DARPin molecule, targeting CD 33, CD70 and CD123, with a fine-tuned and tailored affinity. To do so, we screened thousands of permutations of multi-specific DARPin molecules to optimize target combination, affinity and molecular architecture to ensure avidity driven, simultaneous binding to these TAAs in conjunction with our CD3-binding DARPin molecule.</w:t>
      </w:r>
    </w:p>
    <w:p>
      <w:pPr>
        <w:spacing w:after="0" w:line="1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avidity driven selectivity, the presence of two or more binding targets on the cell, and the molecular interaction with these targets, increases the effective concentration of the binder and the resulting binding strength. This dependency of binding strength on the presence of more than one cancer antigen conveys a far superior selectivity to these multi-specific binders. This approach is a concept that is well known in the scientific community but has so far been limited by the availability of an optimal therapeutic platform to address the associated technical challenges. In order to find the right target combination, the optimal affinity to increase tumor specificity via avidity, as well as the best molecular architecture, we took advantage of our unique modular DARPin platform and screened hundreds of combinations of multi-specific DARPin molecules, binding simultaneously to the three different TAAs — CD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CD70 and CD123. Furthermore, we combined our tri-specific binders with our CD3-binding TCE DARPin in one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100330</wp:posOffset>
            </wp:positionV>
            <wp:extent cx="5349240" cy="2348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Figure 29: </w:t>
      </w:r>
      <w:r>
        <w:rPr>
          <w:rFonts w:ascii="Arial" w:cs="Arial" w:eastAsia="Arial" w:hAnsi="Arial"/>
          <w:sz w:val="18"/>
          <w:szCs w:val="18"/>
          <w:i w:val="1"/>
          <w:iCs w:val="1"/>
          <w:color w:val="auto"/>
        </w:rPr>
        <w:t>Our dual-engaging tri-specific DARPin product candidates are designed to engage only cells that express two or three cancer antigens,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sparing healthy cells with one or fewer cancer antigens.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approach allowed the design of multi-specific TCEs which are simultaneously targeting CD33, CD70 and CD123, three well-known AML antigens that are co-expressed on approximately 50% of AML cells and of which at least two are expressed on approximately 70% of AML cells. To further optimize our molecules, we have devised a concentration dependent MOA utilizing moderate affinity binders rather than high affinity ones. When such a DARPin encounters a cell expressing only one antigen, there should only be transient interaction and the DARPin should quickly disengage the target with limited cytotoxic effect. However, when there are two or three targets, the mechanism of avidity driven selectivity activates, as illustrated in Figure 30 below.</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preclinical tests against AML cells, we observed these new multi-specific DARPin CD3 TCE candidates to deliver highly potent and specific activity and the potential for a reduced effect on healthy normal cells. Adding to the increased selectivity, our candidates, which target three TAAs simultaneously, have the potential to counteract target escape mechanisms expected due to tumor heterogeneity. In addition, this mechanism is designed to capture a larger population of AML patients due to its ability to engage with any two of these targets simultaneously, while maintaining specificity.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320" w:top="1440" w:right="41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237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Figure 30. </w:t>
      </w:r>
      <w:r>
        <w:rPr>
          <w:rFonts w:ascii="Arial" w:cs="Arial" w:eastAsia="Arial" w:hAnsi="Arial"/>
          <w:sz w:val="18"/>
          <w:szCs w:val="18"/>
          <w:i w:val="1"/>
          <w:iCs w:val="1"/>
          <w:color w:val="auto"/>
        </w:rPr>
        <w:t>The concept of a multi-specific TCE DARPin with improved benefit/risk in AML is demonstrated in this graphic illustrating a tri-specific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DARPin. The therapeutic window generated based on full potency on multi-target malignant AML cells (red) and minimal effect on healthy normal cells (green).</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multi-specific CD3-binding DARPin molecules targeting two or three different AML antigens with optimized affinity and geometry demonstrated substantial avidity gain and an increased selectivity window in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349240" cy="1706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Figure 31. </w:t>
      </w:r>
      <w:r>
        <w:rPr>
          <w:rFonts w:ascii="Arial" w:cs="Arial" w:eastAsia="Arial" w:hAnsi="Arial"/>
          <w:sz w:val="17"/>
          <w:szCs w:val="17"/>
          <w:i w:val="1"/>
          <w:iCs w:val="1"/>
          <w:color w:val="auto"/>
        </w:rPr>
        <w:t>In vitro characterization of the multi-specific DARPin T-cell engager. Multi-specific DARPin T-cell engager with significant activity gain in: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T-cell activation with single targeting controls (gray arrow). Molm-13 AML cells in co-culture with human T-cells (E:T 1:1, 24 h), T-cell activation analyzed by flow cytometry detecting CD25 + CD8 + T-cells; B.) tumor cell killing compared with single targeting controls (gray arrow). Molm-13 cells in co-culture with human T-cells (E:T 5:1, 48 h), tumor cell killing analyzed by LDH release and C.) showing similar potency and efficacy compared to competitor molecules currently tested in the clinic. Molm-13 AML cells in co-culture with human T-cells (E:T 5:1, 48 h), tumor cell killing analyzed by absolute count of living cells by flow cytometry. DART, dual affinity re-targeting; BiTE, bispecific T-cell engager.</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avidity gain resulted in strongly enhanced in vitro potency as shown by activation of both CD8+ and CD4+ T cells and subsequent killing of AML tumor cells, with bioactivities in the range of established TCE benchmark formats such as BiTE and DART and compared to the reference constructs where TAA specific DARPin binders have been replaced by non-binding-DARPin modules, as shown in Figure 31. We generated selectivity data by comparing our multi-specific DARPin constructs on MOLM-13 AML cell lines where the respective TAAs have been knocked out individually or in combination, as shown in Figure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1005840</wp:posOffset>
            </wp:positionV>
            <wp:extent cx="5237480" cy="2280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2374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32. </w:t>
      </w:r>
      <w:r>
        <w:rPr>
          <w:rFonts w:ascii="Arial" w:cs="Arial" w:eastAsia="Arial" w:hAnsi="Arial"/>
          <w:sz w:val="18"/>
          <w:szCs w:val="18"/>
          <w:i w:val="1"/>
          <w:iCs w:val="1"/>
          <w:color w:val="auto"/>
        </w:rPr>
        <w:t>Selectivity window gain shown on T-cell activation and killing using MOLM-13 cells.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tumor specificity, and resulting potential for a better safety profile, of our DARPin construct has been confirmed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blood assay testing potential CRS liabilities. In this assay, our multi-specific DARPin construct induced profoundly less cytokine release as compared to benchmark molecules indicating an improved therapeutic window, as shown in Figure 32.</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80"/>
          </w:cols>
          <w:pgMar w:left="320" w:top="1440" w:right="399" w:bottom="1440" w:gutter="0" w:footer="0" w:header="0"/>
          <w:type w:val="continuous"/>
        </w:sectPr>
      </w:pPr>
    </w:p>
    <w:bookmarkStart w:id="145" w:name="page146"/>
    <w:bookmarkEnd w:id="145"/>
    <w:p>
      <w:pPr>
        <w:spacing w:after="0" w:line="12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Safety advantage of multi-targeting CD3 DARPin TCE were compared to mono-targeting TCE benchmarks molecules using human ex vivo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whole blood assays from healthy donors as shown by cytokine secretion (top) and by platelet counts (bottom)</w:t>
      </w:r>
      <w:r>
        <w:rPr>
          <w:rFonts w:ascii="Arial" w:cs="Arial" w:eastAsia="Arial" w:hAnsi="Arial"/>
          <w:sz w:val="18"/>
          <w:szCs w:val="18"/>
          <w:color w:val="auto"/>
        </w:rPr>
        <w:t>.</w:t>
      </w:r>
    </w:p>
    <w:p>
      <w:pPr>
        <w:spacing w:after="0" w:line="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Following confirmation of additional preclinical safety and IND enabling work, we intend to initiate a Phase 1 clinical trial for CD3-AML in 2022. We intend to study safety and dose levels, as well as ascertain any benefit seen in AML patients, likely in the relapsed/refractory setting.</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preclinical studies are conclusive, we expect to run a classic 3x3 dose escalation trial in a Phase 1 in r/r AML patients. We expect that second line patients will be unfit for aggressive treatment. The monotherapy will be escalated and run until a maximal tolerated dose, or MTD, is identified. Once a MTD is identified, if ever, we expect to propose an expansion on MTD and MTD-1. If early signals are confirmed with the expansion, if ever, we intend to commence a confirmatory Phase 2/3 clinical trial. In addition to this primary indication, we anticipate exploring further indications also based on the MTD and MTD-1 approach.</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conclusion, we have generated TCEs based on multi-specific DARPin constructs with high potency, selectivity and ultimately with the potential for an improved therapeutic window and the potential to address tumor heterogeneity and escape for the treatment of AML.</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Conditionally Activated TCEs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MOA involving a multi-specific targeting approach of a CD3 T-cell engaging DARPin, as illustrated with our AML program, we have identified two additional MOAs that we believe can conditionally activate CD3 TCEs. We believe these can further expand the applicability of DARPin CD3 TCEs for additional patients by using a platform for controlled activation of the CD3 effector function designed to further minimize the risk of side effects and provide sustained activity. We refer to these two programs as CD3 Slow Activation for temporal activation and CD3-Prodrug for spatial activation. CD3 Slow Activation is designed to optimize for slow activation over time in circulation to reduce the maximal active drug concentration at treatment start, increasing bioactivity over time and potentially avoiding hyper-immune stimulation. CD3-Prodrug is designed to optimize for a conditional activation locally in the TME for reduced on-target, off-tumor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Slow activation</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first dose administration of TCEs carries a high risk for acute toxicities like endothelial activation, massive lymphocyte redistribution, neurological effects, and CRS. Mitigation strategies include pre-medication with immune-suppressive steroids, IL-6 receptor antagonists, step-dosing or continuous intravenous infusion. Despite the application of these mitigation strategies, severe side effects which may lead to death in the extreme case are still observed in clinical trials with TCE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84455</wp:posOffset>
            </wp:positionV>
            <wp:extent cx="4886325" cy="1071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63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Our designed DARPin blocker domain can mask the CD3 engager domain and inhibit it. Due to a slow dissociation rate of the blocker,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 becomes active slowly over time, avoiding a peak of over activity seen in other TCEs.</w:t>
      </w:r>
    </w:p>
    <w:p>
      <w:pPr>
        <w:spacing w:after="0" w:line="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solution to this toxicity limitation of TCEs is analogous to the combination of continuous intravenous infusion and step dosing. By forming a non-covalent, inactive complex of TCE and a blocker molecule to its CD3-binding moiety, we can ensure a slow, continuous activation of the TCE over time, while the short-lived blocker molecule is eliminated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320" w:top="1440" w:right="399" w:bottom="1440" w:gutter="0" w:footer="0" w:header="0"/>
        </w:sectPr>
      </w:pPr>
    </w:p>
    <w:bookmarkStart w:id="146" w:name="page147"/>
    <w:bookmarkEnd w:id="146"/>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our preclinical study, we demonstrated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cell-based assays that a panel of blockers was able to inhibit the activation of a DARPin based TCE at low picomolar, or pM, concentrations and that the activation-rate of the TCE is determined solely by the off-rate of the super-high affinity blocker molecule. 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preclinical study in a human whole-blood test system using an active, non-blocked versus a transiently blocked TCE we demonstrated that cytokine release can be prevented by our slow activation concept. Finally, we were able to show a reduction in cytokine release in a set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PBMC-humanized NOG mice engrafted with tumor cells by administering a transiently blocked TCE to mice with established tumors (&gt; 200 mm</w:t>
      </w:r>
      <w:r>
        <w:rPr>
          <w:rFonts w:ascii="Arial" w:cs="Arial" w:eastAsia="Arial" w:hAnsi="Arial"/>
          <w:sz w:val="20"/>
          <w:szCs w:val="20"/>
          <w:color w:val="auto"/>
          <w:vertAlign w:val="superscript"/>
        </w:rPr>
        <w:t>3</w:t>
      </w:r>
      <w:r>
        <w:rPr>
          <w:rFonts w:ascii="Arial" w:cs="Arial" w:eastAsia="Arial" w:hAnsi="Arial"/>
          <w:sz w:val="16"/>
          <w:szCs w:val="16"/>
          <w:color w:val="auto"/>
        </w:rPr>
        <w:t>). At the same time, the transiently blocked TCE led to comparable tumor growth inhibition as the non-blocked TCE.</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summary, the slow activation concept for DARPin based TCEs resulted in reduced acute toxicity in the form of reduced cytokine release, while showing equivalent efficacy. Notably, this approach may hold promise beyond TCEs and could be applied to any drug where acute side effects could be overcome by a slower onset of the therapeutic effect.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Spatial activation – CD3 Prodrug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105410</wp:posOffset>
            </wp:positionV>
            <wp:extent cx="5349240" cy="2271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35</w:t>
      </w:r>
      <w:r>
        <w:rPr>
          <w:rFonts w:ascii="Arial" w:cs="Arial" w:eastAsia="Arial" w:hAnsi="Arial"/>
          <w:sz w:val="18"/>
          <w:szCs w:val="18"/>
          <w:color w:val="auto"/>
        </w:rPr>
        <w:t>: Concept of conditionally activated DARPin CD3 prodrug.</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overcome toxicity-related challenges seen with previous approaches, we have developed a proof-of-concept anti-CD3 Prodrug DARPin, CD3-PDD, consisting of an EGFR-binder and a CD3-binder, linked via a protease-cleavable linker to a CD3-binder masking DARPin, which we refer to as a blocker. This α-EGFR x α-CD3 x blocker is unable to bind and recruit T-cells in its non-cleaved state, but is designed to become activated in the tumor microenvironment upon linker cleavage by tumor-associated proteases.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 presented recently at the 2021 AACR meeting, results show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T-cell activation and tumor cell killing assays, we have shown that this design allowed a large masking window, or the difference in EC50 between the masked and the unmasked TCE, for active TCE as compared to non-cleavable CD3-PDD. Cleavable CD3-PDD was found to become partially activated in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by secreted proteases and therefore showed an EC50 value in-between the active TCE and the non-cleavable CD3-PDD, as shown in Figure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320" w:top="1440" w:right="39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1193800</wp:posOffset>
            </wp:positionH>
            <wp:positionV relativeFrom="page">
              <wp:posOffset>1005840</wp:posOffset>
            </wp:positionV>
            <wp:extent cx="5168900" cy="1800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1689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Figure 36: </w:t>
      </w:r>
      <w:r>
        <w:rPr>
          <w:rFonts w:ascii="Arial" w:cs="Arial" w:eastAsia="Arial" w:hAnsi="Arial"/>
          <w:sz w:val="18"/>
          <w:szCs w:val="18"/>
          <w:i w:val="1"/>
          <w:iCs w:val="1"/>
          <w:color w:val="auto"/>
        </w:rPr>
        <w:t>T-cell activation and tumor cell killing for active TCE, cleavable CD3-PDD, pre-cleaved CD3-PDD and non-cleavable CD3-PDD, tested with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HCT 116 tumor cells and effector pan T-cells. Non-cleavable CD3-PDD showed neither T-cell activation nor tumor cell killing, whereas active TCE and pre-cleaved CD3-PDD exhibited potency in the single digit pM range.</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Next, we performed an in vivo proof-of-principle study in a human colon carcinoma xenograft model, HCT 116, using immunodeficient mice humanized with hematopoietic stem cells, CD34+, and optimized for the presence of human myeloid cells. The mouse cross-reactivity of the EGFR-binder allowed us to assess both anti-tumor efficacy and define a therapeutic window in this model.</w:t>
      </w:r>
    </w:p>
    <w:p>
      <w:pPr>
        <w:spacing w:after="0" w:line="1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cleavable CD3-PDD demonstrated robust anti-tumor activity, similar to the one observed with active TCE. Most importantly, while the active TCE elicited strong toxicity, leading to loss of animals and requiring us to stop treatment, we were able to dose the cleavable CD3-PDD without significant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143500" cy="1920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Figure 37: </w:t>
      </w:r>
      <w:r>
        <w:rPr>
          <w:rFonts w:ascii="Arial" w:cs="Arial" w:eastAsia="Arial" w:hAnsi="Arial"/>
          <w:sz w:val="16"/>
          <w:szCs w:val="16"/>
          <w:i w:val="1"/>
          <w:iCs w:val="1"/>
          <w:color w:val="auto"/>
        </w:rPr>
        <w:t>On the left, results from our spatially activated DARPin TCE demonstrate that the cleavable DARPin is as active against the tumor as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unmasked control. The non-cleavable protein had a lesser effect over the tumor size. However, when we observe how each DARPin effected the test animal health, we can see that the unmasked control affected the animals’ health detrimentally, while the masked constructs had minimal effect, if any.</w:t>
      </w:r>
    </w:p>
    <w:p>
      <w:pPr>
        <w:spacing w:after="0" w:line="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Since the conditionally activated CD3-PDD shows similar efficacy but none of the toxicity of the active TCE, we believe that our approach holds great promise for the development of future CD3-PDDs as therapeutics, enabling utilization of less tumor-specific targets for highly potent TCEs.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320" w:top="1440" w:right="41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Figure 38: </w:t>
      </w:r>
      <w:r>
        <w:rPr>
          <w:rFonts w:ascii="Arial" w:cs="Arial" w:eastAsia="Arial" w:hAnsi="Arial"/>
          <w:sz w:val="18"/>
          <w:szCs w:val="18"/>
          <w:i w:val="1"/>
          <w:iCs w:val="1"/>
          <w:color w:val="auto"/>
        </w:rPr>
        <w:t>Further in vivo results show that the pro-drug TCE, while showing a robust anti-tumor effect, comparable to that of constantly active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while avoiding its accompanying toxicity, as shown by cytokine expression and the average health score.</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ongoing preclinical work will continue to validate potential solid tumor targets which might benefit from conditional activation via protease cleavage. Tumor targets like EGFR, or other similar targets, may prove to be of interest.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Our Peptide MHC Program</w:t>
      </w:r>
    </w:p>
    <w:p>
      <w:pPr>
        <w:spacing w:after="0" w:line="138"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High specificity binders against extremely hard to drug targets, leveraging unique geometric properties and high throughput screening capabilities.</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the ability to drug intra-cellular targets, which include up to 95% of cancer antigens.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 of development - generated quickly and reliably with capability for half-life extension, easy to manufacture.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for a multi-specific pMHC DARPin to cover more peptides of the same antigen or peptides from more than one antigen.</w:t>
      </w:r>
    </w:p>
    <w:p>
      <w:pPr>
        <w:spacing w:after="0" w:line="1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While potent T-cell activating or redirecting modalities have shown significant promise against a range of cancers in recent years, the number of suitable tumor-specific targets is often limited due to their reliance on targeting transmembrane proteins that are highly expressed on tumors but with minimal expression on non-target tissue.</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contrast, almost all intracellular proteins are processed and presented as peptides on the cell surface by major histocompatibility complexes, or MHC class I molecules, known as human leukocyte antigens, or HLA, in humans. It is thought that up to 95% tumor specific antigens are intracellular, with very few extracellular, so unlocking the ability to target these provides a significant gain in the breadth of potential tumor specific targets.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Development of biologics, including soluble TCRs and TCR-like antibodies, or cell therapeutics which target pMHC complexes have so far been hindered by low target abundance, weak affinity, cross-reactivity to similar pMHC complexes, or complexity in manufacture and administration. DARPin-based therapeutics offer the potential to overcome these limitations through their excellent biophysical properties and advantageous structural characteristics allowing them to bind pMHC complexes with both high selectivity and high affinity. Moreover, such DARPin molecules can be manufactured and administered with comparative ease in contrast to adoptive cell therapies.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recently presented preclinical data at the 2021 AACR meeting in April 2021 showing the development and characterization of bispecific DARPin TCE proteins (pMHC x CD3 DARPin) binding with high specificity to a peptide derived from the cancer testis antigen NY-ESO-1 (SLLMWITQC), presented in the context of the MHC HLA-A. These data illustrate the successful selection of DARPin binders against pMHC complexes from our extensive library of over a trillion DARPin variants, which were then formatted into bispecific TCEs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CD3-binding DARPin domain to enable potent re-direction and activation of T cells. This MOA also allows highly sensitive analysis of pMHC specificity and potential cross-reactivity.</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Using a number of cellular assays, we confirmed that the selected DARPin proteins displayed a high specificity for the selected complex. Architectural fine tuning and sequence engineering allowed us to further increase the potency of the selected candidates without compromising the specificity. The potential of these engineered molecules for tumor elimination was illustrated through potent DARPin mediated T-cell activation towards tumor cell lines expressing the peptide-HLA-A2 antigen, and in contrast, lack of activation towards comparable tumor cell lines that do not present the NY-ESO-1 peptide. Furthermore, HLA-A2+/SLL+ cells but not HLA-A2+/SLL- cells were effectively killed in the presence of these specific DARPin TCEs in a concentration dependent manner, illustrating the potential for elimination of target positive tumor cells in a dose-controlled fashion.</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Current bi-specific TCR molecules in clinical trials face the challenge of short serum half-lives and rapid elimination. To address this, we have established a platform to provide good systemic exposure for our pMHC x CD3 DARPin molecules without compromising potency and specificity, making the DARPin technology platform highly instrumental for the development of a new class of anti-cancer therapeutics.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Therefore, we believe that DARPin proteins represent a valuable alternative to specifically target pMHC complexes expressed in a broad range of cancers and/or virology indications. Moreover, thanks to the modular nature of DARPin proteins, this platform may be utilized to target at-risk tissues in auto-immune diseases by utilizing immune-suppressive effector functions in place of CD3 engagement. The outstanding biophysical properties, capacity for multi-specific formatting and level of specificity exhibited by pMHC-specific DARPin proteins prompts investigations on their broader application for alternative treatment modalities (drug conjugates, radio therapy, CAR-T-cells) and pMHC-specific diagnostics.</w:t>
      </w:r>
    </w:p>
    <w:p>
      <w:pPr>
        <w:spacing w:after="0" w:line="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While the technological capability to target these complexes may enable DARPin molecules to offer therapeutic benefits for a number of diseases, our current strategic approach is to co-develop these therapeutics with third-party collaborators who have a strong working knowledge of which targets may prove to offer the most benefit for patients.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Our Legacy Oncology Product Candidates</w:t>
      </w:r>
    </w:p>
    <w:p>
      <w:pPr>
        <w:spacing w:after="0" w:line="1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observed each of our legacy product candidates in our oncology program, MP0250 and MP0274, to be well tolerated and exhibit promising levels of biological activity. Our experience in developing our legacy product candidates provided key learnings that we leverage as we progress the development of our other product candidates. A strategic decision was made to invest in programs where a clear clinical differentiation could be made through the DARPin constructs. The competitive landscape for these programs, coupled with the need to be used in combination with other therapies, make these compounds attractive investments for potential partnerships. It is our intent to explore additional clinical development for MP0250 and MP0274 through clinical collaborations and partnerships, but we believe that further solo investment in these assets is unlikely.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MP0250</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first oncology DARPin product candidate was MP0250, a proprietary multi-DARPin product candidate consisting of four DARPin domains. One targets VEGF, the activating ligand of the VEGF receptor, one targets hepatocyte growth factor, or HGF, the activating ligand of the c-MET receptor, and two target HSA. The VEGF and HGF targeting single-domain DARPin proteins are designed to effectively bind to and thereby neutralize VEGF and HGF, while HSA binding increases MP0250’s half-life to extend treatment activity and may increase tissue penetration. We have conducted two Phase 2 clinical trials of MP0250, one in multiple myeloma patients and one in EGFR-mutated NSCLC patients, both in combination with standard-of-care treatments. MP0250 was administered to a total of 86 patients.</w:t>
      </w:r>
    </w:p>
    <w:p>
      <w:pPr>
        <w:spacing w:after="0" w:line="1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clinical development of MP0250 established the ability of our DARPin product candidates to bind to more than one target, which we believe is a key element of preventing tumor escape and is a foundational attribute of many of our other product candidates. In addition, our learnings from including HSA binding in MP0250 to extend treatment activity have proven vital for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MP0274</w:t>
      </w:r>
    </w:p>
    <w:p>
      <w:pPr>
        <w:spacing w:after="0" w:line="14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second DARPin product candidate in oncology was MP0274, a proprietary DARPin product candidate designed to bind to two epitopes on HER2. MP0274 is designed to inhibit HER2 activation and any subsequent activation of HER2 in conjunction with the HER 1 and HER3 receptor proteins that promote the growth of cancer cells. MP0274 was administered to a total of 22 patients.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early evidence of biological activity, we incorporated the learnings from the DARPin’s ability to bind a single target on more than one epitope validated by MP0274 in developing our MP0420 and MP0423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Our Ophthalmology Program</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Abicipar is a DARPin therapeutic candidate designed to inhibit VEGF, which we have licensed to Allergan, an Abbvie company. It is at the registrational stage as an investigational candidate for the treatment of nAMD. Abicipar is also an investigational candidate for diabetic macular edema, or DME. Abicipar is designed to remain in the eye longer than current treatments and consequently offers the potential for less frequent dosing. In June 2020, AbbVie received a Complete Response Letter, or CRL, for the BLA of abicipar. The agency’s notice indicated that the rate of intraocular inflammation observed following administration of abicipar pegol results in an unfavorable benefit-risk ratio in the treatment of nAMD.</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AbbVie has withdrawn its filings for abicipar with both the European Medicines Agency and the Japanese Regulatory Agency and is committed to working with these agencies to determine appropriate next steps and requirements for potential resubmissions for abicipar. There is substantial need for better treatment options for nAMD and we remain confident in the totality of data supporting abicipar’s clinical profile for this indication.</w:t>
      </w:r>
    </w:p>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first-generation single domain DARPin product candidate, abicipar delivered on its promise of a powerful anti-VEGF mechanism and long half-life and is foundational in our understanding of leveraging our DARPin platform in our other product candidates.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success depends in part on our ability to obtain, maintain, enforce and defend patents and other intellectual property and proprietary protection for our product candidates and technology, to preserve the confidentiality of our trade secrets, 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aspects of our business that are not amenable to, or that we do not consider appropriate for, patent protection, we rely on 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spacing w:after="0" w:line="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maintain three categories of patent protection for, respectively, our DARPin technology platform, key single-binding domain DARPin proteins binding to specific targets and our DARPin product candidates. The first category of protection covers our DARPin technology platform and relies on both in-licensed and Molecular Partners-owned issued patents and pending patent applications:</w:t>
      </w:r>
    </w:p>
    <w:p>
      <w:pPr>
        <w:spacing w:after="0" w:line="103" w:lineRule="exact"/>
        <w:rPr>
          <w:sz w:val="20"/>
          <w:szCs w:val="20"/>
          <w:color w:val="auto"/>
        </w:rPr>
      </w:pPr>
    </w:p>
    <w:p>
      <w:pPr>
        <w:ind w:left="340" w:hanging="332"/>
        <w:spacing w:after="0" w:line="255"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DARPin base technology we use in our DARPin platform to generate our DARPin product candidates is exclusively licensed to us by the University of Zurich. See “Business—License and Collaboration Agreements—License Agreement with the University of Zurich” for information on the terms of this in-license. The patent family covering this technology is based on the international patent application WO 2002/020565 and relates to the processes we use to generate our DARPin libraries, the DARPin libraries themselves and the DARPin binding proteins we select from our libraries. As of March 12, 2021, we have exclusively licensed four issued U.S. patents and 11 issued foreign patents in this family. The issued patents are expected to expire in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30" w:lineRule="exact"/>
        <w:rPr>
          <w:sz w:val="20"/>
          <w:szCs w:val="20"/>
          <w:color w:val="auto"/>
        </w:rPr>
      </w:pPr>
    </w:p>
    <w:p>
      <w:pPr>
        <w:ind w:left="340" w:right="80"/>
        <w:spacing w:after="0" w:line="268" w:lineRule="auto"/>
        <w:rPr>
          <w:sz w:val="20"/>
          <w:szCs w:val="20"/>
          <w:color w:val="auto"/>
        </w:rPr>
      </w:pPr>
      <w:r>
        <w:rPr>
          <w:rFonts w:ascii="Arial" w:cs="Arial" w:eastAsia="Arial" w:hAnsi="Arial"/>
          <w:sz w:val="17"/>
          <w:szCs w:val="17"/>
          <w:color w:val="auto"/>
        </w:rPr>
        <w:t>2021, with the exception of one U.S. patent that received patent term adjustment and is expected to expire in 2023. We have elected to terminate the license agreement effective October 2021. Once these patents licensed from the University of Zurich expire and our license terminates in 2021, others may use the basic repeat protein technology disclosed and claimed in these patents. This may lead to increased competition in the repeat protein field, especially if our DARPin drug candidates prove to be successful in the clinic. We are aware of this situation and have taken various steps to attempt to mitigate potential effects of the patent expiration. We have improved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intellectual property and have expanded our patent portfolio in the last two years. Taken together, we have begun and are continuing to mitigate potential effects of the upcoming expiration of the patents licensed from the University of Zurich by protecting improvements of the DARPin base technology and innovative new aspects and applications of the DARPin technology in newly filed patent applications. However, we can provide no assurances that any such patent applications will issue as patents or that we will ultimately be successful in our attempt to mitigate all effects of the upcoming expiration of the patents licensed from the University of Zurich.</w:t>
      </w:r>
    </w:p>
    <w:p>
      <w:pPr>
        <w:spacing w:after="0" w:line="105" w:lineRule="exact"/>
        <w:rPr>
          <w:sz w:val="20"/>
          <w:szCs w:val="20"/>
          <w:color w:val="auto"/>
        </w:rPr>
      </w:pPr>
    </w:p>
    <w:p>
      <w:pPr>
        <w:ind w:left="340" w:hanging="332"/>
        <w:spacing w:after="0" w:line="279" w:lineRule="auto"/>
        <w:tabs>
          <w:tab w:leader="none" w:pos="335"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also own a patent family, based on international patent application WO 2012/069655, relating to DARPin binding proteins comprising certain improved N-terminal capping modules. As of March 12, 2021, we own three issued U.S. patents, eight issued foreign patents and three pending foreign patent applications in this family. Any issued patents in this family are expected to expire in 2031. The disclosed improvement of the DARPin platform is included in our DARPin product candidates MP0250, MP0274, MP0310, MP0317, MP0420 (ensovibep) and MP0423.</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second category of protection covers our key single-binding domain DARPin proteins binding to specific targets. These single domain DARPin binding proteins can be used in multiple DARPin product candidates. Our patent applications and corresponding patents directed to key single domain DARPin binding proteins currently include:</w:t>
      </w:r>
    </w:p>
    <w:p>
      <w:pPr>
        <w:spacing w:after="0" w:line="103" w:lineRule="exact"/>
        <w:rPr>
          <w:sz w:val="20"/>
          <w:szCs w:val="20"/>
          <w:color w:val="auto"/>
        </w:rPr>
      </w:pPr>
    </w:p>
    <w:p>
      <w:pPr>
        <w:ind w:left="340" w:right="80" w:hanging="332"/>
        <w:spacing w:after="0" w:line="25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2010/060748, relating to single domain DARPin binding proteins with specificity for vascular endothelial growth factor A, or VEGF-A. As of March 12, 2021, we owned one issued U.S. patent, twenty-nine issued foreign patents and four pending foreign patent applications in this family. Any issued patents in this family are expected to expire in 2029, with the exception of one U.S. patent that received patent term adjustment and is expected to expire in 2031. VEGF-specific DARPin binding proteins are used in our DARPin product candidates abicipar and MP0250.</w:t>
      </w:r>
    </w:p>
    <w:p>
      <w:pPr>
        <w:spacing w:after="0" w:line="120" w:lineRule="exact"/>
        <w:rPr>
          <w:rFonts w:ascii="Arial" w:cs="Arial" w:eastAsia="Arial" w:hAnsi="Arial"/>
          <w:sz w:val="18"/>
          <w:szCs w:val="18"/>
          <w:color w:val="auto"/>
        </w:rPr>
      </w:pPr>
    </w:p>
    <w:p>
      <w:pPr>
        <w:jc w:val="both"/>
        <w:ind w:left="340" w:right="160" w:hanging="332"/>
        <w:spacing w:after="0" w:line="259"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family of patent applications based on international patent application WO 2014/191574, relating to single domain DARPin binding proteins with specificity for hepatocyte growth factor, or HGF. As of March 12, 2021, we own one pending U.S. patent application and two pending foreign patent applications in this family. If granted, patents in this patent family are expected to expire in 2034. A HGF-specific DARPin binding protein is used in our DARPin product candidate MP0250.</w:t>
      </w:r>
    </w:p>
    <w:p>
      <w:pPr>
        <w:spacing w:after="0" w:line="119" w:lineRule="exact"/>
        <w:rPr>
          <w:rFonts w:ascii="Arial" w:cs="Arial" w:eastAsia="Arial" w:hAnsi="Arial"/>
          <w:sz w:val="18"/>
          <w:szCs w:val="18"/>
          <w:color w:val="auto"/>
        </w:rPr>
      </w:pPr>
    </w:p>
    <w:p>
      <w:pPr>
        <w:ind w:left="340" w:right="140" w:hanging="332"/>
        <w:spacing w:after="0" w:line="279"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patent family based on international patent application WO 2012/069654, relating to single domain DARPin binding proteins with specificity for human serum albumin, or HSA. As of March 12, 2021, we own two issued U.S. patents, eight issued foreign patents and eight pending foreign patent applications in this family. Any issued patents in this family are expected to expire in 2031. HSA-specific DARPin binding proteins are used in our DARPin product candidates MP0250, MP0274, MP0310 MP0317, MP0420 (ensovibep) and MP0423.</w:t>
      </w:r>
    </w:p>
    <w:p>
      <w:pPr>
        <w:spacing w:after="0" w:line="90" w:lineRule="exact"/>
        <w:rPr>
          <w:rFonts w:ascii="Arial" w:cs="Arial" w:eastAsia="Arial" w:hAnsi="Arial"/>
          <w:sz w:val="17"/>
          <w:szCs w:val="17"/>
          <w:color w:val="auto"/>
        </w:rPr>
      </w:pPr>
    </w:p>
    <w:p>
      <w:pPr>
        <w:ind w:left="340" w:right="20" w:hanging="332"/>
        <w:spacing w:after="0" w:line="311"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family of patent applications based on international patent application WO 2014/083208, relating to DARPin product candidates comprising two different DARPin binding proteins that bind to specific, but distinct, sites on HER2. As of March 12, 2021, we own one issued U.S. patent, six issued foreign patents and six pending foreign patent applications in this family. If granted, patents in this patent family are expected to expire in 2033.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DARPin molecule comprising two different HER2-specific DARPin binding proteins is used in our product candidate MP0274.</w:t>
      </w:r>
    </w:p>
    <w:p>
      <w:pPr>
        <w:spacing w:after="0" w:line="144" w:lineRule="exact"/>
        <w:rPr>
          <w:sz w:val="20"/>
          <w:szCs w:val="20"/>
          <w:color w:val="auto"/>
        </w:rPr>
      </w:pPr>
    </w:p>
    <w:p>
      <w:pPr>
        <w:ind w:left="34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2020/245173, relating to single domain DARPin binding proteins with specificity for fibroblast activation protein, or FAP. As of March 12, 2021, we own a pending PCT international patent application, which has not reached the national phase yet, in this family. Any issued patents in this family are expected to expire in 2040. FAP-specific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2020/245175, relating to single domain DARPin binding proteins with specificity for 4-1BB. As of March 12, 2021, we own a pending PCT international patent application, which has not reached the national phase yet, in this family. Any issued patents in this family are expected to expire in 2040. 4-1BB-specific DARPin binding proteins are used in our DARPin product candidate MP0310.</w:t>
      </w:r>
    </w:p>
    <w:p>
      <w:pPr>
        <w:spacing w:after="0" w:line="119" w:lineRule="exact"/>
        <w:rPr>
          <w:rFonts w:ascii="Arial" w:cs="Arial" w:eastAsia="Arial" w:hAnsi="Arial"/>
          <w:sz w:val="18"/>
          <w:szCs w:val="18"/>
          <w:color w:val="auto"/>
        </w:rPr>
      </w:pPr>
    </w:p>
    <w:p>
      <w:pPr>
        <w:ind w:left="340" w:right="22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2020/245171, relating to improved single domain DARPin binding proteins with specificity for HSA. As of March 12, 2021, we own a pending PCT international patent application, which has not reached the national phase yet, in this family. Any issued patents in this family are expected to expire in 2040. Disclosed HSA-specific DARPin binding proteins are used in our DARPin product candidates MP0310 and MP0317.</w:t>
      </w:r>
    </w:p>
    <w:p>
      <w:pPr>
        <w:spacing w:after="0" w:line="105" w:lineRule="exact"/>
        <w:rPr>
          <w:rFonts w:ascii="Arial" w:cs="Arial" w:eastAsia="Arial" w:hAnsi="Arial"/>
          <w:sz w:val="18"/>
          <w:szCs w:val="18"/>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third category of protection covers the composition of matter of certain of our DARPin product candidates (e.g., the specific combination and structure of DARPin binding proteins and additional elements that constitute the DARPin product candidate) as well as other product-specific inventions (e.g. formulation, manufacturing process or dosing schedule). Our patent applications and corresponding patents directed to our DARPin product candidates currently include:</w:t>
      </w:r>
    </w:p>
    <w:p>
      <w:pPr>
        <w:spacing w:after="0" w:line="119" w:lineRule="exact"/>
        <w:rPr>
          <w:sz w:val="20"/>
          <w:szCs w:val="20"/>
          <w:color w:val="auto"/>
        </w:rPr>
      </w:pPr>
    </w:p>
    <w:p>
      <w:pPr>
        <w:ind w:left="340" w:right="22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2011/135067, relating to abicipar. As of March 12, 2021, we own four issued U.S. patents, one pending U.S. patent application, sixty-five issued foreign patents and four pending foreign patent applications in this family. Any issued patents in this family are expected to expire in 2031, not considering any patent term extensions that may be available in various jurisdictions if abicipar obtains regulatory approval there.</w:t>
      </w:r>
    </w:p>
    <w:p>
      <w:pPr>
        <w:spacing w:after="0" w:line="105" w:lineRule="exact"/>
        <w:rPr>
          <w:rFonts w:ascii="Arial" w:cs="Arial" w:eastAsia="Arial" w:hAnsi="Arial"/>
          <w:sz w:val="18"/>
          <w:szCs w:val="18"/>
          <w:color w:val="auto"/>
        </w:rPr>
      </w:pPr>
    </w:p>
    <w:p>
      <w:pPr>
        <w:ind w:left="340" w:right="26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2016/156596, relating to MP0250. As of March 12, 2021, we own two issued U.S. patent, one pending U.S. patent application, six issued foreign patents and twenty pending foreign patent applications in this family. Any patent that has been or may be granted in this patent family is expected to expire in 2036, not considering any patent term extensions that may be available in various jurisdictions if MP0250 obtains regulatory approval there.</w:t>
      </w:r>
    </w:p>
    <w:p>
      <w:pPr>
        <w:spacing w:after="0" w:line="119"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of patent applications based on international patent application WO 2018/054971, relating to MP0274. As of March 12, 2021, we own one issued U.S. patent, one pending U.S. patent application, two issued foreign patents and twenty-one pending foreign patent applications in this family. Any patents that may be granted in this patent family are expected to expire in 2037, not considering any patent term extensions that may be available in various jurisdictions if MP0274 obtains regulatory approval there.</w:t>
      </w:r>
    </w:p>
    <w:p>
      <w:pPr>
        <w:spacing w:after="0" w:line="119"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2020/245746, relating to MP0310. As of March 7, 2021, we own one pending U.S. patent application, four pending foreign patent applications and one pending PCT international patent application in this family. Any patents that may be granted in this patent family are expected to expire in 2040, not considering any patent term extensions that may be available in various jurisdictions if MP0310 obtains regulatory approval there.</w:t>
      </w:r>
    </w:p>
    <w:p>
      <w:pPr>
        <w:spacing w:after="0" w:line="105"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 including patent applications relating to abicipar, MP0317, ensovibep and MP0423.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U.S. Food and Drug Administration, or FDA, approval, only one patent applicable to each regulatory review period may be extended and only those claims covering the approved drug, method for using it or a method of manufacturing it may be extended. In the future, if and when our product candidates, including abicipar, MP0250, MP0274, MP0310, MP0317, ensovibep and MP0423 receive approval by the FDA, EMA or any other 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spacing w:after="0" w:line="1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may rely, in some circumstances, on trade secrets and know-how to protect our technology. However, trade secrets and know-how can be difficult to protect. We seek to protect our proprietary technology and processes, in part, through confidentiality agreements and invention assignment agreements with our employees, consultants, scientific advisors, contractors and commercial partners. We also seek to preserve the integrity and confidentiality of our data and trade secrets by maintaining physical security of our premises and physical and electronic security of our information technology systems.</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own registrations for the trademarks “Molecular Partners” and “DARPin” in Switzerland, the European Union, the United States and Japan. Further, we intend to build up a trademark portfolio for the names of our technologies and product candidates as potential commercialization approaches.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risks related to our intellectual property, please see “Risk Factors—Risks Related to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and Equity Rights Agreement with Novartis</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October 2020, we entered into an Option and Equity Rights agreement with Novartis, or the Novartis Agreement. Under the Novartis Agreement, we granted Novartis an option to exclusively license global rights of ensovibep and MP0423, our COVID-19 antiviral DARPin product candidates. Under the terms of the Novartis Agreement, we received a non-refundable cash payment of CHF 20 million for development activities regarding technology transfer and manufacturing for the commercial supply of ensovibep. As part of the transaction, Novartis also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acquire CHF 40 million worth of our common shares, at a price of CHF 23 per share. As a result, Novartis holds approximately 6% of our outstanding shares as of March 31, 2021.</w:t>
      </w:r>
    </w:p>
    <w:p>
      <w:pPr>
        <w:spacing w:after="0" w:line="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Novartis Agreement, we will conduct Phase 1 clinical trials for ensovibep.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our clinical development of ensovibep. A Phase 2/3 clinical trial for ensovibep initiated enrollment in May 2021, and manufacturing of MP0423 clinical batches has been completed as we prepare for a potential Phase 1 clinical trial.</w:t>
      </w:r>
    </w:p>
    <w:p>
      <w:pPr>
        <w:spacing w:after="0" w:line="10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Novartis exercises its option, we would grant Novartis a sublicensable worldwide license to research, develop, manufacture, commercialize and otherwise exploit ensovibep and MP0423 and products comprising those compounds in all indications on (i) an exclusive royalty-bearing basis under our patents having claims solely and specifically covering ensovibep and MP0423 and their use, composition, formulation, preparation or manufacture and related know-how and (ii) a non-exclusive basis under our other patent rights and other intellectual property rights that are necessary or reasonably useful to research, develop, manufacture, prepare, use or commercialize ensovibep and MP0423. 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on the latest of the expiration of the last valid claim covering such product, ten years after such sale, and expiration of regulatory exclusivity. Upon exercise of such option, Novartis would be responsible for all further development and commercialization activities.</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Novartis Agreement will expire nine months after the effective date, although Novartis may unilaterally extend the term for an additional six months upon prior written notice. If Novartis exercises its option, the Novartis Agreement will continue in effect until execution of the definitive license agreements. Novartis may terminate the Novartis Agreement at any time upon (i) a specified period of prior written notice in the event of our change of control, or (ii) immediately in the event any clinical trial is terminated or otherwise stopped.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 with Amgen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Under the Amgen Agreement, we and Amgen will jointly evaluate MP0310 / AMG 506 in combination with Amgen’s oncology pipeline products, including its investigational BiTE molecules. In accordance with a mutually agreed development plan, we will conduct the Phase 1a clinical trials and Amgen will be responsible for all subsequent development of MP0310 / AMG 506 after completion of the Phase 1a clinical trials. We and Amgen have established a joint steering committee to oversee the research, information sharing, and potential amendments of the research plan. Each party is responsible for development costs incurred by it until the beginning of Phase 2 clinical trial, after which point the parties will each contribute a fixed percentage of the development costs on the first three indications. Amgen is required to use commercially reasonable efforts to develop MP0310 / AMG 506 in combination with at least one of Amgen’s oncology pipeline products in certain major markets.</w:t>
      </w:r>
    </w:p>
    <w:p>
      <w:pPr>
        <w:spacing w:after="0" w:line="9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term of the Amgen Agreement, we cannot directly or through a third party develop, manufacture or commercialize any product that binds to or targets the same target as the licensed bispecific TCE, subject to certain exceptions and limitations for third party acquiror products.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royalties based on commercial sales levels from low double digit up to the high teens percentages of net sales of licensed products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Amgen Agreement expires on a country-by-country basis upon the expiration of Amgen’s payment obligations in such country. Amgen may terminate the Amgen Agreement in its entirety for convenience following a certain notice period. Either party may terminate the Amgen Agreement upon an uncured material breach of the agreement or insolvency of the other party following a certain notice period. Following any termination, we have certain rights to receive a license to certain intellectual property generated by Amgen under the Amgen Agreement for purposes of continued development and commercialization of MP0310 / AMG 506.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Abicipar Agreement with Allergan, an AbbVie Company</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8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term of the Allergan Agreement, we are prohibited from developing and commercializing any abicipar in any indication, as well certain DARPin compounds that inhibit vascular endothelial growth factor A receptors.</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Allergan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Allergan may terminate the Allergan Agreement in its entirety for convenience following a certain notice period. We may terminate immediately the Allergan Agreement immediately upon written notice to Allergan if Allergan challenges the validity, enforceability or scope of any of the patents we license to Allergan under the agreement. Either party may terminate the agreement upon the other party’s uncured material breach of the agreement.</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Discovery Alliance Agreement with Allergan, an AbbVie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2012, we strategically expanded our existing relationship with Allergan by entering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on the latest of the expiration of the last valid claim covering such product, ten years after such sale, and expiration of regulatory exclusivity.</w:t>
      </w:r>
    </w:p>
    <w:p>
      <w:pPr>
        <w:spacing w:after="0" w:line="1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Discovery Alliance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We may terminate immediately upon written notice to Allergan if Allergan challenges the validity, enforceability or scope of any of the patents we license to Allergan anywhere in the world. Either party may terminate the agreement upon the other party’s uncured material breach of the agreement.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 with the University of Zurich</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majority of patents under this license agreement will expire in September 2021 and we have elected to terminate the agreement effective October 2021. We are exploring entering into a non-exclusive license with the University of Zurich for the remaining U.S. patent that will expire in 2023. However, we do not expect that an inability to enter into such a non-exclusive license for this remaining U.S. patent would have a material impact on our business.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CHF 10.9 million in various royalty and sublicense-based payments, including a minimum annual payments of at least CHF 50,000 per year.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Product Approval</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Product Development Process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spacing w:after="0" w:line="113" w:lineRule="exact"/>
        <w:rPr>
          <w:sz w:val="20"/>
          <w:szCs w:val="20"/>
          <w:color w:val="auto"/>
        </w:rPr>
      </w:pPr>
    </w:p>
    <w:p>
      <w:pPr>
        <w:ind w:left="340" w:right="3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57"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or GCPs, and any additional requirements for the protection of human research patients and their health information, to establish the safety and efficacy of the proposed biological product for its intended use;</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 Biologics Licensing Application, or BLA, for marketing approval that includes substantial evidence of safety, purity, and potency from results of nonclinical testing and clinical trials;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7" w:lineRule="exact"/>
        <w:rPr>
          <w:rFonts w:ascii="Arial" w:cs="Arial" w:eastAsia="Arial" w:hAnsi="Arial"/>
          <w:sz w:val="18"/>
          <w:szCs w:val="18"/>
          <w:color w:val="auto"/>
        </w:rPr>
      </w:pPr>
    </w:p>
    <w:p>
      <w:pPr>
        <w:ind w:left="340" w:right="120" w:hanging="332"/>
        <w:spacing w:after="0" w:line="342"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56" w:lineRule="exact"/>
        <w:rPr>
          <w:rFonts w:ascii="Arial" w:cs="Arial" w:eastAsia="Arial" w:hAnsi="Arial"/>
          <w:sz w:val="16"/>
          <w:szCs w:val="16"/>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0"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44" w:lineRule="exact"/>
        <w:rPr>
          <w:sz w:val="20"/>
          <w:szCs w:val="20"/>
          <w:color w:val="auto"/>
        </w:rPr>
      </w:pPr>
    </w:p>
    <w:p>
      <w:pPr>
        <w:ind w:left="340" w:right="20" w:hanging="332"/>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116" w:lineRule="exact"/>
        <w:rPr>
          <w:rFonts w:ascii="Arial" w:cs="Arial" w:eastAsia="Arial" w:hAnsi="Arial"/>
          <w:sz w:val="18"/>
          <w:szCs w:val="18"/>
          <w:color w:val="auto"/>
        </w:rPr>
      </w:pPr>
    </w:p>
    <w:p>
      <w:pPr>
        <w:ind w:left="340" w:right="560" w:hanging="332"/>
        <w:spacing w:after="0" w:line="342" w:lineRule="auto"/>
        <w:tabs>
          <w:tab w:leader="none" w:pos="33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spacing w:after="0" w:line="56" w:lineRule="exact"/>
        <w:rPr>
          <w:rFonts w:ascii="Arial" w:cs="Arial" w:eastAsia="Arial" w:hAnsi="Arial"/>
          <w:sz w:val="16"/>
          <w:szCs w:val="16"/>
          <w:color w:val="auto"/>
        </w:rPr>
      </w:pPr>
    </w:p>
    <w:p>
      <w:pPr>
        <w:ind w:left="340" w:right="140" w:hanging="332"/>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Written IND safety reports must be promptly submitted to the FDA and the investigators for serious and unexpected adverse events, any findings from other studies, tests in laboratory animals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patients,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1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58"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FDA concludes a REMS is needed, the sponsor of the BLA must submit a proposed REMS. The FDA will not approve a BLA without a REMS, if required.</w:t>
      </w:r>
    </w:p>
    <w:p>
      <w:pPr>
        <w:spacing w:after="0" w:line="8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uses.Violations, including 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product. cGMP regulations require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spacing w:after="0" w:line="100"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warning letters, untitled letters, or clinical holds;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adverse publicity, FDA mandated corrective advertising or communications with doctors;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Marketing Exclusivity</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Laws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1440" w:right="399" w:bottom="1440" w:gutter="0" w:footer="0" w:header="0"/>
        </w:sectPr>
      </w:pPr>
    </w:p>
    <w:bookmarkStart w:id="162" w:name="page163"/>
    <w:bookmarkEnd w:id="162"/>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drug products. In addition, a biopharmaceutical company may be subject to patient data privacy and security regulation by both the federal government and the states in which it conducts its business. The laws that may affect a biopharmaceutical company’s ability to operate include:</w:t>
      </w:r>
    </w:p>
    <w:p>
      <w:pPr>
        <w:spacing w:after="0" w:line="65" w:lineRule="exact"/>
        <w:rPr>
          <w:sz w:val="20"/>
          <w:szCs w:val="20"/>
          <w:color w:val="auto"/>
        </w:rPr>
      </w:pPr>
    </w:p>
    <w:p>
      <w:pPr>
        <w:ind w:left="340" w:right="80" w:hanging="332"/>
        <w:spacing w:after="0" w:line="279"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103" w:lineRule="exact"/>
        <w:rPr>
          <w:rFonts w:ascii="Arial" w:cs="Arial" w:eastAsia="Arial" w:hAnsi="Arial"/>
          <w:sz w:val="17"/>
          <w:szCs w:val="17"/>
          <w:color w:val="auto"/>
        </w:rPr>
      </w:pPr>
    </w:p>
    <w:p>
      <w:pPr>
        <w:ind w:left="340" w:right="120" w:hanging="332"/>
        <w:spacing w:after="0" w:line="25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w:t>
      </w:r>
    </w:p>
    <w:p>
      <w:pPr>
        <w:spacing w:after="0" w:line="120" w:lineRule="exact"/>
        <w:rPr>
          <w:rFonts w:ascii="Arial" w:cs="Arial" w:eastAsia="Arial" w:hAnsi="Arial"/>
          <w:sz w:val="18"/>
          <w:szCs w:val="18"/>
          <w:color w:val="auto"/>
        </w:rPr>
      </w:pPr>
    </w:p>
    <w:p>
      <w:pPr>
        <w:ind w:left="340" w:right="40" w:hanging="332"/>
        <w:spacing w:after="0" w:line="311"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right="240" w:hanging="332"/>
        <w:spacing w:after="0" w:line="271"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or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 and</w:t>
      </w:r>
    </w:p>
    <w:p>
      <w:pPr>
        <w:spacing w:after="0" w:line="97" w:lineRule="exact"/>
        <w:rPr>
          <w:rFonts w:ascii="Arial" w:cs="Arial" w:eastAsia="Arial" w:hAnsi="Arial"/>
          <w:sz w:val="17"/>
          <w:szCs w:val="17"/>
          <w:color w:val="auto"/>
        </w:rPr>
      </w:pPr>
    </w:p>
    <w:p>
      <w:pPr>
        <w:ind w:left="340" w:hanging="332"/>
        <w:spacing w:after="0" w:line="272"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3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which seek to reduce healthcare costs and improve the quality of healthcare. For example, 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biopharmaceutical companies are the following:</w:t>
      </w:r>
    </w:p>
    <w:p>
      <w:pPr>
        <w:spacing w:after="0" w:line="144" w:lineRule="exact"/>
        <w:rPr>
          <w:sz w:val="20"/>
          <w:szCs w:val="20"/>
          <w:color w:val="auto"/>
        </w:rPr>
      </w:pPr>
    </w:p>
    <w:p>
      <w:pPr>
        <w:ind w:left="340" w:right="40" w:hanging="332"/>
        <w:spacing w:after="0" w:line="263"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16" w:lineRule="exact"/>
        <w:rPr>
          <w:rFonts w:ascii="Arial" w:cs="Arial" w:eastAsia="Arial" w:hAnsi="Arial"/>
          <w:sz w:val="18"/>
          <w:szCs w:val="18"/>
          <w:color w:val="auto"/>
        </w:rPr>
      </w:pPr>
    </w:p>
    <w:p>
      <w:pPr>
        <w:ind w:left="340" w:right="200" w:hanging="332"/>
        <w:spacing w:after="0" w:line="308"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8" w:lineRule="exact"/>
        <w:rPr>
          <w:rFonts w:ascii="Arial" w:cs="Arial" w:eastAsia="Arial" w:hAnsi="Arial"/>
          <w:sz w:val="17"/>
          <w:szCs w:val="17"/>
          <w:color w:val="auto"/>
        </w:rPr>
      </w:pPr>
    </w:p>
    <w:p>
      <w:pPr>
        <w:ind w:left="340" w:right="100" w:hanging="332"/>
        <w:spacing w:after="0" w:line="286"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84" w:lineRule="exact"/>
        <w:rPr>
          <w:rFonts w:ascii="Arial" w:cs="Arial" w:eastAsia="Arial" w:hAnsi="Arial"/>
          <w:sz w:val="17"/>
          <w:szCs w:val="17"/>
          <w:color w:val="auto"/>
        </w:rPr>
      </w:pPr>
    </w:p>
    <w:p>
      <w:pPr>
        <w:ind w:left="340" w:right="28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0"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a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0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Further, there has also been heightened governmental scrutiny over the manner in which manufacturers set prices for their marketed products. Specifically, there have been several recent Congressional inquiries and proposed and enacted federal and state legislation designed to, among other things, bring more transparency to drug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also possible that additional governmental action will be taken in response to the COVID-19 pandemic.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in the European Union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European Union and national regulations and the international council for harmonization, or ICH, guidelines on GCP. Additional GCP guidelines from the EC, focusing in particular on traceability, apply to clinical trials of advanced therapy medicinal products. The sponsor must take out a clinical trial insurance policy, and in most European Union countries, the sponsor is liable to provide “no fault” compensation to any study subject injured in the clinical trial.</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European Union Member State in which the trial will be conducted. Under the new Regulation on Clinical Trials, which is expected to take effect in 2021,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 Medicines used in clinical trials must be manufactured in accordance with cGMP.</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controls testing), nonclinical testing and clinical studies, and pharmacovigilance plans and risk-management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 in the European Union</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order to market a new medicinal product in the European Union, a company must submit a marketing authorization application, or MAA, to either the EMA using the centralized procedure, or competent authorities in European Union Member States using the other procedures (decentralized procedure, national procedure, or mutual recognition procedure). A marketing authorization, or MA may only be granted to an applicant established in the European Union, or Norway, Iceland, and Liechtenstein, who are members of the European Economic Area, or European Economic Area. Medicinal products can only be commercialized after obtaining an MA pursuant to one of the three processes outlined below:</w:t>
      </w:r>
    </w:p>
    <w:p>
      <w:pPr>
        <w:spacing w:after="0" w:line="109" w:lineRule="exact"/>
        <w:rPr>
          <w:sz w:val="20"/>
          <w:szCs w:val="20"/>
          <w:color w:val="auto"/>
        </w:rPr>
      </w:pPr>
    </w:p>
    <w:p>
      <w:pPr>
        <w:ind w:left="340" w:hanging="332"/>
        <w:spacing w:after="0" w:line="271" w:lineRule="auto"/>
        <w:tabs>
          <w:tab w:leader="none" w:pos="3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Centralized MA, which is issued by the European Commission through the Centralized Procedure, based on the scientific opinion of the Committee for Medicinal Products for Human Use of the EMA, and which is valid throughout the entire territory of the European Union/European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Union/European Economic Area, or for products that constitute a significant therapeutic, scientific or technical innovation or which are in the interest of public health in the European Union.</w:t>
      </w:r>
    </w:p>
    <w:p>
      <w:pPr>
        <w:spacing w:after="0" w:line="97" w:lineRule="exact"/>
        <w:rPr>
          <w:rFonts w:ascii="Arial" w:cs="Arial" w:eastAsia="Arial" w:hAnsi="Arial"/>
          <w:sz w:val="17"/>
          <w:szCs w:val="17"/>
          <w:color w:val="auto"/>
        </w:rPr>
      </w:pPr>
    </w:p>
    <w:p>
      <w:pPr>
        <w:ind w:left="340" w:right="100" w:hanging="332"/>
        <w:spacing w:after="0" w:line="287" w:lineRule="auto"/>
        <w:tabs>
          <w:tab w:leader="none" w:pos="3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Decentralized Procedure MAs are available for products not falling within the mandatory scope of the Centralized Procedure. An identical dossier is submitted to the competent authorities of each of the Member States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w:t>
      </w:r>
    </w:p>
    <w:p>
      <w:pPr>
        <w:spacing w:after="0" w:line="104" w:lineRule="exact"/>
        <w:rPr>
          <w:rFonts w:ascii="Arial" w:cs="Arial" w:eastAsia="Arial" w:hAnsi="Arial"/>
          <w:sz w:val="16"/>
          <w:szCs w:val="16"/>
          <w:color w:val="auto"/>
        </w:rPr>
      </w:pPr>
    </w:p>
    <w:p>
      <w:pPr>
        <w:ind w:left="340" w:right="60" w:hanging="332"/>
        <w:spacing w:after="0" w:line="259"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National MAs, which are issued by a single competent authority of the Member States of the European Economic Area and only covers their respective territory, are also available for products not falling within the mandatory scope of the Centralized Procedure. Once a product has been authorized for marketing in a Member State of the European Economic Area through the National Procedure, this National MA can also be recognized in other Member States through the Mutual Recognition Procedure.</w:t>
      </w:r>
    </w:p>
    <w:p>
      <w:pPr>
        <w:spacing w:after="0" w:line="11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Under the procedures described above, before granting the MA, the EMA or the competent authority(ies) of the Member State(s) of the European Economic Area prepare an assessment of the risk-benefit balance of the product against the scientific criteria concerning its quality, safety and efficacy.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 in the European Union</w:t>
      </w:r>
    </w:p>
    <w:p>
      <w:pPr>
        <w:spacing w:after="0" w:line="15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Regulation (EC) No 726/2004/EC and Directive 2001/83/EC (each as amended), the European Union has adopted a harmonized approach to data and market protection or exclusivity (known as the 8 + 2 + 1 formula). The data exclusivity period begins to run on the date when the first MA is granted in the European Union. It confers on the MA holder of the reference medicinal product eight years of data exclusivity and ten years of market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0"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A reference medicinal product is defined to mean a medicinal product authorized based on a full dossier consisting of pharmaceutical and preclinical testing results and clinical trial data, such as a medicinal product containing a new active substance. The ten-year market protection can be extended cumulatively to a maximum period of eleven years if during the first eight years of those ten years of protection period, the MA holder obtains an authorization for one or more new therapeutic indications that are deemed to bring a significant clinical benefit compared to existing therapies.</w:t>
      </w:r>
    </w:p>
    <w:p>
      <w:pPr>
        <w:spacing w:after="0" w:line="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exclusivity period means that an applicant for a generic medicinal product is not permitted to rely on preclinical pharmacological, toxicological, and clinical data contained in the file of the reference medicinal product of the originator until the first eight years of data exclusivity have expired. Thereafter, a generic product application may be submitted and generic companies may rely on the preclinical and clinical data relating to the reference medicinal product to support approval of the generic product. However, a generic product cannot market until ten years have elapsed from the initial authorization of the reference medicinal product or eleven years if the protection period is extended, based on the formula of 8+2+1.</w:t>
      </w:r>
    </w:p>
    <w:p>
      <w:pPr>
        <w:spacing w:after="0" w:line="1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above, where an application is made for a new indication for a well-established substance, a non-cumulative period of one year of data exclusivity may be granted, provided that significant preclinical or clinical studies were carried out in relation to the new indication. Finally, where a change of classification of a medicinal product has been authorized on the basis of significant preclinical tests or clinical trials, the competent authority shall not refer to the results of those tests or trials when examining an application by another applicant for or holder of marketing authorization for a change of classification of the same substance for one year after the initial change was authorized.</w:t>
      </w:r>
    </w:p>
    <w:p>
      <w:pPr>
        <w:spacing w:after="0" w:line="1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8 + 2 + 1 exclusivity scheme applies to products that have been authorized in the European Union by the European Commission through the Centralized Procedure or the competent authorities of the Member States of the European Economic Area nationally, including through the Decentralized and Mutual Recognition procedures.</w:t>
      </w:r>
    </w:p>
    <w:p>
      <w:pPr>
        <w:spacing w:after="0" w:line="10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a medicinal product which has received orphan designation under Regulation 141/2000, it will, benefit from a period of ten years of orphan market exclusivity which essentially constitutes a period of market monopoly. During this period of orphan market exclusivity, no European Union regulatory authority is permitted to accept or approve an application for marketing authorization for a similar medicinal product or an extension application for the same therapeutic indication. This period can be extended cumulatively to a total of twelve years if the marketing authorization holder or applicant complies with the requirements for an agreed pediatric investigation plan pursuant to Regulation 1901/2006.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Authorization Obligations in the European Union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holder of a Centralized MA or National MA is subject to various obligations under the applicable European Union laws, such as 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The holder must also ensure that the manufacturing and batch release of its product is in compliance with the applicable requirements. The MA holder is further obligated to ensure that the advertising and promotion of its products complies with applicable European Union laws and industry code of practice as implemented in the domestic laws of the Member States of the European Union/European Economic Area. The advertising and promotional rules are enforced nationally by the European Union/European Economic Area Member States.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 in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European Union, companies developing a new medicinal product must agree to a Pediatric Investigation Plan, or PIP, with the EMA and must conduct pediatric clinical trials in accordance with that PIP, unless a deferral or waiver applies, (e.g.,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European Union</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Governments influence the price of medicinal products in the European Union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23, 2016, the electorate in the United Kingdom voted in favor of Brexit and the United Kingdom officially withdrew from the European Union on January 31, 2020.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which outlines the future trading relationship between the United Kingdom and the European Union was agreed in December 2020.</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For two years from 1 January 2021, the Medicines and Healthcare products Regulatory Agency, or MHRA, may adopt decisions taken by the European Commission on the approval of new marketing authorizations through the centralized procedure, and the MHRA will have regard to marketing authorizations approved in a country in the European Economic Area (although in both cases a marketing authorization will only be granted if any Great Britain-specific requirements are met). Various national procedures are now available to place a drug on the market in the United Kingdom, Great Britain, or Northern Ireland, with the main national procedure having a maximum timeframe of 150 days (excluding time taken to provide any further information or data required). The data exclusivity periods in the United Kingdom are currently in line with those in the European Union, but the Trade and Cooperation Agreement provides that the periods for both data and market exclusivity are to be determined by domestic law, and so there could be divergence in the future. It is currently unclear whether the MHRA in the United Kingdom is sufficiently prepared to handle the increased volume of marketing authorization applications that it is likely to receive.</w:t>
      </w:r>
    </w:p>
    <w:p>
      <w:pPr>
        <w:spacing w:after="0" w:line="11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Orphan designation in Great Britain following Brexit is essentially identical to the position in the European Union, but is based on the prevalence of the condition in Great Britain. It is therefore possible that conditions that are currently designated as orphan conditions in Great Britain will no longer be and that conditions that are not currently designated as orphan conditions in the European Union will be designated as such in Great Britain.</w:t>
      </w:r>
    </w:p>
    <w:p>
      <w:pPr>
        <w:spacing w:after="0" w:line="68"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European Union’s regulatory environment for clinical trials is being harmonized as part of the Clinical Trial Regulations, which are due to enter into full effect at the end of 2021, but it is currently unclear as to what extent the United Kingdom will seek to align its regulations with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Furthermore, rules and regulations regarding reimbursement change frequently and, in some cases, upon short notice.</w:t>
      </w:r>
    </w:p>
    <w:p>
      <w:pPr>
        <w:spacing w:after="0" w:line="1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Increasing emphasis on cost-containment initiatives in Europe, Canada and other 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Increasing efforts by governmental and third-party payors in the European Union, the United States and abroad to cap or reduce healthcare costs can cause such organizations to limit coverage and reimbursement for drug products.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antibody targets, new technologies for optimizing antibodies, talent, financial resources, intellectual property rights and collaboration opportunities. Many of our competitors and potential competitors have substantially greater scientific, research and product development capabilities, and greater financial, manufacturing, marketing and sales and human resources than we do. In addition, there is intense competition for establishing clinical trial sites and recruiting and registering patients for clinical trials. Many specialized biotechnology companies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Regarding ensovibep and MP0423, our COVID-19 antiviral product candidates, there are a number of preventative vaccines in development for COVID-19, with three receiving an Emergency Use Authorization to date. However, as, in our view, vaccine coverage and efficacy will be less than 100%, we believe there will remain a need for therapeutic intervention for COVID-19 patients. There are hundreds of clinical trials examining various methods of treating COVID-19. To date, only a small number of these trials have resulted in data positive enough for regulators to approve therapeutics on either an emergency use or permanent basis. Therapeutics receiving Emergency Use Authorization for the treatment of COVID-19 patients include co-administration of casirivimab and imdevimab from Regeneron Pharmaceuticals, Inc., baricitinib (in combination with remdesivir), and bamlanivimab from Eli Lilly, and remdesivir from Gilead Sciences, Inc.</w:t>
      </w:r>
    </w:p>
    <w:p>
      <w:pPr>
        <w:spacing w:after="0" w:line="11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Competition in the oncology space is intense, with several common methods of treatment for patients with cancer, including surgery, radiation and drug therapy, and approved drugs that are well established therapies widely accepted by physicians, patients and third party payers. In addition, companies focused on immunotherapies, such as checkpoint inhibitors, seek to differentiate their immuno-oncology products either by identifying novel immune checkpoint targets or by combining established immune checkpoint inhibitors. If approved, either of MP0310 or MP0317 would compete with agents that are currently in development including monoclonal antibodies, or mAbs, and other small molecule approaches.</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face competition from segments of the pharmaceutical, biotechnology and other related markets with respect to our CD3 and peptide-MHC, or pMHC, programs. Any product candidates that we successfully develop and commercialize from these platforms may compete with existing products and new products that may become available in the future. There is intense competition in the field from multiple different treatment modalities and new approaches are continually emerging from different competitors, including Adaptimmune Therapeutics plc, TCR² Therapeutics, Immatics N.V., Immunocore Holdings plc and Harpoon Therapeutics Inc.</w:t>
      </w:r>
    </w:p>
    <w:p>
      <w:pPr>
        <w:spacing w:after="0" w:line="12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Competition in the ophthalmology space is intense, with currently approved anti-vascular endothelial growth factors, or VEGFs, such as Lucentis, Beovu and Eylea, as well as Avastin, which is widely prescribed off-label, are well established therapies and are widely accepted by physicians, patients and third-party payers as the standard of care for the treatment of nAMD. There are several other companies with marketed products or products in development for the treatment of nAMD, including Novartis, Roche, Bayer, Kodiak Sciences, REGENXBIO and Adverum Biotechnologies.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approved for the treatment of nAMD, abicipar is expected to compete with both approved anti-VEGF monotherapies, anti-platelet-derived growth factor, or PDGF therapies that are currently in development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combination therapy and multispecific drugs targeting both VEGF and PDGF. In addition, we may face competition from a number of product candidates currently in development.</w:t>
      </w:r>
    </w:p>
    <w:p>
      <w:pPr>
        <w:spacing w:after="0" w:line="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approved for treatment of DME, abicipar is expected to compete with currently approved therapies including steroids, laser therapy and anti-VEGF agents. Anti-VEGF drugs currently approved for DME include Lucentis, Eylea, Macugen, as well as Avastin, which is used off-label.</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approval. In addition, the level of generic competition and the availability of reimbursement from government and other third-party payors will impact the commercial viability of our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DARPin product candidates. We utilize third-party contract manufacturers for the manufacture of drug substances and products for human use. Since we rely on third-party contract manufacturers to produce our proprietary product candidates, we have recruited personnel with experience to manage the third-party contract manufacturers that will produce our proprietary product candidates in clinical or commercial quantities.</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design and develop the manufacturing process for the mono-DARPin proteins and multi-DARPin product candidates that are included in our DARPin product candidates, whether or not they are partnered. For purposes of our and our partner’s DARPin preclinical studies, we supply high quality gram scale DARPin material that we produce in our own facilities. We currently operate both a five- and ten-liter fermenter, which provides us with sufficient capacity to produce the quantities needed for DARPin preclinical studies.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we had 152 full-time equivalent employees (December 31, 2020: 145 full-time equivalents). None of our employees are represented by collective bargaining agreements. We believe that we maintain good relations with our employees. At each date shown, we had the following number of full time employees, broken out by department. The very large majority of our employees are based in Zurich, Switzerland. Two of our employees are based in Boston, Massachusetts.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 employees</w:t>
            </w:r>
          </w:p>
        </w:tc>
        <w:tc>
          <w:tcPr>
            <w:tcW w:w="20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At March 31,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r>
      <w:tr>
        <w:trPr>
          <w:trHeight w:val="210"/>
        </w:trPr>
        <w:tc>
          <w:tcPr>
            <w:tcW w:w="76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Function</w:t>
            </w:r>
          </w:p>
        </w:tc>
        <w:tc>
          <w:tcPr>
            <w:tcW w:w="2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jc w:val="right"/>
              <w:ind w:right="294"/>
              <w:spacing w:after="0"/>
              <w:rPr>
                <w:sz w:val="20"/>
                <w:szCs w:val="20"/>
                <w:color w:val="auto"/>
              </w:rPr>
            </w:pPr>
            <w:r>
              <w:rPr>
                <w:rFonts w:ascii="Arial" w:cs="Arial" w:eastAsia="Arial" w:hAnsi="Arial"/>
                <w:sz w:val="18"/>
                <w:szCs w:val="18"/>
                <w:color w:val="auto"/>
              </w:rPr>
              <w:t>125</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152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lease our principal executive office and laboratory space, animal facility and other facilities, consisting of an aggregate of 3,200 square meters, in Zurich-Schlieren, Switzerland. The leases for our principal executive office and laboratory space expire on December 31, 2026. We also have an office in Massachusetts for our U.S. subsidiary, Molecular Partners Inc. 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results of operations,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740"/>
          </w:cols>
          <w:pgMar w:left="320" w:top="1440" w:right="839" w:bottom="1440" w:gutter="0" w:footer="0" w:header="0"/>
        </w:sectPr>
      </w:pPr>
    </w:p>
    <w:bookmarkStart w:id="173" w:name="page174"/>
    <w:bookmarkEnd w:id="17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Executive Officers and Directors</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also referred to as members of the Management Board, and directors as of April 21, 2021. Unless otherwise stated, the business address for our directors and executive officers is c/o Molecular Partners AG, Wagistrasse 14, 8952 Schlieren, Switzerland.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bottom w:val="single" w:sz="8" w:color="auto"/>
            </w:tcBorders>
          </w:tcPr>
          <w:p>
            <w:pPr>
              <w:jc w:val="center"/>
              <w:ind w:left="1491"/>
              <w:spacing w:after="0"/>
              <w:rPr>
                <w:sz w:val="20"/>
                <w:szCs w:val="20"/>
                <w:color w:val="auto"/>
              </w:rPr>
            </w:pPr>
            <w:r>
              <w:rPr>
                <w:rFonts w:ascii="Arial" w:cs="Arial" w:eastAsia="Arial" w:hAnsi="Arial"/>
                <w:sz w:val="16"/>
                <w:szCs w:val="16"/>
                <w:b w:val="1"/>
                <w:bCs w:val="1"/>
                <w:color w:val="auto"/>
                <w:w w:val="85"/>
              </w:rPr>
              <w:t>Age</w:t>
            </w:r>
          </w:p>
        </w:tc>
        <w:tc>
          <w:tcPr>
            <w:tcW w:w="5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16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45</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Operating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16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72</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Chairman of the Board</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67</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51</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Dr. Vito Palombella</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59</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Vasconcelles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58</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44</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Dr. Patrick Amstutz, Ph.D</w:t>
      </w:r>
      <w:r>
        <w:rPr>
          <w:rFonts w:ascii="Arial" w:cs="Arial" w:eastAsia="Arial" w:hAnsi="Arial"/>
          <w:sz w:val="18"/>
          <w:szCs w:val="18"/>
          <w:color w:val="auto"/>
        </w:rPr>
        <w:t>., one of our founders, has served as our Chief Executive Officer since November 2016, as an executive director since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the Company’s management team since its inception in 2004. Previously, he served as our Chief Operating Officer from 2014 to 2016 and as our Chief Business Officer from 2006 to 2014. Since 2017, Dr. Amstutz has served as Vice-President of the Board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Dr. Michael Tobias Stumpp, Ph.D</w:t>
      </w:r>
      <w:r>
        <w:rPr>
          <w:rFonts w:ascii="Arial" w:cs="Arial" w:eastAsia="Arial" w:hAnsi="Arial"/>
          <w:sz w:val="18"/>
          <w:szCs w:val="18"/>
          <w:color w:val="auto"/>
        </w:rPr>
        <w:t>., one of our founders, has served as our Chief Operating Officer since June 2018. Previously, he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from 2007 to June 2018. Prior to joining our company, Dr. Stumpp studied at Imperial College London from 1995 to 1996, studied at Swiss Federal Institute of Technology from 1993 to 1997, and studied at Tokyo Institute of Technology from 1997 to 1999. Dr. Stumpp received his Ph.D. in 2004 from the University of Zurich.</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Andreas Emmenegger </w:t>
      </w:r>
      <w:r>
        <w:rPr>
          <w:rFonts w:ascii="Arial" w:cs="Arial" w:eastAsia="Arial" w:hAnsi="Arial"/>
          <w:sz w:val="17"/>
          <w:szCs w:val="17"/>
          <w:color w:val="auto"/>
        </w:rPr>
        <w:t>has served as our Chief Financial Officer and Co-Entrepreneur since February 2007. Prior to joining Molecular Partners, he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Glycart Biotechnology AG where he had a leading role in the CHF 235 million trade sale to F. Hoffmann-La Roche AG in 2005. Mr. Emmenegger was Head of Strategic Alliance Finance (Genentech) for Roche Headquarters, Basel, Switzerland. He has more than 20 years of experience as a chief financial officer of several public and private multinational companies, 15 years of which have been in the biotechnology industry. He led our SIX Swiss Exchange initial public offering in 2014. In addition, Mr. Emmenegger has more than 10 years of international industry experience in banking, capital markets, mergers and acquisitions and human resources. Since 2016, he has been a member of the board of directors of the Luzerner Kantonalbank, Switzerland, a publicly listed bank. Mr. Emmenegger holds a degree in finance, economics and business administration as well as an Executive MBA degree from IESE Business School, Barcelona.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Dr. Nicolas Leupin, M.D., MBA</w:t>
      </w:r>
      <w:r>
        <w:rPr>
          <w:rFonts w:ascii="Arial" w:cs="Arial" w:eastAsia="Arial" w:hAnsi="Arial"/>
          <w:sz w:val="16"/>
          <w:szCs w:val="16"/>
          <w:color w:val="auto"/>
        </w:rPr>
        <w:t>, has served as our Chief Medical Officer since September 2019 Dr. Leupin is a medical oncologist with a successful track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in drug development, most recently as Chief Medical Officer of argenx from 2016 to 2019, a clinical-stage biotechnology company developing antibody-based therapies for treatment of severe autoimmune diseases and cancer. In that role he led the company’s global clinical strategy and execution, successfully supporting the company’s transformation into a late-stage clinical company, and was responsible for translating preclinical hypotheses into innovative proof-of concept clinical trials. Prior to argenx, Dr. Leupin held roles of increasing responsibility at Celgene, where he supported the clinical development of several drug candidates in lymphoma and multiple myeloma, resulting in regulatory filings in Europe and the United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William M. Burns </w:t>
      </w:r>
      <w:r>
        <w:rPr>
          <w:rFonts w:ascii="Arial" w:cs="Arial" w:eastAsia="Arial" w:hAnsi="Arial"/>
          <w:sz w:val="16"/>
          <w:szCs w:val="16"/>
          <w:color w:val="auto"/>
        </w:rPr>
        <w:t>has served as Chairman of our board of directors since April 2018 and a director since October 2017. Mr. Burns has served in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positions at Roche Pharmaceuticals, including as Chief Executive Officer from January 2004 to December 2009, Head of the Pharmaceuticals Division from 2001 to 2004, Head of Europe and International Business from 1998 to 2001, and Global Head of Strategic Marketing and Business from 1991 to 1998. Mr. Burns has served as Non-Executive Vice Chairman of Mesoblast Limited since September 2016 and as Chairman of Vestergaard Frandsen S.A. since 2017. He served as an Independent Non-Executive Director of Shire plc from March 2010 to April 2016, when he became its Senior Independent Non-Executive Director until he retired from the board in April 2018. He serves as a member of the Novo Holdings Advisory Group. Mr. Burns is also a Governor/Trustee of two charities: the Wellcome Trust and the Institute of Cancer Research, both in the UK. Mr. Burns also serves as a member of the Scientific Advisory Board of the University of Cologne/Bonn Center for Integrated Oncology. Mr. Burns holds a Bachelor of Arts in Business Economics from the University of Strathclyde. Our board of directors believes that Mr. Burns' experience with the healthcare and pharmaceutical industries and his broad management experience provide him with the qualifications and skills to serve as a director.</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Steven H. Holtzman </w:t>
      </w:r>
      <w:r>
        <w:rPr>
          <w:rFonts w:ascii="Arial" w:cs="Arial" w:eastAsia="Arial" w:hAnsi="Arial"/>
          <w:sz w:val="16"/>
          <w:szCs w:val="16"/>
          <w:color w:val="auto"/>
        </w:rPr>
        <w:t>has served as a director since May 2014. He is the chair of the boards of directors of Qihan Biotech and Camp4 Biotherapeutics,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founder and member of the board of directors of Shoreline Bio, each private biotechnology companies. Since January 2020, he has served as a strategic advisor to Decibel Therapeutics, a private biotechnology company, where he served as the company’s first president and chief executive officer and a member of the board of directors from 2016 to 2020. Prior to joining Decibel, he served as Executive Vice President, Corporate Development of Biogen Idec with responsibility for Business Development and Mergers and Acquisitions, and Program Leadership and Management from January 2011 to March 2016. From July 2001 to January 2011, he served as the founder, Chief Executive Officer and Chairman of Infinity Pharmaceuticals, a cancer drug discovery and development company. He is a trustee of The Berklee College of Music and a senior fellow at the Belfer Center for Science and International Affairs at the Harvard Kennedy School. Mr. Holtzman received a BA in Philosophy from Michigan State University in 1976 and a B.Phil. in Philosophy from Oxford University in 1979, which he attended as a Rhodes Scholar. Our board of directors believes that Mr. Holtzman's experience in the biotechnology industry and his broad management experience provide him with the qualifications and skills to serve as a director.</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Sandip Kapadia </w:t>
      </w:r>
      <w:r>
        <w:rPr>
          <w:rFonts w:ascii="Arial" w:cs="Arial" w:eastAsia="Arial" w:hAnsi="Arial"/>
          <w:sz w:val="16"/>
          <w:szCs w:val="16"/>
          <w:color w:val="auto"/>
        </w:rPr>
        <w:t>has served as a director since April 2020. Mr. Kapadia currently serves as chief financial officer of Harmony Bioscience. Mr. Kapadia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20 years of experience in building and leading finance and administration teams at life sciences companies both in Europe and in the United States. Prior to joining Harmony Bioscience, Mr. Kapadia was chief financial officer and treasurer at Intercept Pharmaceuticals from 2016 to end of March 2021. Prior to joining Intercept in 2016, Mr. Kapadia held numerous finance leadership positions over 19 years at Novartis and Novartis affiliates in the United States, Switzerland, the Netherlands, and the United Kingdom, including Chief Financial Officer of North America at Novartis’s generic division, Sandoz. Mr. Kapadia is currently a director of Passage Bio since January 2020 and Vectiv Bio Holding AG since December 2020, and previously of Therachon AG. Mr. Kapadia earned his bachelor’s degree in business administration and accounting from Montclair State University, an MBA from Rutgers Graduate School of Management, and is a certified public accountant. Our board of directors believes that Mr. Kapadia’s over 20 years of experience in the life science industry and his broad finance and management experience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Dr. Vito J. Palombella, Ph.D.</w:t>
      </w:r>
      <w:r>
        <w:rPr>
          <w:rFonts w:ascii="Arial" w:cs="Arial" w:eastAsia="Arial" w:hAnsi="Arial"/>
          <w:sz w:val="17"/>
          <w:szCs w:val="17"/>
          <w:color w:val="auto"/>
        </w:rPr>
        <w:t>, has served as a director since April 2020. Currently, Dr. Palombella is the chief scientific officer of Surface Oncology,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has led the company’s drug discovery and translational research efforts since 2016. Dr. Palombella has over 25 years of scientific leadership and experience advancing first-in-class therapeutic programs, as well as a successful track record of building drug discovery and development organizations. Prior to joining Surface Oncology, Dr. Palombella was executive vice president and chief scientific officer from 2010 to 2016, and vice president, biology/research, from 2004 to 2010, at Infinity Pharmaceuticals, Inc., where he was responsible for drug discovery and preclinical development. Prior to that, he was director of molecular biology and protein chemistry at Syntonix Pharmaceuticals, and senior director of cell and molecular biology at Millennium Pharmaceuticals.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over 25 years of scientific leadership and experience, as well as his medical and scientific background, provide him with the qualifications and skills to serve as a director.</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Michael Vasconcelles, M.D. </w:t>
      </w:r>
      <w:r>
        <w:rPr>
          <w:rFonts w:ascii="Arial" w:cs="Arial" w:eastAsia="Arial" w:hAnsi="Arial"/>
          <w:sz w:val="17"/>
          <w:szCs w:val="17"/>
          <w:color w:val="auto"/>
        </w:rPr>
        <w:t>has served as a director since April 2020. He is currently the chief medical officer of Flatiron Health, Inc., where he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 strategic planning, thought leadership, and clinical research methods. Prior to joining Flatiron Health in 2019, Dr. Vasconcelles served as Chief Medical Officer at Unum Therapeutics Inc. from 2015 to 2019. Prior to Unum, he spent several years at Takeda/Millennium where he was accountable for the research and development strategy and execution of the oncology portfolio, from discovery through product licensure and post-approval. Dr. Vasconcelles joined the faculty of the Harvard Medical School in 1996 and is currently a clinical instructor in medicine at Harvard Medical School and a practicing oncologist and associate physician at the Dana-Farber Cancer Institute and Brigham &amp; Women’s Hospitals in Boston. Dr. Vasconcelles is a member of numerous professional societies, including the American Society of Clinical Oncology and the American Society of Hematology. His board commitments have included the Personalized Medicine Coalition and the eastern New England board of the American Cancer Society. Dr. Vasconcelles completed his postgraduate training in internal medicine at the Beth Israel Hospital and in hematology-oncology at the Brigham and Women’s Hospital and received his B.A. and M.D. from Northwestern University. Our board of directors believes that Dr. Vasconcelles’ extensive experience in the life sciences industry and clinical development programs, as well as his medical and scientific background, provide him with the qualifications and skills to serve as a director.</w:t>
      </w:r>
    </w:p>
    <w:p>
      <w:pPr>
        <w:spacing w:after="0" w:line="11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Dr. Agnete Fredriksen </w:t>
      </w:r>
      <w:r>
        <w:rPr>
          <w:rFonts w:ascii="Arial" w:cs="Arial" w:eastAsia="Arial" w:hAnsi="Arial"/>
          <w:sz w:val="16"/>
          <w:szCs w:val="16"/>
          <w:color w:val="auto"/>
        </w:rPr>
        <w:t>has served as a director since April 2021. Dr. Fredriksen has served as a co-founder and chief scientific officer of Vaccibody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2007 to 2017, as president and chief scientific officer from 2017 to June 2021, and as chief innovation and strategy officer since June 1, 2021. Vaccibody is a clinical-stage biopharmaceutical company dedicated to the discovery and development of novel immunotherapies for cancer and infectious diseases. Prior to founding Vaccibody 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Dr. Dominik Höchli </w:t>
      </w:r>
      <w:r>
        <w:rPr>
          <w:rFonts w:ascii="Arial" w:cs="Arial" w:eastAsia="Arial" w:hAnsi="Arial"/>
          <w:sz w:val="18"/>
          <w:szCs w:val="18"/>
          <w:color w:val="auto"/>
        </w:rPr>
        <w:t>has served as a director since April 2021. He has more than 20 years of experience as a marketing and medical affairs executive.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2021 he was appointed as CEO of Catapult Therapeutics, a private equity funded biotech start up in the Netherlands. From from 2011 to 2020, Dr. Höchli worked at AbbVie, where he held various roles including General Manager of the Swiss affiliate, Vice President, Head of Global Medical Affairs and member of the R&amp;D and the Commercial leadership team. While at AbbVie, Dr. Höchli led the global product launches for HUMIRA, Maviret, Venetoclax and Skyrizi. Dr. Höchli received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eight directors, four of whom are citizens or residents of the United States.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articles of association provide that our board of directors shall consist of a minimum of three members and maximum of eleven members. All directors (including the chairperson of the board of 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names of our directors, the year of their initial appointment as directors and the expiration dates of their current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5320" w:type="dxa"/>
            <w:vAlign w:val="bottom"/>
            <w:tcBorders>
              <w:top w:val="single" w:sz="8" w:color="auto"/>
            </w:tcBorders>
            <w:vMerge w:val="restart"/>
          </w:tcPr>
          <w:p>
            <w:pPr>
              <w:ind w:left="640"/>
              <w:spacing w:after="0"/>
              <w:rPr>
                <w:sz w:val="20"/>
                <w:szCs w:val="20"/>
                <w:color w:val="auto"/>
              </w:rPr>
            </w:pPr>
            <w:r>
              <w:rPr>
                <w:rFonts w:ascii="Arial" w:cs="Arial" w:eastAsia="Arial" w:hAnsi="Arial"/>
                <w:sz w:val="16"/>
                <w:szCs w:val="16"/>
                <w:b w:val="1"/>
                <w:bCs w:val="1"/>
                <w:color w:val="auto"/>
              </w:rPr>
              <w:t>Current Position</w:t>
            </w:r>
          </w:p>
        </w:tc>
        <w:tc>
          <w:tcPr>
            <w:tcW w:w="214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Year of Initial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Term Expiration</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Appointment</w:t>
            </w:r>
          </w:p>
        </w:tc>
        <w:tc>
          <w:tcPr>
            <w:tcW w:w="1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Chairman of the Board</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5320" w:type="dxa"/>
            <w:vAlign w:val="bottom"/>
          </w:tcPr>
          <w:p>
            <w:pPr>
              <w:ind w:left="640"/>
              <w:spacing w:after="0"/>
              <w:rPr>
                <w:sz w:val="20"/>
                <w:szCs w:val="20"/>
                <w:color w:val="auto"/>
              </w:rPr>
            </w:pPr>
            <w:r>
              <w:rPr>
                <w:rFonts w:ascii="Arial" w:cs="Arial" w:eastAsia="Arial" w:hAnsi="Arial"/>
                <w:sz w:val="18"/>
                <w:szCs w:val="18"/>
                <w:color w:val="auto"/>
              </w:rPr>
              <w:t>Chief Executive Officer, Director and Co-Founder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2014</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At the end of the general meeting of shareholders during the year in which their term office expires, in each case as indicated.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committee is required to consist of independent directors, subject to certain phase-in schedules.</w:t>
      </w:r>
    </w:p>
    <w:p>
      <w:pPr>
        <w:spacing w:after="0" w:line="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common shares beneficially owned by the director and his or her affiliated entities (if any).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The audit and finance committee, among other things, monitors the effectiveness of the internal control and risk management systems as well as, where applicable, of internal audit,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Because we are a foreign private issuer, our members of our board of directors, executive board members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Swiss ordinance against excessive compensation in listed stock corporations, known as the “Say on Pay” rule, which requires companies listed on the SIX Swiss Exchange to establish a compensation committee. Our board of directors has established an audit and finance committee, a nomination and compensation 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will comply with all applicable requirements of Swiss law, the Exchange Act, the Nasdaq Global Market and SEC rules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audit and finance committee assists our board of directors in its oversight of our corporate accounting and financial reporting by making an independent assessment of the quality of the external auditors, our financial statements and our internal controls. Sandip Kapadia, Dominik Höchli and Steven Holtzman currently serve on our audit and finance committee. Mr. Kapadia is chairperson of our audit and finance committee. Our board of directors has determined that each of Mr. Kapadia, Dr. Höchli and Mr. Holtzman is independent within the meaning of the applicable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committee qualifies as financially sophisticated under the applicable exchange listing rules. We intend to comply with the applicable independence requirements with respect to our audit committee within the applicable time frame under the applicable transition rules of the SEC. We are required to have one audit committee member who meets the independence requirements for the first 90 days following the closing of the offering. By the end of the first year following the closing of the offering, a majority of our audit committee members must meet the independence requirements. The principal duties and responsibilities of our audit committee include (1) analyzing economic and financial information and (2) ensuring the accuracy and honesty of our company’s financial statements, as well as the quality of the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specifically assigned the following duties to the audit and finance committee:</w:t>
      </w:r>
    </w:p>
    <w:p>
      <w:pPr>
        <w:spacing w:after="0" w:line="144"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quality and effectiveness of the external audit;</w:t>
      </w:r>
    </w:p>
    <w:p>
      <w:pPr>
        <w:spacing w:after="0" w:line="157"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quality of the internal control system, including risk management and the efficiency and state of compliance and monitoring with applicable norms within the Company;</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the stand-alone Swiss statutory and consolidated financial statements as well as all reporting prepared by the external auditor;</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deciding whether the year-end stand-alone Swiss statutory and consolidated financial statements be recommended to the board of directors for presentation to the general shareholders’ meeting;</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assessing the performance and the fees charged by the external auditors and ascertain their independence;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the scope of the prospective external audit, the estimated fees thereof and any other matters pertaining to such audit;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taking notice of all comments from the external auditors on accounting procedures and systems of control;</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with the external auditors and/or the CFO/CEO any questions, comments or suggestions they may have regarding the internal control, risk management, accounting practices and procedures of the Company and its subsidiaries;</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spacing w:after="0" w:line="65" w:lineRule="exact"/>
        <w:rPr>
          <w:rFonts w:ascii="Arial" w:cs="Arial" w:eastAsia="Arial" w:hAnsi="Arial"/>
          <w:sz w:val="17"/>
          <w:szCs w:val="17"/>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supporting the board of directors with regard to the financial planning as well as the principles of accounting and financial control;</w:t>
      </w:r>
    </w:p>
    <w:p>
      <w:pPr>
        <w:spacing w:after="0" w:line="157" w:lineRule="exact"/>
        <w:rPr>
          <w:rFonts w:ascii="Arial" w:cs="Arial" w:eastAsia="Arial" w:hAnsi="Arial"/>
          <w:sz w:val="18"/>
          <w:szCs w:val="18"/>
          <w:color w:val="auto"/>
        </w:rPr>
      </w:pPr>
    </w:p>
    <w:p>
      <w:pPr>
        <w:ind w:left="340" w:right="460" w:hanging="332"/>
        <w:spacing w:after="0" w:line="308"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evaluating management’s principles and proposals for, and formulate recommendations to the board of directors in regards to financial planning (capital structure, management of resources, inter-company financing), dividend policy and capital market relations;</w:t>
      </w:r>
    </w:p>
    <w:p>
      <w:pPr>
        <w:spacing w:after="0" w:line="78"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proposed concepts of financial objectives such as costs of capital, enhancement of shareholders’ value, Company and divisional objectives, project objectives (capital expenditures and M&amp;A);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finance policy and operations in treasury, controlling, insurance, taxes and investment and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We are subject to the Swiss ordinance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and responsibilities of our nomination and compensation committee include:</w:t>
      </w:r>
    </w:p>
    <w:p>
      <w:pPr>
        <w:spacing w:after="0" w:line="158"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compensation strategy and guidelines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compensation of the members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1440" w:right="439" w:bottom="1440" w:gutter="0" w:footer="0" w:header="0"/>
        </w:sectPr>
      </w:pPr>
    </w:p>
    <w:bookmarkStart w:id="179" w:name="page180"/>
    <w:bookmarkEnd w:id="179"/>
    <w:p>
      <w:pPr>
        <w:spacing w:after="0" w:line="130" w:lineRule="exact"/>
        <w:rPr>
          <w:sz w:val="20"/>
          <w:szCs w:val="20"/>
          <w:color w:val="auto"/>
        </w:rPr>
      </w:pPr>
    </w:p>
    <w:p>
      <w:pPr>
        <w:ind w:left="340" w:right="38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making recommendations regarding compensation plans (cash and/or equity-based plans), and where appropriate or required, make recommendations to adopt, amend and terminate such plans;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administering the compensation plans;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and making recommendations regarding any employment agreements (including any benefits) for members of the executive management;</w:t>
      </w:r>
    </w:p>
    <w:p>
      <w:pPr>
        <w:spacing w:after="0" w:line="180" w:lineRule="exact"/>
        <w:rPr>
          <w:rFonts w:ascii="Arial" w:cs="Arial" w:eastAsia="Arial" w:hAnsi="Arial"/>
          <w:sz w:val="16"/>
          <w:szCs w:val="16"/>
          <w:color w:val="auto"/>
        </w:rPr>
      </w:pPr>
    </w:p>
    <w:p>
      <w:pPr>
        <w:ind w:left="340" w:right="200" w:hanging="332"/>
        <w:spacing w:after="0" w:line="308"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proposals of the board of directors for the aggregate amount of the compensation of the board of directors and of the executive management to be submitted to the annual general shareholders' meeting for approval;</w:t>
      </w:r>
    </w:p>
    <w:p>
      <w:pPr>
        <w:spacing w:after="0" w:line="65" w:lineRule="exact"/>
        <w:rPr>
          <w:rFonts w:ascii="Arial" w:cs="Arial" w:eastAsia="Arial" w:hAnsi="Arial"/>
          <w:sz w:val="17"/>
          <w:szCs w:val="17"/>
          <w:color w:val="auto"/>
        </w:rPr>
      </w:pPr>
    </w:p>
    <w:p>
      <w:pPr>
        <w:ind w:left="340" w:right="70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that any reporting obligation with respect to compensation matters, specifically any necessary disclosures in the annual report and/or compensation report, are met;</w:t>
      </w:r>
    </w:p>
    <w:p>
      <w:pPr>
        <w:spacing w:after="0" w:line="102"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considerations relating to the composition of the board of directors, including the size and the criteria for membership on the board of directors;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candidates to the board of directors and making recommendations to the board of directors in this respect;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candidates to the Management Board and making recommendations to the board of directors in this respect.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5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Vasconcelles, Dr. Fredriksen and Dr. Palombella currently serve on the research and development committee. Dr. Vasconcelles is the chairperson of the research and development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adopted a Code of Conduct which is applicable to all of our employees, executive officers and directors. The Code of Conduct is available on our website at </w:t>
      </w:r>
      <w:r>
        <w:rPr>
          <w:rFonts w:ascii="Arial" w:cs="Arial" w:eastAsia="Arial" w:hAnsi="Arial"/>
          <w:sz w:val="18"/>
          <w:szCs w:val="18"/>
          <w:i w:val="1"/>
          <w:iCs w:val="1"/>
          <w:color w:val="auto"/>
        </w:rPr>
        <w:t>www.molecularpartners.com</w:t>
      </w:r>
      <w:r>
        <w:rPr>
          <w:rFonts w:ascii="Arial" w:cs="Arial" w:eastAsia="Arial" w:hAnsi="Arial"/>
          <w:sz w:val="18"/>
          <w:szCs w:val="18"/>
          <w:color w:val="auto"/>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and Executive Officers</w:t>
      </w:r>
    </w:p>
    <w:p>
      <w:pPr>
        <w:spacing w:after="0" w:line="1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compensation paid by us to our executive officers and directors, including share-based compensation, for the year ended December 31, 2020, was CHF 4,311,000.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 meeting and ending with the subsequent ordinary shareholders’ meeting. Our shareholders at the 2020 annual general meeting held on April 29, 2020 set the maximum aggregate amount of compensation for the board of directors for their term of office until the 2021 general meeting at CHF 953,700. Our shareholders at the 2021 annual general meeting held on April 21, 2021, set the maximum aggregate amount of compensation for the board of directors for their term of office until the 2022 general meeting at CHF 1,091,400.</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year ended December 31, 2020, the compensation of the members of our board of directors consisted of fixed compensation only. Compensation of the members of our board of directors for the year ended December 31, 2020 consisted of a fixed cash fee and restricted share units, or RSUs. The following table sets out information regarding the compensation earned by our directors for service on our board of directors during the year ended December 31, 2020. Dr. Amstutz, our Chief Executive Officer and a member of our board of directors, does not receive any additional compensation for his service as a director.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Fees Earned</w:t>
            </w:r>
          </w:p>
        </w:tc>
        <w:tc>
          <w:tcPr>
            <w:tcW w:w="1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RSUs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r>
      <w:tr>
        <w:trPr>
          <w:trHeight w:val="207"/>
        </w:trPr>
        <w:tc>
          <w:tcPr>
            <w:tcW w:w="4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980" w:type="dxa"/>
            <w:vAlign w:val="bottom"/>
          </w:tcPr>
          <w:p>
            <w:pPr>
              <w:jc w:val="right"/>
              <w:ind w:right="531"/>
              <w:spacing w:after="0"/>
              <w:rPr>
                <w:sz w:val="20"/>
                <w:szCs w:val="20"/>
                <w:color w:val="auto"/>
              </w:rPr>
            </w:pPr>
            <w:r>
              <w:rPr>
                <w:rFonts w:ascii="Arial" w:cs="Arial" w:eastAsia="Arial" w:hAnsi="Arial"/>
                <w:sz w:val="16"/>
                <w:szCs w:val="16"/>
                <w:b w:val="1"/>
                <w:bCs w:val="1"/>
                <w:color w:val="auto"/>
                <w:w w:val="97"/>
              </w:rPr>
              <w:t>in CHF thousands</w:t>
            </w:r>
          </w:p>
        </w:tc>
        <w:tc>
          <w:tcPr>
            <w:tcW w:w="1040" w:type="dxa"/>
            <w:vAlign w:val="bottom"/>
          </w:tcPr>
          <w:p>
            <w:pPr>
              <w:spacing w:after="0"/>
              <w:rPr>
                <w:sz w:val="17"/>
                <w:szCs w:val="17"/>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Göran Ando</w:t>
            </w:r>
            <w:r>
              <w:rPr>
                <w:rFonts w:ascii="Arial" w:cs="Arial" w:eastAsia="Arial" w:hAnsi="Arial"/>
                <w:sz w:val="23"/>
                <w:szCs w:val="23"/>
                <w:color w:val="auto"/>
                <w:vertAlign w:val="superscript"/>
              </w:rPr>
              <w:t>(2)</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William A. Lee</w:t>
            </w:r>
            <w:r>
              <w:rPr>
                <w:rFonts w:ascii="Arial" w:cs="Arial" w:eastAsia="Arial" w:hAnsi="Arial"/>
                <w:sz w:val="23"/>
                <w:szCs w:val="23"/>
                <w:color w:val="auto"/>
                <w:vertAlign w:val="superscript"/>
              </w:rPr>
              <w:t>(3)</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Petri Vainio</w:t>
            </w:r>
            <w:r>
              <w:rPr>
                <w:rFonts w:ascii="Arial" w:cs="Arial" w:eastAsia="Arial" w:hAnsi="Arial"/>
                <w:sz w:val="23"/>
                <w:szCs w:val="23"/>
                <w:color w:val="auto"/>
                <w:vertAlign w:val="superscript"/>
              </w:rPr>
              <w:t>(4)</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Gwendolyn Anne Fyfe</w:t>
            </w:r>
            <w:r>
              <w:rPr>
                <w:rFonts w:ascii="Arial" w:cs="Arial" w:eastAsia="Arial" w:hAnsi="Arial"/>
                <w:sz w:val="23"/>
                <w:szCs w:val="23"/>
                <w:color w:val="auto"/>
                <w:vertAlign w:val="superscript"/>
              </w:rPr>
              <w:t>(5)</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Sandip Kapadia</w:t>
            </w:r>
            <w:r>
              <w:rPr>
                <w:rFonts w:ascii="Arial" w:cs="Arial" w:eastAsia="Arial" w:hAnsi="Arial"/>
                <w:sz w:val="23"/>
                <w:szCs w:val="23"/>
                <w:color w:val="auto"/>
                <w:vertAlign w:val="superscript"/>
              </w:rPr>
              <w:t>(6)</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Vito J. Palombella</w:t>
            </w:r>
            <w:r>
              <w:rPr>
                <w:rFonts w:ascii="Arial" w:cs="Arial" w:eastAsia="Arial" w:hAnsi="Arial"/>
                <w:sz w:val="23"/>
                <w:szCs w:val="23"/>
                <w:color w:val="auto"/>
                <w:vertAlign w:val="superscript"/>
              </w:rPr>
              <w:t>(7)</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Vasconcelles</w:t>
            </w:r>
            <w:r>
              <w:rPr>
                <w:rFonts w:ascii="Arial" w:cs="Arial" w:eastAsia="Arial" w:hAnsi="Arial"/>
                <w:sz w:val="23"/>
                <w:szCs w:val="23"/>
                <w:color w:val="auto"/>
                <w:vertAlign w:val="superscript"/>
              </w:rPr>
              <w:t>(8)</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Agnete Fredriksen</w:t>
            </w:r>
            <w:r>
              <w:rPr>
                <w:rFonts w:ascii="Arial" w:cs="Arial" w:eastAsia="Arial" w:hAnsi="Arial"/>
                <w:sz w:val="23"/>
                <w:szCs w:val="23"/>
                <w:color w:val="auto"/>
                <w:vertAlign w:val="superscript"/>
              </w:rPr>
              <w:t>(9)</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Dominik Höchli</w:t>
            </w:r>
            <w:r>
              <w:rPr>
                <w:rFonts w:ascii="Arial" w:cs="Arial" w:eastAsia="Arial" w:hAnsi="Arial"/>
                <w:sz w:val="23"/>
                <w:szCs w:val="23"/>
                <w:color w:val="auto"/>
                <w:vertAlign w:val="superscript"/>
              </w:rPr>
              <w:t>(10)</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(11)</w:t>
            </w:r>
          </w:p>
        </w:tc>
        <w:tc>
          <w:tcPr>
            <w:tcW w:w="3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232" w:lineRule="exact"/>
        <w:rPr>
          <w:sz w:val="20"/>
          <w:szCs w:val="20"/>
          <w:color w:val="auto"/>
        </w:rPr>
      </w:pPr>
    </w:p>
    <w:p>
      <w:pPr>
        <w:ind w:left="340" w:hanging="332"/>
        <w:spacing w:after="0" w:line="265" w:lineRule="auto"/>
        <w:tabs>
          <w:tab w:leader="none" w:pos="335"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total compensation awarded to the members of the board of directors shown in this table does not include the payments of TCHF 7 we made in 2020 to cover the mandatory employer social security contribution on the base fees. In addition, upon vesting of the RSUs 2020 in 2023, we will be obliged to make employer contributions to social security pursuant to applicable mandatory law. As an estimate based on currently applicable contribution rates, the employer contributions on the RSUs 2020 expected to vest in 2023 will amount to TCHF 9.</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Göran Ando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William A. Lee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Petri Vainio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Gwendolyn Anne Fyfe did not stand for re-election at the 2021 annual general meeting held on April 21,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Sandip Kapadia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Vito J. Palombella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Michael Vasconcelles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Dr. Agnete Fredriksen was elected as new member of the board of directors at the 2021 annual general meeting held on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4"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Dr. Dominik Höchli was elected as new member of the board of directors at the 2021 annual general meeting held on April 21, 2021.</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our Chief Executive Officer’s compensation other than in connection with his service on our board of directors, please refer to “— Executive Compensation.”</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Except as described in the section of this prospectus entitled “Related Party Transactions—Agreements with Our Directors and Executive Officers”, there are no arrangements or understandings between us and any of our directors providing for benefits upon termination of their service as our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of the Management Board, also referred to herein as our executive officers, may consist of fixed and variable compensation. Fixed compensation comprises the base salary and the corresponding pension contributions. Variable compensation comprises short-term and long-term variable compensation elements:</w:t>
      </w:r>
    </w:p>
    <w:p>
      <w:pPr>
        <w:spacing w:after="0" w:line="116"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short-term variable compensation, paid as a cash bonus, is determined exclusively by the achievement of pre-defined annual corporate goals; and</w:t>
      </w:r>
    </w:p>
    <w:p>
      <w:pPr>
        <w:spacing w:after="0" w:line="180" w:lineRule="exact"/>
        <w:rPr>
          <w:rFonts w:ascii="Arial" w:cs="Arial" w:eastAsia="Arial" w:hAnsi="Arial"/>
          <w:sz w:val="16"/>
          <w:szCs w:val="16"/>
          <w:color w:val="auto"/>
        </w:rPr>
      </w:pPr>
    </w:p>
    <w:p>
      <w:pPr>
        <w:jc w:val="both"/>
        <w:ind w:left="340" w:right="280" w:hanging="332"/>
        <w:spacing w:after="0" w:line="263"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information regarding compensation earned by members of the Management Board during the year ended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Non-Equity</w:t>
            </w:r>
          </w:p>
        </w:tc>
        <w:tc>
          <w:tcPr>
            <w:tcW w:w="18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All Other</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50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Salary</w:t>
            </w:r>
          </w:p>
        </w:tc>
        <w:tc>
          <w:tcPr>
            <w:tcW w:w="12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Bonus</w:t>
            </w:r>
            <w:r>
              <w:rPr>
                <w:rFonts w:ascii="Arial" w:cs="Arial" w:eastAsia="Arial" w:hAnsi="Arial"/>
                <w:sz w:val="21"/>
                <w:szCs w:val="21"/>
                <w:b w:val="1"/>
                <w:bCs w:val="1"/>
                <w:color w:val="auto"/>
                <w:vertAlign w:val="superscript"/>
              </w:rPr>
              <w:t>(1)</w:t>
            </w:r>
          </w:p>
        </w:tc>
        <w:tc>
          <w:tcPr>
            <w:tcW w:w="16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Equity Awards</w:t>
            </w:r>
          </w:p>
        </w:tc>
        <w:tc>
          <w:tcPr>
            <w:tcW w:w="1560" w:type="dxa"/>
            <w:vAlign w:val="bottom"/>
          </w:tcPr>
          <w:p>
            <w:pPr>
              <w:jc w:val="right"/>
              <w:ind w:right="135"/>
              <w:spacing w:after="0" w:line="162" w:lineRule="exact"/>
              <w:rPr>
                <w:sz w:val="20"/>
                <w:szCs w:val="20"/>
                <w:color w:val="auto"/>
              </w:rPr>
            </w:pPr>
            <w:r>
              <w:rPr>
                <w:rFonts w:ascii="Arial" w:cs="Arial" w:eastAsia="Arial" w:hAnsi="Arial"/>
                <w:sz w:val="16"/>
                <w:szCs w:val="16"/>
                <w:b w:val="1"/>
                <w:bCs w:val="1"/>
                <w:color w:val="auto"/>
              </w:rPr>
              <w:t>Incentive Plan</w:t>
            </w:r>
          </w:p>
        </w:tc>
        <w:tc>
          <w:tcPr>
            <w:tcW w:w="1820" w:type="dxa"/>
            <w:vAlign w:val="bottom"/>
            <w:vMerge w:val="continue"/>
          </w:tcPr>
          <w:p>
            <w:pPr>
              <w:spacing w:after="0"/>
              <w:rPr>
                <w:sz w:val="14"/>
                <w:szCs w:val="14"/>
                <w:color w:val="auto"/>
              </w:rPr>
            </w:pPr>
          </w:p>
        </w:tc>
        <w:tc>
          <w:tcPr>
            <w:tcW w:w="900" w:type="dxa"/>
            <w:vAlign w:val="bottom"/>
            <w:vMerge w:val="restart"/>
          </w:tcPr>
          <w:p>
            <w:pPr>
              <w:ind w:left="400"/>
              <w:spacing w:after="0"/>
              <w:rPr>
                <w:sz w:val="20"/>
                <w:szCs w:val="20"/>
                <w:color w:val="auto"/>
              </w:rPr>
            </w:pPr>
            <w:r>
              <w:rPr>
                <w:rFonts w:ascii="Arial" w:cs="Arial" w:eastAsia="Arial" w:hAnsi="Arial"/>
                <w:sz w:val="16"/>
                <w:szCs w:val="16"/>
                <w:b w:val="1"/>
                <w:bCs w:val="1"/>
                <w:color w:val="auto"/>
                <w:w w:val="86"/>
              </w:rPr>
              <w:t>Total</w:t>
            </w:r>
            <w:r>
              <w:rPr>
                <w:rFonts w:ascii="Arial" w:cs="Arial" w:eastAsia="Arial" w:hAnsi="Arial"/>
                <w:sz w:val="21"/>
                <w:szCs w:val="21"/>
                <w:b w:val="1"/>
                <w:bCs w:val="1"/>
                <w:color w:val="auto"/>
                <w:w w:val="86"/>
                <w:vertAlign w:val="superscript"/>
              </w:rPr>
              <w:t>(4)</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Compensation</w:t>
            </w:r>
          </w:p>
        </w:tc>
        <w:tc>
          <w:tcPr>
            <w:tcW w:w="1820" w:type="dxa"/>
            <w:vAlign w:val="bottom"/>
            <w:tcBorders>
              <w:bottom w:val="single" w:sz="8" w:color="auto"/>
            </w:tcBorders>
          </w:tcPr>
          <w:p>
            <w:pPr>
              <w:jc w:val="right"/>
              <w:ind w:right="295"/>
              <w:spacing w:after="0" w:line="216"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(2)(3)</w:t>
            </w: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80" w:type="dxa"/>
            <w:vAlign w:val="bottom"/>
            <w:gridSpan w:val="2"/>
          </w:tcPr>
          <w:p>
            <w:pPr>
              <w:jc w:val="right"/>
              <w:ind w:right="995"/>
              <w:spacing w:after="0"/>
              <w:rPr>
                <w:sz w:val="20"/>
                <w:szCs w:val="20"/>
                <w:color w:val="auto"/>
              </w:rPr>
            </w:pPr>
            <w:r>
              <w:rPr>
                <w:rFonts w:ascii="Arial" w:cs="Arial" w:eastAsia="Arial" w:hAnsi="Arial"/>
                <w:sz w:val="16"/>
                <w:szCs w:val="16"/>
                <w:b w:val="1"/>
                <w:bCs w:val="1"/>
                <w:color w:val="auto"/>
              </w:rPr>
              <w:t>in CHF thousands</w:t>
            </w: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Patrick Amstutz</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380</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218</w:t>
            </w:r>
          </w:p>
        </w:tc>
        <w:tc>
          <w:tcPr>
            <w:tcW w:w="16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380</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Director and Co-Founder</w:t>
            </w: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Management</w:t>
            </w:r>
          </w:p>
        </w:tc>
        <w:tc>
          <w:tcPr>
            <w:tcW w:w="15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1,350</w:t>
            </w: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665</w:t>
            </w:r>
          </w:p>
        </w:tc>
        <w:tc>
          <w:tcPr>
            <w:tcW w:w="16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1,156</w:t>
            </w: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205</w:t>
            </w:r>
          </w:p>
        </w:tc>
        <w:tc>
          <w:tcPr>
            <w:tcW w:w="9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amounts earned in 2020.</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pension contributions.</w:t>
      </w:r>
    </w:p>
    <w:p>
      <w:pPr>
        <w:spacing w:after="0" w:line="12" w:lineRule="exact"/>
        <w:rPr>
          <w:rFonts w:ascii="Arial" w:cs="Arial" w:eastAsia="Arial" w:hAnsi="Arial"/>
          <w:sz w:val="13"/>
          <w:szCs w:val="13"/>
          <w:color w:val="auto"/>
        </w:rPr>
      </w:pPr>
    </w:p>
    <w:p>
      <w:pPr>
        <w:ind w:left="340" w:right="80" w:hanging="332"/>
        <w:spacing w:after="0" w:line="260" w:lineRule="auto"/>
        <w:tabs>
          <w:tab w:leader="none" w:pos="335" w:val="left"/>
        </w:tabs>
        <w:numPr>
          <w:ilvl w:val="0"/>
          <w:numId w:val="90"/>
        </w:numPr>
        <w:rPr>
          <w:rFonts w:ascii="Arial" w:cs="Arial" w:eastAsia="Arial" w:hAnsi="Arial"/>
          <w:sz w:val="13"/>
          <w:szCs w:val="13"/>
          <w:color w:val="auto"/>
        </w:rPr>
      </w:pPr>
      <w:r>
        <w:rPr>
          <w:rFonts w:ascii="Arial" w:cs="Arial" w:eastAsia="Arial" w:hAnsi="Arial"/>
          <w:sz w:val="13"/>
          <w:szCs w:val="13"/>
          <w:color w:val="auto"/>
        </w:rPr>
        <w:t>All other compensation awarded to the members of the Management Board shown in this table does not include the payments of CHF 101,219 we made in 2020 to cover the mandatory employer social security contribution on the base salary and on the bonus. In addition, upon vesting of the PSUs 2020 in 2023, we will be obliged to make employer contributions to social security pursuant to applicable mandatory law. As an estimate based on currently applicable contribution rates, the employer contributions on the PSUs 2020 expected to vest in 2023 will amount to approximately CHF 67,000 (assuming 100% target achievement and full vesting of the PSUs).</w:t>
      </w: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total compensation awarded to members of the Management Board shown in this table does not include the items mentioned in the foregoing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discussion of our employment arrangements with our executive officers, see the section of this prospectus entitled “Related Party Transactions— Agreements with Our Directors and Executive Officers—Employment Arrangements.” Except for the arrangements described in the section of this prospectus entitled “Related Party Transactions—Agreements with Our Directors and Executive Officers—Employment Arrangements,” there are no arrangements or understanding between us and any of our other executive officers providing for benefits upon termination of their employment, other than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spacing w:after="0" w:line="1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corporation may enter into and pay for directors' and officers' liability insurance which typically covers negligent acts as well.</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extend liability insurance for our directors and officers, including insurance coverage for liability under the Securities Act. We believe that this insurance is necessary to attract qualified directors and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19"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Share Units, or RSUs, granted to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Share Units, or PSUs, granted to our executive officers and employees;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 options granted to employees, directors and selected advisors.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articles of association authorize the board of directors to issue one or more participations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14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Prior to our initial public offering on SIX Swiss Exchange on November 5, 2014, which we refer to as our Swiss IPO, our board of directors established three share option plans: (i) the Employee Share Option Plan 2007, or ESOP 2007, (ii) the Employee Share Option Plan 2009, or ESOP 2009, and (iii) the Employee Share Option Plan 2014, or ESOP 2014, with similar features as the ESOP 2009, but no longer providing for accelerated vesting of options in the event of our Swiss IPO. Each option entitles its holder to purchase one of our shares at the pre-defined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price. The number of options granted to each participant was determined by the board of directors based on a participant’s position and level of responsibility. As a rule, the options vested quarterly over a four-year period. At the end of the option term, the unexercised options expire without value.</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no options were outstanding under the ESOP 2007, and an aggregate of 371,646 options were outstanding under the ESOP 2009 and ESOP 2014, together. As of March 31, 2021, all of the outstanding options were fully vested.</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Following our Swiss IPO, no further grants were made under any of the ESOP 2007, ESOP 2009 or ESOP 2014, and we do not intend to make any further grants under any of these plans in the future. For additional information, see Note 18 to our financial statements as of and for the year ended December 31, 2020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 (RSUs)</w:t>
      </w:r>
    </w:p>
    <w:p>
      <w:pPr>
        <w:spacing w:after="0" w:line="14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xml:space="preserve">”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Arial" w:cs="Arial" w:eastAsia="Arial" w:hAnsi="Arial"/>
          <w:sz w:val="17"/>
          <w:szCs w:val="17"/>
          <w:i w:val="1"/>
          <w:iCs w:val="1"/>
          <w:color w:val="auto"/>
        </w:rPr>
        <w:t>i.e.</w:t>
      </w:r>
      <w:r>
        <w:rPr>
          <w:rFonts w:ascii="Arial" w:cs="Arial" w:eastAsia="Arial" w:hAnsi="Arial"/>
          <w:sz w:val="17"/>
          <w:szCs w:val="17"/>
          <w:color w:val="auto"/>
        </w:rPr>
        <w:t>, the number of shares does not depend on the achievement of certain pre-defined performance metrics. In certain circumstances, including a change of control, a full or partial early vesting of the RSUs may occur.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87,906 RSUs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435,882 PSUs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long-term incentive plans established in March of 2015, March of 2016, March of 2017, March of 2018, March of 2019, March of 2020 and March of 2021, 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shows the number of common shares, options, RSUs and PSUs held by the individual members of the board of directors and the Management Board, as of April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4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Options</w:t>
            </w:r>
          </w:p>
        </w:tc>
        <w:tc>
          <w:tcPr>
            <w:tcW w:w="14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RSUs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PSUs</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8,091</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28,110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8,108</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20,000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12,767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Vito J. Palombella</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Vasconcelles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710,687</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70,080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49,108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767,259</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248,700</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31,637</w:t>
            </w: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1440" w:right="459" w:bottom="1440" w:gutter="0" w:footer="0" w:header="0"/>
        </w:sectPr>
      </w:pPr>
    </w:p>
    <w:bookmarkStart w:id="185" w:name="page186"/>
    <w:bookmarkEnd w:id="18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RELATED PARTY TRANSACTIONS</w:t>
      </w: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January 1, 2018, we have engaged in the following transactions with our directors, executive officers and holders of more than 3% of our outstanding voting securities and their affiliates, which we refer to as our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Our Directors and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See the section of this prospectus entitled “Executive Compensation—Limitations on Liability and Indemnification Matters.”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Shareholders</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2020, we entered into the Novartis Agreement. See “Business—License and Collaboration Agreements" for information regarding the Novartis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Policy</w:t>
      </w:r>
    </w:p>
    <w:p>
      <w:pPr>
        <w:spacing w:after="0" w:line="1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Related party transaction policies are generally not required by statutory Swiss law. However, our articles of association provide for the following rules in connection with transactions with members of the board of directors and the executive management:</w:t>
      </w:r>
    </w:p>
    <w:p>
      <w:pPr>
        <w:spacing w:after="0" w:line="89" w:lineRule="exact"/>
        <w:rPr>
          <w:sz w:val="20"/>
          <w:szCs w:val="20"/>
          <w:color w:val="auto"/>
        </w:rPr>
      </w:pPr>
    </w:p>
    <w:p>
      <w:pPr>
        <w:ind w:left="340" w:right="140" w:hanging="332"/>
        <w:spacing w:after="0" w:line="277"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mandate or other agreements with the members of our board of directors regarding their compensation as directors for a fixed term or for an indefinite term. The duration and termination are subject to term of office and the law.</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p>
      <w:pPr>
        <w:spacing w:after="0" w:line="116" w:lineRule="exact"/>
        <w:rPr>
          <w:rFonts w:ascii="Arial" w:cs="Arial" w:eastAsia="Arial" w:hAnsi="Arial"/>
          <w:sz w:val="18"/>
          <w:szCs w:val="18"/>
          <w:color w:val="auto"/>
        </w:rPr>
      </w:pPr>
    </w:p>
    <w:p>
      <w:pPr>
        <w:ind w:left="340" w:right="320" w:hanging="332"/>
        <w:spacing w:after="0" w:line="259" w:lineRule="auto"/>
        <w:tabs>
          <w:tab w:leader="none" w:pos="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spacing w:after="0" w:line="105" w:lineRule="exact"/>
        <w:rPr>
          <w:rFonts w:ascii="Arial" w:cs="Arial" w:eastAsia="Arial" w:hAnsi="Arial"/>
          <w:sz w:val="18"/>
          <w:szCs w:val="18"/>
          <w:color w:val="auto"/>
        </w:rPr>
      </w:pPr>
    </w:p>
    <w:p>
      <w:pPr>
        <w:ind w:left="340" w:right="340" w:hanging="332"/>
        <w:spacing w:after="0" w:line="286" w:lineRule="auto"/>
        <w:tabs>
          <w:tab w:leader="none" w:pos="3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0" w:lineRule="exact"/>
        <w:rPr>
          <w:sz w:val="20"/>
          <w:szCs w:val="20"/>
          <w:color w:val="auto"/>
        </w:rPr>
      </w:pPr>
    </w:p>
    <w:p>
      <w:pPr>
        <w:ind w:left="332" w:hanging="332"/>
        <w:spacing w:after="0" w:line="286" w:lineRule="auto"/>
        <w:tabs>
          <w:tab w:leader="none" w:pos="327"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32"/>
          </w:cols>
          <w:pgMar w:left="328" w:top="1440" w:right="539" w:bottom="1440" w:gutter="0" w:footer="0" w:header="0"/>
        </w:sectPr>
      </w:pPr>
    </w:p>
    <w:bookmarkStart w:id="187" w:name="page188"/>
    <w:bookmarkEnd w:id="18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accompanying footnotes set forth, as of April 30, 2021, information regarding beneficial ownership of our common shares by:</w:t>
      </w:r>
    </w:p>
    <w:p>
      <w:pPr>
        <w:spacing w:after="0" w:line="169"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3% of our common shares;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power or investment power with respect to that security, including common shares that vest within 60 days of April 30, 2021 and options and warrants that are currently exercisable or exercisable within 60 days of April 30, 2021. Shares issuable under PSUs or RSUs that vest within 60 days of April 30, 2021 and shares subject to options currently exercisable or exercisable within 60 days of April 30, 2021 are deemed to be outstanding for computing the percentage ownership of the person holding these free shares, options and the percentage ownership of any group of which the holder is a member, but are not deemed outstanding for computing the percentage of any other person.</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indicated in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calculation of the percentage of beneficial ownership prior to the offering is based on 29,146,992 of our common shares registered with the commercial register of the canton of Zurich as of April 30, 2021. We have based our calculation of the percentage of beneficial ownership of our common shares outstanding immediately after the closing of the offering of 3,000,000 ADSs, assuming no exercise of the underwriters’ option to purchase additional ADSs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0"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Except as otherwise indicated in the following table, addresses of the directors, executive officers and named beneficial owners are in care of Molecular Partners AG, Wagistrasse 14, 8952 Schlieren, Switzerland.</w:t>
      </w:r>
    </w:p>
    <w:tbl>
      <w:tblPr>
        <w:tblLayout w:type="fixed"/>
        <w:tblInd w:w="0" w:type="dxa"/>
        <w:tblCellMar>
          <w:top w:w="0" w:type="dxa"/>
          <w:left w:w="0" w:type="dxa"/>
          <w:bottom w:w="0" w:type="dxa"/>
          <w:right w:w="0" w:type="dxa"/>
        </w:tblCellMar>
      </w:tblPr>
      <w:tr>
        <w:trPr>
          <w:trHeight w:val="143"/>
        </w:trPr>
        <w:tc>
          <w:tcPr>
            <w:tcW w:w="58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Shares Beneficially Owned Prior to</w:t>
            </w:r>
          </w:p>
        </w:tc>
        <w:tc>
          <w:tcPr>
            <w:tcW w:w="2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Shares Beneficially Owned After Offering</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Offering</w:t>
            </w:r>
          </w:p>
        </w:tc>
        <w:tc>
          <w:tcPr>
            <w:tcW w:w="2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Principal Shareholders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23"/>
                <w:szCs w:val="23"/>
                <w:color w:val="auto"/>
                <w:vertAlign w:val="superscript"/>
              </w:rPr>
              <w:t>(1)(3)</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140" w:type="dxa"/>
            <w:vAlign w:val="bottom"/>
          </w:tcPr>
          <w:p>
            <w:pPr>
              <w:jc w:val="right"/>
              <w:spacing w:after="0"/>
              <w:rPr>
                <w:sz w:val="20"/>
                <w:szCs w:val="20"/>
                <w:color w:val="auto"/>
              </w:rPr>
            </w:pPr>
            <w:r>
              <w:rPr>
                <w:rFonts w:ascii="Arial" w:cs="Arial" w:eastAsia="Arial" w:hAnsi="Arial"/>
                <w:sz w:val="18"/>
                <w:szCs w:val="18"/>
                <w:color w:val="auto"/>
              </w:rPr>
              <w:t>7.49 %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080" w:type="dxa"/>
            <w:vAlign w:val="bottom"/>
          </w:tcPr>
          <w:p>
            <w:pPr>
              <w:jc w:val="right"/>
              <w:spacing w:after="0"/>
              <w:rPr>
                <w:sz w:val="20"/>
                <w:szCs w:val="20"/>
                <w:color w:val="auto"/>
              </w:rPr>
            </w:pPr>
            <w:r>
              <w:rPr>
                <w:rFonts w:ascii="Arial" w:cs="Arial" w:eastAsia="Arial" w:hAnsi="Arial"/>
                <w:sz w:val="18"/>
                <w:szCs w:val="18"/>
                <w:color w:val="auto"/>
              </w:rPr>
              <w:t>6.79 %</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Hansjorg Wyss Revocable Trust</w:t>
            </w:r>
            <w:r>
              <w:rPr>
                <w:rFonts w:ascii="Arial" w:cs="Arial" w:eastAsia="Arial" w:hAnsi="Arial"/>
                <w:sz w:val="23"/>
                <w:szCs w:val="23"/>
                <w:color w:val="auto"/>
                <w:vertAlign w:val="superscript"/>
              </w:rPr>
              <w:t>(1)(4)</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Suvretta Capital Management, LLC</w:t>
            </w:r>
            <w:r>
              <w:rPr>
                <w:rFonts w:ascii="Arial" w:cs="Arial" w:eastAsia="Arial" w:hAnsi="Arial"/>
                <w:sz w:val="23"/>
                <w:szCs w:val="23"/>
                <w:color w:val="auto"/>
                <w:vertAlign w:val="superscript"/>
              </w:rPr>
              <w:t>(1)(2)(5)</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140" w:type="dxa"/>
            <w:vAlign w:val="bottom"/>
          </w:tcPr>
          <w:p>
            <w:pPr>
              <w:jc w:val="right"/>
              <w:spacing w:after="0"/>
              <w:rPr>
                <w:sz w:val="20"/>
                <w:szCs w:val="20"/>
                <w:color w:val="auto"/>
              </w:rPr>
            </w:pPr>
            <w:r>
              <w:rPr>
                <w:rFonts w:ascii="Arial" w:cs="Arial" w:eastAsia="Arial" w:hAnsi="Arial"/>
                <w:sz w:val="18"/>
                <w:szCs w:val="18"/>
                <w:color w:val="auto"/>
              </w:rPr>
              <w:t>6.00 %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080" w:type="dxa"/>
            <w:vAlign w:val="bottom"/>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Novartis Pharma AG</w:t>
            </w:r>
            <w:r>
              <w:rPr>
                <w:rFonts w:ascii="Arial" w:cs="Arial" w:eastAsia="Arial" w:hAnsi="Arial"/>
                <w:sz w:val="23"/>
                <w:szCs w:val="23"/>
                <w:color w:val="auto"/>
                <w:vertAlign w:val="superscript"/>
              </w:rPr>
              <w:t>(1)(6)</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Federated Hermes Kaufmann Fund</w:t>
            </w:r>
            <w:r>
              <w:rPr>
                <w:rFonts w:ascii="Arial" w:cs="Arial" w:eastAsia="Arial" w:hAnsi="Arial"/>
                <w:sz w:val="23"/>
                <w:szCs w:val="23"/>
                <w:color w:val="auto"/>
                <w:vertAlign w:val="superscript"/>
              </w:rPr>
              <w:t>(1)(7)</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140" w:type="dxa"/>
            <w:vAlign w:val="bottom"/>
          </w:tcPr>
          <w:p>
            <w:pPr>
              <w:jc w:val="right"/>
              <w:spacing w:after="0"/>
              <w:rPr>
                <w:sz w:val="20"/>
                <w:szCs w:val="20"/>
                <w:color w:val="auto"/>
              </w:rPr>
            </w:pPr>
            <w:r>
              <w:rPr>
                <w:rFonts w:ascii="Arial" w:cs="Arial" w:eastAsia="Arial" w:hAnsi="Arial"/>
                <w:sz w:val="18"/>
                <w:szCs w:val="18"/>
                <w:color w:val="auto"/>
              </w:rPr>
              <w:t>5.75 %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080" w:type="dxa"/>
            <w:vAlign w:val="bottom"/>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Entities affiliated with Essex Woodlands Health Ventures VIII, LLC</w:t>
            </w:r>
            <w:r>
              <w:rPr>
                <w:rFonts w:ascii="Arial" w:cs="Arial" w:eastAsia="Arial" w:hAnsi="Arial"/>
                <w:sz w:val="23"/>
                <w:szCs w:val="23"/>
                <w:color w:val="auto"/>
                <w:w w:val="99"/>
                <w:vertAlign w:val="superscript"/>
              </w:rPr>
              <w:t>(1)(2)(8)</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UBS Fund Management (Switzerland) AG</w:t>
            </w:r>
            <w:r>
              <w:rPr>
                <w:rFonts w:ascii="Arial" w:cs="Arial" w:eastAsia="Arial" w:hAnsi="Arial"/>
                <w:sz w:val="23"/>
                <w:szCs w:val="23"/>
                <w:color w:val="auto"/>
                <w:vertAlign w:val="superscript"/>
              </w:rPr>
              <w:t>(1)(2)(9)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140" w:type="dxa"/>
            <w:vAlign w:val="bottom"/>
          </w:tcPr>
          <w:p>
            <w:pPr>
              <w:jc w:val="right"/>
              <w:spacing w:after="0"/>
              <w:rPr>
                <w:sz w:val="20"/>
                <w:szCs w:val="20"/>
                <w:color w:val="auto"/>
              </w:rPr>
            </w:pPr>
            <w:r>
              <w:rPr>
                <w:rFonts w:ascii="Arial" w:cs="Arial" w:eastAsia="Arial" w:hAnsi="Arial"/>
                <w:sz w:val="18"/>
                <w:szCs w:val="18"/>
                <w:color w:val="auto"/>
              </w:rPr>
              <w:t>3.69 %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080" w:type="dxa"/>
            <w:vAlign w:val="bottom"/>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(10)</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140" w:type="dxa"/>
            <w:vAlign w:val="bottom"/>
          </w:tcPr>
          <w:p>
            <w:pPr>
              <w:jc w:val="right"/>
              <w:spacing w:after="0"/>
              <w:rPr>
                <w:sz w:val="20"/>
                <w:szCs w:val="20"/>
                <w:color w:val="auto"/>
              </w:rPr>
            </w:pPr>
            <w:r>
              <w:rPr>
                <w:rFonts w:ascii="Arial" w:cs="Arial" w:eastAsia="Arial" w:hAnsi="Arial"/>
                <w:sz w:val="18"/>
                <w:szCs w:val="18"/>
                <w:color w:val="auto"/>
              </w:rPr>
              <w:t>2.68 %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080" w:type="dxa"/>
            <w:vAlign w:val="bottom"/>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Michael Tobias Stumpp</w:t>
            </w:r>
            <w:r>
              <w:rPr>
                <w:rFonts w:ascii="Arial" w:cs="Arial" w:eastAsia="Arial" w:hAnsi="Arial"/>
                <w:sz w:val="23"/>
                <w:szCs w:val="23"/>
                <w:color w:val="auto"/>
                <w:vertAlign w:val="superscript"/>
              </w:rPr>
              <w:t>(11)</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Andreas Emmenegger</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140" w:type="dxa"/>
            <w:vAlign w:val="bottom"/>
          </w:tcPr>
          <w:p>
            <w:pPr>
              <w:jc w:val="right"/>
              <w:spacing w:after="0"/>
              <w:rPr>
                <w:sz w:val="20"/>
                <w:szCs w:val="20"/>
                <w:color w:val="auto"/>
              </w:rPr>
            </w:pPr>
            <w:r>
              <w:rPr>
                <w:rFonts w:ascii="Arial" w:cs="Arial" w:eastAsia="Arial" w:hAnsi="Arial"/>
                <w:sz w:val="18"/>
                <w:szCs w:val="18"/>
                <w:color w:val="auto"/>
              </w:rPr>
              <w:t>0.98 %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08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William M. Burns</w:t>
            </w:r>
            <w:r>
              <w:rPr>
                <w:rFonts w:ascii="Arial" w:cs="Arial" w:eastAsia="Arial" w:hAnsi="Arial"/>
                <w:sz w:val="23"/>
                <w:szCs w:val="23"/>
                <w:color w:val="auto"/>
                <w:vertAlign w:val="superscript"/>
              </w:rPr>
              <w:t>(13)</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8,091</w:t>
            </w:r>
          </w:p>
        </w:tc>
        <w:tc>
          <w:tcPr>
            <w:tcW w:w="1140" w:type="dxa"/>
            <w:vAlign w:val="bottom"/>
          </w:tcPr>
          <w:p>
            <w:pPr>
              <w:jc w:val="right"/>
              <w:spacing w:after="0"/>
              <w:rPr>
                <w:sz w:val="20"/>
                <w:szCs w:val="20"/>
                <w:color w:val="auto"/>
              </w:rPr>
            </w:pPr>
            <w:r>
              <w:rPr>
                <w:rFonts w:ascii="Arial" w:cs="Arial" w:eastAsia="Arial" w:hAnsi="Arial"/>
                <w:sz w:val="18"/>
                <w:szCs w:val="18"/>
                <w:color w:val="auto"/>
              </w:rPr>
              <w:t>0.03 %</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8,091</w:t>
            </w:r>
          </w:p>
        </w:tc>
        <w:tc>
          <w:tcPr>
            <w:tcW w:w="1080" w:type="dxa"/>
            <w:vAlign w:val="bottom"/>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Steven H. Holtzman</w:t>
            </w:r>
            <w:r>
              <w:rPr>
                <w:rFonts w:ascii="Arial" w:cs="Arial" w:eastAsia="Arial" w:hAnsi="Arial"/>
                <w:sz w:val="23"/>
                <w:szCs w:val="23"/>
                <w:color w:val="auto"/>
                <w:vertAlign w:val="superscript"/>
              </w:rPr>
              <w:t>(14)</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All current directors and executive officers as a group (11 individuals)</w:t>
            </w:r>
            <w:r>
              <w:rPr>
                <w:rFonts w:ascii="Arial" w:cs="Arial" w:eastAsia="Arial" w:hAnsi="Arial"/>
                <w:sz w:val="23"/>
                <w:szCs w:val="23"/>
                <w:color w:val="auto"/>
                <w:vertAlign w:val="superscript"/>
              </w:rPr>
              <w:t>(15)</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1,905,065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6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1,905,065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Number of voting rights carried by shares as reported by our shareholders in notifications filed with SIX Swiss Exchange.</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information reported is in part derived from reports filed with the SEC pursuant to the Exchange Act.</w:t>
      </w:r>
    </w:p>
    <w:p>
      <w:pPr>
        <w:spacing w:after="0" w:line="12" w:lineRule="exact"/>
        <w:rPr>
          <w:rFonts w:ascii="Arial" w:cs="Arial" w:eastAsia="Arial" w:hAnsi="Arial"/>
          <w:sz w:val="13"/>
          <w:szCs w:val="13"/>
          <w:color w:val="auto"/>
        </w:rPr>
      </w:pPr>
    </w:p>
    <w:p>
      <w:pPr>
        <w:ind w:left="340" w:right="32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Biotechnology Value Fund, L.P., Biotechnology Value Fund II, L.P., Biotechnology Value Trading Fund OS, L.P. and MSI BVF SPV, LLC. Mark Lampert is the beneficial owner who may exercise voting power over the shares. The Address for Value Fund, L.P., Biotechnology Value Fund II, L.P. and Biotechnology Value Trading Fund OS, L.P. is 44 Montgomery St., 40th Floor, San Francisco, California 94104.</w:t>
      </w: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Hansjorg Wyss Revocable Trust dated December 16, 1994. Hansjoerg Wyss is the beneficial owner, who may exercise voting power over the shares.</w:t>
      </w:r>
    </w:p>
    <w:p>
      <w:pPr>
        <w:spacing w:after="0" w:line="12" w:lineRule="exact"/>
        <w:rPr>
          <w:rFonts w:ascii="Arial" w:cs="Arial" w:eastAsia="Arial" w:hAnsi="Arial"/>
          <w:sz w:val="13"/>
          <w:szCs w:val="13"/>
          <w:color w:val="auto"/>
        </w:rPr>
      </w:pPr>
    </w:p>
    <w:p>
      <w:pPr>
        <w:ind w:left="34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Suvretta Master Fund, Ltd., Averill Master Fund, Ltd., Vitruvius US Equity and Suvretta Long Master Fund, Ltd. Suvretta Capital Management, LLC is the beneficial owner and may exercise voting power over the shares. Aaron Cowen may also be deemed to have shared dispositive power and voting power with respect to the shares by virtue of his role at Survetta Capital Management, LLC. The address for Survetta Capital Management, LLC is 540 Madison Avenue, 7th Floor, New York, New York 10022.</w:t>
      </w:r>
    </w:p>
    <w:p>
      <w:pPr>
        <w:ind w:left="340" w:right="14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ind w:left="340" w:right="2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Federated Hermes Kaufmann Fund. Federated Hermes, Inc. is the beneficial owner and may exercise voting power over the shares. The address of Federated Hermes, Inc. is 1001 Liberty Avenue, Pittsburgh, Pennsylvania, 15222.</w:t>
      </w:r>
    </w:p>
    <w:p>
      <w:pPr>
        <w:ind w:left="340" w:right="20" w:hanging="332"/>
        <w:spacing w:after="0" w:line="281" w:lineRule="auto"/>
        <w:tabs>
          <w:tab w:leader="none" w:pos="335" w:val="left"/>
        </w:tabs>
        <w:numPr>
          <w:ilvl w:val="0"/>
          <w:numId w:val="95"/>
        </w:numPr>
        <w:rPr>
          <w:rFonts w:ascii="Arial" w:cs="Arial" w:eastAsia="Arial" w:hAnsi="Arial"/>
          <w:sz w:val="12"/>
          <w:szCs w:val="12"/>
          <w:color w:val="auto"/>
        </w:rPr>
      </w:pPr>
      <w:r>
        <w:rPr>
          <w:rFonts w:ascii="Arial" w:cs="Arial" w:eastAsia="Arial" w:hAnsi="Arial"/>
          <w:sz w:val="12"/>
          <w:szCs w:val="12"/>
          <w:color w:val="auto"/>
        </w:rPr>
        <w:t>Shares of the Company are held by each of Essex Woodlands Health Ventures VIII, LP (the “GP Partnership”), Essex Woodlands Health Ventures Fund VIII-A, LP (“Essex VIII-A”) and Essex Woodlands Health Ventures Fund VIII-B, LP (“Essex VIII-B”). The GP Partnership is the general partner of Essex VIII-A and Essex VIII-B. Essex Woodlands Health Ventures VIII, LLC (“Essex VIII LLC”) is the general partner of the GP Partnership. Essex VIII LLC, as the general partner of the GP Partnership, is the beneficial owner and may exercise voting power over the shares. Martin P. Sutter, Jeff Himawan, Ronald W. Eastman, Guido J. Neels, Petri Vainio, Steve Wiggins and Immanuel Thangaraj may also be deemed to have shared dispositive power and voting power with respect to the shares by virtue of their roles at Essex VIII LLC and the affiliated entities. The address of each entity is 21 Waterway Avenue, Suite 225, The Woodlands, Texas 77380.</w:t>
      </w:r>
    </w:p>
    <w:p>
      <w:pPr>
        <w:spacing w:after="0" w:line="2" w:lineRule="exact"/>
        <w:rPr>
          <w:rFonts w:ascii="Arial" w:cs="Arial" w:eastAsia="Arial" w:hAnsi="Arial"/>
          <w:sz w:val="12"/>
          <w:szCs w:val="12"/>
          <w:color w:val="auto"/>
        </w:rPr>
      </w:pPr>
    </w:p>
    <w:p>
      <w:pPr>
        <w:ind w:left="340" w:right="560" w:hanging="332"/>
        <w:spacing w:after="0" w:line="260" w:lineRule="auto"/>
        <w:tabs>
          <w:tab w:leader="none" w:pos="335" w:val="left"/>
        </w:tabs>
        <w:numPr>
          <w:ilvl w:val="0"/>
          <w:numId w:val="95"/>
        </w:numPr>
        <w:rPr>
          <w:rFonts w:ascii="Arial" w:cs="Arial" w:eastAsia="Arial" w:hAnsi="Arial"/>
          <w:sz w:val="13"/>
          <w:szCs w:val="13"/>
          <w:color w:val="auto"/>
        </w:rPr>
      </w:pPr>
      <w:r>
        <w:rPr>
          <w:rFonts w:ascii="Arial" w:cs="Arial" w:eastAsia="Arial" w:hAnsi="Arial"/>
          <w:sz w:val="13"/>
          <w:szCs w:val="13"/>
          <w:color w:val="auto"/>
        </w:rPr>
        <w:t>Shares of the Company are held by UBS Fund Management (Switzerland) AG. UBS Fund Management (Switzerland) AG is a direct wholly-owned subsidiary of UBS Group AG, which is the beneficial owner and may exercise voting power over the shares.</w:t>
      </w: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710,687 common shares and 70,080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4" w:lineRule="exact"/>
        <w:rPr>
          <w:sz w:val="20"/>
          <w:szCs w:val="20"/>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767,259 common shares and 36,070 common shares issuable upon exercise of options that are exercisable within 60 days of April 20, 2021.</w:t>
      </w:r>
    </w:p>
    <w:p>
      <w:pPr>
        <w:spacing w:after="0" w:line="3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248,700 common shares and 36,070 common shares issuable upon exercise of options that are exercisable within 60 days of April 20, 2021.</w:t>
      </w:r>
    </w:p>
    <w:p>
      <w:pPr>
        <w:spacing w:after="0" w:line="2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Consists of 8,091 common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8,108 common shares and 20,000 common shares issuable upon exercise of options that are exercisable within 60 days of April 20, 2021.</w:t>
      </w:r>
    </w:p>
    <w:p>
      <w:pPr>
        <w:spacing w:after="0" w:line="24" w:lineRule="exact"/>
        <w:rPr>
          <w:rFonts w:ascii="Arial" w:cs="Arial" w:eastAsia="Arial" w:hAnsi="Arial"/>
          <w:sz w:val="12"/>
          <w:szCs w:val="12"/>
          <w:color w:val="auto"/>
        </w:rPr>
      </w:pPr>
    </w:p>
    <w:p>
      <w:pPr>
        <w:ind w:left="312" w:hanging="312"/>
        <w:spacing w:after="0"/>
        <w:tabs>
          <w:tab w:leader="none" w:pos="312" w:val="left"/>
        </w:tabs>
        <w:numPr>
          <w:ilvl w:val="0"/>
          <w:numId w:val="96"/>
        </w:numPr>
        <w:rPr>
          <w:rFonts w:ascii="Arial" w:cs="Arial" w:eastAsia="Arial" w:hAnsi="Arial"/>
          <w:sz w:val="12"/>
          <w:szCs w:val="12"/>
          <w:color w:val="auto"/>
        </w:rPr>
      </w:pPr>
      <w:r>
        <w:rPr>
          <w:rFonts w:ascii="Arial" w:cs="Arial" w:eastAsia="Arial" w:hAnsi="Arial"/>
          <w:sz w:val="12"/>
          <w:szCs w:val="12"/>
          <w:color w:val="auto"/>
        </w:rPr>
        <w:t>Consists of 1,742,845 common shares and 162,220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131"/>
          </w:cols>
          <w:pgMar w:left="328" w:top="1440" w:right="1440" w:bottom="1440" w:gutter="0" w:footer="0" w:header="0"/>
        </w:sectPr>
      </w:pPr>
    </w:p>
    <w:bookmarkStart w:id="190" w:name="page191"/>
    <w:bookmarkEnd w:id="19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SHARE CAPITAL AND ARTICLES OF ASSOCIATION</w:t>
      </w: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articles of association as they will be in effect upon the completion of this offering. The following summary does not purport to be complete. For a more complete discussion, please refer to our articles of association, a copy of which has been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organized under the laws of Switzerland. We were incorporated on November 22, 2004. Our principal executive offices are located at Wagistrasse 14, 8952 Schlieren, Switzerland. We are registered with the commercial register of the Canton of Zurich under number CHE-112.115.136. Our corporate name is Molecular Partners AG.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each of March 31, 2021 and April 30, 2021, our issued share capital as recorded in the commercial register of the Canton of Zurich was CHF 2,914,699.20, consisting of 29,146,992 common shares with a nominal value of CHF 0.10 each.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shares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each other and no preferred shares exist.</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2021, to the best of our knowledge, approximately 10,818,504, or 37.1%, of our issued common shares as recorded in the commercial register of the Canton of Zurich were held of record by residents of the United States.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closing of this offering, based on the number of common shares issued as of March 31, 2021 as set out above, our issued share capital as will be recorded in the commercial register of the Canton of Zurich is expected to be:</w:t>
      </w:r>
    </w:p>
    <w:p>
      <w:pPr>
        <w:spacing w:after="0" w:line="89" w:lineRule="exact"/>
        <w:rPr>
          <w:sz w:val="20"/>
          <w:szCs w:val="20"/>
          <w:color w:val="auto"/>
        </w:rPr>
      </w:pPr>
    </w:p>
    <w:p>
      <w:pPr>
        <w:ind w:left="340" w:right="10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underwriters do not (neither fully nor partially) exercise their option to purchase additional ADSs in the offering, CHF 3,214,699.20, consisting of 32,146,992 common shares with a nominal value of CHF 0.10 each; or</w:t>
      </w:r>
    </w:p>
    <w:p>
      <w:pPr>
        <w:spacing w:after="0" w:line="102"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underwriters exercise their option to purchase additional ADSs in the offering in full, CHF 3,259,699.20, consisting of 32,596,992 common shares with a nominal value of CHF 0.10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320" w:top="1440" w:right="399" w:bottom="1440" w:gutter="0" w:footer="0" w:header="0"/>
        </w:sectPr>
      </w:pPr>
    </w:p>
    <w:bookmarkStart w:id="191" w:name="page192"/>
    <w:bookmarkEnd w:id="191"/>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Changes to the Number of our Issued Shares Recorded in Commercial Register</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January 1, 2018 through April 30, 2021, the number of our issued common shares as recorded in the commercial register of the Canton of Zurich underwent the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January 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20,724,345</w:t>
            </w:r>
          </w:p>
        </w:tc>
      </w:tr>
      <w:tr>
        <w:trPr>
          <w:trHeight w:val="215"/>
        </w:trPr>
        <w:tc>
          <w:tcPr>
            <w:tcW w:w="9820" w:type="dxa"/>
            <w:vAlign w:val="bottom"/>
          </w:tcPr>
          <w:p>
            <w:pPr>
              <w:ind w:left="20"/>
              <w:spacing w:after="0"/>
              <w:rPr>
                <w:sz w:val="20"/>
                <w:szCs w:val="20"/>
                <w:color w:val="auto"/>
              </w:rPr>
            </w:pPr>
            <w:r>
              <w:rPr>
                <w:rFonts w:ascii="Arial" w:cs="Arial" w:eastAsia="Arial" w:hAnsi="Arial"/>
                <w:sz w:val="18"/>
                <w:szCs w:val="18"/>
                <w:color w:val="auto"/>
                <w:w w:val="97"/>
              </w:rPr>
              <w:t>Reflecting in commercial register on January 22, 2018 of prior issuance of new shares with a nominal value of CHF 0.10 each</w:t>
            </w:r>
          </w:p>
        </w:tc>
        <w:tc>
          <w:tcPr>
            <w:tcW w:w="1420" w:type="dxa"/>
            <w:vAlign w:val="bottom"/>
          </w:tcPr>
          <w:p>
            <w:pPr>
              <w:spacing w:after="0"/>
              <w:rPr>
                <w:sz w:val="18"/>
                <w:szCs w:val="18"/>
                <w:color w:val="auto"/>
              </w:rPr>
            </w:pP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issued (but not reflected) in the one-year period ended December 31, 2017 out of conditional share capital</w:t>
            </w:r>
          </w:p>
        </w:tc>
        <w:tc>
          <w:tcPr>
            <w:tcW w:w="1420" w:type="dxa"/>
            <w:vAlign w:val="bottom"/>
          </w:tcPr>
          <w:p>
            <w:pPr>
              <w:jc w:val="right"/>
              <w:spacing w:after="0"/>
              <w:rPr>
                <w:sz w:val="20"/>
                <w:szCs w:val="20"/>
                <w:color w:val="auto"/>
              </w:rPr>
            </w:pPr>
            <w:r>
              <w:rPr>
                <w:rFonts w:ascii="Arial" w:cs="Arial" w:eastAsia="Arial" w:hAnsi="Arial"/>
                <w:sz w:val="18"/>
                <w:szCs w:val="18"/>
                <w:color w:val="auto"/>
              </w:rPr>
              <w:t>319,717</w:t>
            </w: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21,044,062</w:t>
            </w:r>
          </w:p>
        </w:tc>
      </w:tr>
      <w:tr>
        <w:trPr>
          <w:trHeight w:val="250"/>
        </w:trPr>
        <w:tc>
          <w:tcPr>
            <w:tcW w:w="9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2019</w:t>
            </w:r>
          </w:p>
        </w:tc>
        <w:tc>
          <w:tcPr>
            <w:tcW w:w="1420" w:type="dxa"/>
            <w:vAlign w:val="bottom"/>
          </w:tcPr>
          <w:p>
            <w:pPr>
              <w:spacing w:after="0"/>
              <w:rPr>
                <w:sz w:val="21"/>
                <w:szCs w:val="21"/>
                <w:color w:val="auto"/>
              </w:rPr>
            </w:pP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January 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21,044,062</w:t>
            </w:r>
          </w:p>
        </w:tc>
      </w:tr>
      <w:tr>
        <w:trPr>
          <w:trHeight w:val="215"/>
        </w:trPr>
        <w:tc>
          <w:tcPr>
            <w:tcW w:w="9820" w:type="dxa"/>
            <w:vAlign w:val="bottom"/>
          </w:tcPr>
          <w:p>
            <w:pPr>
              <w:ind w:left="20"/>
              <w:spacing w:after="0"/>
              <w:rPr>
                <w:sz w:val="20"/>
                <w:szCs w:val="20"/>
                <w:color w:val="auto"/>
              </w:rPr>
            </w:pPr>
            <w:r>
              <w:rPr>
                <w:rFonts w:ascii="Arial" w:cs="Arial" w:eastAsia="Arial" w:hAnsi="Arial"/>
                <w:sz w:val="18"/>
                <w:szCs w:val="18"/>
                <w:color w:val="auto"/>
                <w:w w:val="97"/>
              </w:rPr>
              <w:t>Reflecting in commercial register on January 22, 2019 of prior issuance of new shares with a nominal value of CHF 0.10 each</w:t>
            </w:r>
          </w:p>
        </w:tc>
        <w:tc>
          <w:tcPr>
            <w:tcW w:w="1420" w:type="dxa"/>
            <w:vAlign w:val="bottom"/>
          </w:tcPr>
          <w:p>
            <w:pPr>
              <w:spacing w:after="0"/>
              <w:rPr>
                <w:sz w:val="18"/>
                <w:szCs w:val="18"/>
                <w:color w:val="auto"/>
              </w:rPr>
            </w:pP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issued (but not reflected) in the one-year period ended December 31, 2018 out of conditional share capital</w:t>
            </w:r>
          </w:p>
        </w:tc>
        <w:tc>
          <w:tcPr>
            <w:tcW w:w="1420" w:type="dxa"/>
            <w:vAlign w:val="bottom"/>
          </w:tcPr>
          <w:p>
            <w:pPr>
              <w:jc w:val="right"/>
              <w:spacing w:after="0"/>
              <w:rPr>
                <w:sz w:val="20"/>
                <w:szCs w:val="20"/>
                <w:color w:val="auto"/>
              </w:rPr>
            </w:pPr>
            <w:r>
              <w:rPr>
                <w:rFonts w:ascii="Arial" w:cs="Arial" w:eastAsia="Arial" w:hAnsi="Arial"/>
                <w:sz w:val="18"/>
                <w:szCs w:val="18"/>
                <w:color w:val="auto"/>
              </w:rPr>
              <w:t>184,531</w:t>
            </w: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21,228,593</w:t>
            </w:r>
          </w:p>
        </w:tc>
      </w:tr>
      <w:tr>
        <w:trPr>
          <w:trHeight w:val="250"/>
        </w:trPr>
        <w:tc>
          <w:tcPr>
            <w:tcW w:w="9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2020</w:t>
            </w:r>
          </w:p>
        </w:tc>
        <w:tc>
          <w:tcPr>
            <w:tcW w:w="1420" w:type="dxa"/>
            <w:vAlign w:val="bottom"/>
          </w:tcPr>
          <w:p>
            <w:pPr>
              <w:spacing w:after="0"/>
              <w:rPr>
                <w:sz w:val="21"/>
                <w:szCs w:val="21"/>
                <w:color w:val="auto"/>
              </w:rPr>
            </w:pP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January 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21,228,593</w:t>
            </w:r>
          </w:p>
        </w:tc>
      </w:tr>
      <w:tr>
        <w:trPr>
          <w:trHeight w:val="215"/>
        </w:trPr>
        <w:tc>
          <w:tcPr>
            <w:tcW w:w="9820" w:type="dxa"/>
            <w:vAlign w:val="bottom"/>
          </w:tcPr>
          <w:p>
            <w:pPr>
              <w:ind w:left="20"/>
              <w:spacing w:after="0"/>
              <w:rPr>
                <w:sz w:val="20"/>
                <w:szCs w:val="20"/>
                <w:color w:val="auto"/>
              </w:rPr>
            </w:pPr>
            <w:r>
              <w:rPr>
                <w:rFonts w:ascii="Arial" w:cs="Arial" w:eastAsia="Arial" w:hAnsi="Arial"/>
                <w:sz w:val="18"/>
                <w:szCs w:val="18"/>
                <w:color w:val="auto"/>
                <w:w w:val="97"/>
              </w:rPr>
              <w:t>Reflecting in commercial register on January 20, 2020 of prior issuance of new shares with a nominal value of CHF 0.10 each</w:t>
            </w:r>
          </w:p>
        </w:tc>
        <w:tc>
          <w:tcPr>
            <w:tcW w:w="1420" w:type="dxa"/>
            <w:vAlign w:val="bottom"/>
          </w:tcPr>
          <w:p>
            <w:pPr>
              <w:spacing w:after="0"/>
              <w:rPr>
                <w:sz w:val="18"/>
                <w:szCs w:val="18"/>
                <w:color w:val="auto"/>
              </w:rPr>
            </w:pP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issued (but not reflected) in the one-year period ended December 31, 2019 out of conditional share capital</w:t>
            </w:r>
          </w:p>
        </w:tc>
        <w:tc>
          <w:tcPr>
            <w:tcW w:w="1420" w:type="dxa"/>
            <w:vAlign w:val="bottom"/>
          </w:tcPr>
          <w:p>
            <w:pPr>
              <w:jc w:val="right"/>
              <w:spacing w:after="0"/>
              <w:rPr>
                <w:sz w:val="20"/>
                <w:szCs w:val="20"/>
                <w:color w:val="auto"/>
              </w:rPr>
            </w:pPr>
            <w:r>
              <w:rPr>
                <w:rFonts w:ascii="Arial" w:cs="Arial" w:eastAsia="Arial" w:hAnsi="Arial"/>
                <w:sz w:val="18"/>
                <w:szCs w:val="18"/>
                <w:color w:val="auto"/>
              </w:rPr>
              <w:t>372,599</w:t>
            </w:r>
          </w:p>
        </w:tc>
      </w:tr>
      <w:tr>
        <w:trPr>
          <w:trHeight w:val="222"/>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in an accelerated bookbuilding transaction of new shares with a nominal value of CHF 0.10 each on July 8, 2020 out of</w:t>
            </w:r>
          </w:p>
        </w:tc>
        <w:tc>
          <w:tcPr>
            <w:tcW w:w="1420" w:type="dxa"/>
            <w:vAlign w:val="bottom"/>
            <w:shd w:val="clear" w:color="auto" w:fill="CCEEFF"/>
          </w:tcPr>
          <w:p>
            <w:pPr>
              <w:spacing w:after="0"/>
              <w:rPr>
                <w:sz w:val="19"/>
                <w:szCs w:val="19"/>
                <w:color w:val="auto"/>
              </w:rPr>
            </w:pPr>
          </w:p>
        </w:tc>
      </w:tr>
      <w:tr>
        <w:trPr>
          <w:trHeight w:val="244"/>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authorized share capital immediately reflected in the commercial register on July 8,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5,528,089</w:t>
            </w:r>
          </w:p>
        </w:tc>
      </w:tr>
      <w:tr>
        <w:trPr>
          <w:trHeight w:val="215"/>
        </w:trPr>
        <w:tc>
          <w:tcPr>
            <w:tcW w:w="9820" w:type="dxa"/>
            <w:vAlign w:val="bottom"/>
          </w:tcPr>
          <w:p>
            <w:pPr>
              <w:ind w:left="20"/>
              <w:spacing w:after="0"/>
              <w:rPr>
                <w:sz w:val="20"/>
                <w:szCs w:val="20"/>
                <w:color w:val="auto"/>
              </w:rPr>
            </w:pPr>
            <w:r>
              <w:rPr>
                <w:rFonts w:ascii="Arial" w:cs="Arial" w:eastAsia="Arial" w:hAnsi="Arial"/>
                <w:sz w:val="18"/>
                <w:szCs w:val="18"/>
                <w:color w:val="auto"/>
                <w:w w:val="97"/>
              </w:rPr>
              <w:t>Issuance of new shares with a nominal value of CHF 0.10 each to Novartis Pharma AG on October 28, 2020 out of conditional</w:t>
            </w:r>
          </w:p>
        </w:tc>
        <w:tc>
          <w:tcPr>
            <w:tcW w:w="1420" w:type="dxa"/>
            <w:vAlign w:val="bottom"/>
          </w:tcPr>
          <w:p>
            <w:pPr>
              <w:spacing w:after="0"/>
              <w:rPr>
                <w:sz w:val="18"/>
                <w:szCs w:val="18"/>
                <w:color w:val="auto"/>
              </w:rPr>
            </w:pP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share capital, immediately reflected in commercial register on October 28, 2020</w:t>
            </w:r>
          </w:p>
        </w:tc>
        <w:tc>
          <w:tcPr>
            <w:tcW w:w="1420" w:type="dxa"/>
            <w:vAlign w:val="bottom"/>
          </w:tcPr>
          <w:p>
            <w:pPr>
              <w:jc w:val="right"/>
              <w:spacing w:after="0"/>
              <w:rPr>
                <w:sz w:val="20"/>
                <w:szCs w:val="20"/>
                <w:color w:val="auto"/>
              </w:rPr>
            </w:pPr>
            <w:r>
              <w:rPr>
                <w:rFonts w:ascii="Arial" w:cs="Arial" w:eastAsia="Arial" w:hAnsi="Arial"/>
                <w:sz w:val="18"/>
                <w:szCs w:val="18"/>
                <w:color w:val="auto"/>
              </w:rPr>
              <w:t>1,739,130</w:t>
            </w: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28,868,411</w:t>
            </w:r>
          </w:p>
        </w:tc>
      </w:tr>
      <w:tr>
        <w:trPr>
          <w:trHeight w:val="250"/>
        </w:trPr>
        <w:tc>
          <w:tcPr>
            <w:tcW w:w="9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2021 (through April 30, 2021)</w:t>
            </w:r>
          </w:p>
        </w:tc>
        <w:tc>
          <w:tcPr>
            <w:tcW w:w="1420" w:type="dxa"/>
            <w:vAlign w:val="bottom"/>
          </w:tcPr>
          <w:p>
            <w:pPr>
              <w:spacing w:after="0"/>
              <w:rPr>
                <w:sz w:val="21"/>
                <w:szCs w:val="21"/>
                <w:color w:val="auto"/>
              </w:rPr>
            </w:pP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January 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28,868,411</w:t>
            </w:r>
          </w:p>
        </w:tc>
      </w:tr>
      <w:tr>
        <w:trPr>
          <w:trHeight w:val="215"/>
        </w:trPr>
        <w:tc>
          <w:tcPr>
            <w:tcW w:w="9820" w:type="dxa"/>
            <w:vAlign w:val="bottom"/>
          </w:tcPr>
          <w:p>
            <w:pPr>
              <w:ind w:left="20"/>
              <w:spacing w:after="0"/>
              <w:rPr>
                <w:sz w:val="20"/>
                <w:szCs w:val="20"/>
                <w:color w:val="auto"/>
              </w:rPr>
            </w:pPr>
            <w:r>
              <w:rPr>
                <w:rFonts w:ascii="Arial" w:cs="Arial" w:eastAsia="Arial" w:hAnsi="Arial"/>
                <w:sz w:val="18"/>
                <w:szCs w:val="18"/>
                <w:color w:val="auto"/>
                <w:w w:val="97"/>
              </w:rPr>
              <w:t>Reflecting in commercial register on January 20, 2021 of prior issuance of new shares with a nominal value of CHF 0.10 each</w:t>
            </w:r>
          </w:p>
        </w:tc>
        <w:tc>
          <w:tcPr>
            <w:tcW w:w="1420" w:type="dxa"/>
            <w:vAlign w:val="bottom"/>
          </w:tcPr>
          <w:p>
            <w:pPr>
              <w:spacing w:after="0"/>
              <w:rPr>
                <w:sz w:val="18"/>
                <w:szCs w:val="18"/>
                <w:color w:val="auto"/>
              </w:rPr>
            </w:pPr>
          </w:p>
        </w:tc>
      </w:tr>
      <w:tr>
        <w:trPr>
          <w:trHeight w:val="237"/>
        </w:trPr>
        <w:tc>
          <w:tcPr>
            <w:tcW w:w="9820" w:type="dxa"/>
            <w:vAlign w:val="bottom"/>
          </w:tcPr>
          <w:p>
            <w:pPr>
              <w:ind w:left="20"/>
              <w:spacing w:after="0"/>
              <w:rPr>
                <w:sz w:val="20"/>
                <w:szCs w:val="20"/>
                <w:color w:val="auto"/>
              </w:rPr>
            </w:pPr>
            <w:r>
              <w:rPr>
                <w:rFonts w:ascii="Arial" w:cs="Arial" w:eastAsia="Arial" w:hAnsi="Arial"/>
                <w:sz w:val="18"/>
                <w:szCs w:val="18"/>
                <w:color w:val="auto"/>
              </w:rPr>
              <w:t>issued (but not reflected) in the one-year period ended December 31, 2020 out of conditional share capital</w:t>
            </w:r>
          </w:p>
        </w:tc>
        <w:tc>
          <w:tcPr>
            <w:tcW w:w="1420" w:type="dxa"/>
            <w:vAlign w:val="bottom"/>
          </w:tcPr>
          <w:p>
            <w:pPr>
              <w:jc w:val="right"/>
              <w:spacing w:after="0"/>
              <w:rPr>
                <w:sz w:val="20"/>
                <w:szCs w:val="20"/>
                <w:color w:val="auto"/>
              </w:rPr>
            </w:pPr>
            <w:r>
              <w:rPr>
                <w:rFonts w:ascii="Arial" w:cs="Arial" w:eastAsia="Arial" w:hAnsi="Arial"/>
                <w:sz w:val="18"/>
                <w:szCs w:val="18"/>
                <w:color w:val="auto"/>
              </w:rPr>
              <w:t>278,581</w:t>
            </w:r>
          </w:p>
        </w:tc>
      </w:tr>
      <w:tr>
        <w:trPr>
          <w:trHeight w:val="26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April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29,146,992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Securities Issuances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January 1, 2018 through April 1, 2021, the events set out above and further described below have changed our issued share capital and, in parallel, the number of our issued common shares, in each case as recorded in the commercial register of the Canton of Zurich.</w:t>
      </w:r>
    </w:p>
    <w:p>
      <w:pPr>
        <w:spacing w:after="0" w:line="103" w:lineRule="exact"/>
        <w:rPr>
          <w:sz w:val="20"/>
          <w:szCs w:val="20"/>
          <w:color w:val="auto"/>
        </w:rPr>
      </w:pPr>
    </w:p>
    <w:p>
      <w:pPr>
        <w:ind w:left="340" w:right="280" w:hanging="332"/>
        <w:spacing w:after="0" w:line="277"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January 1, 2018, our issued share capital as recorded in the commercial register of the Canton of Zurich was CHF 2,072,434.50, consisting of 20,724,345 common shares with a nominal value of CHF 0.10 each.</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January 22, 2018, our share capital was increased by CHF 31,971.70 through the issuance of 319,717 new shares with a nominal value of CHF</w:t>
      </w:r>
    </w:p>
    <w:p>
      <w:pPr>
        <w:spacing w:after="0" w:line="46" w:lineRule="exact"/>
        <w:rPr>
          <w:rFonts w:ascii="Arial" w:cs="Arial" w:eastAsia="Arial" w:hAnsi="Arial"/>
          <w:sz w:val="16"/>
          <w:szCs w:val="16"/>
          <w:color w:val="auto"/>
        </w:rPr>
      </w:pPr>
    </w:p>
    <w:p>
      <w:pPr>
        <w:ind w:left="340" w:right="20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22, 2018) in the one-year period ended December 31, 2017,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0"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22, 2019, our share capital was increased by CHF 18,453.10 through the issuance of 184,531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22, 2019) in the one-year period ended December 31, 2018,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95"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2020, our share capital was increased by CHF 37,259.90 through the issuance of 372,599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2020) in the one-year period ended December 31, 2019,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July 8, 2020, our share capital was increased by CHF 552,808.90 through the issuance of 5,528,089 new shares with a nominal value of CHF 0.10 each. These shares were issued out of authorized share capital based on the resolution of the general meeting of shareholders held on April 29, 2020 regarding an authorized share capital increase of up to CHF 565,986 through the issuance of up to 5,659,860 registered shares with a nominal value of CHF 0.10 (to be fully paid in) each on or before April 29, 2022. The new shares were placed with institutional investors in an accelerated bookbuilding transaction, under withdrawal of statutory pre-emptive rights of existing shareholders. Our articles of incorporation were amended accordingly to reflect the new share capital.</w:t>
      </w:r>
    </w:p>
    <w:p>
      <w:pPr>
        <w:spacing w:after="0" w:line="124" w:lineRule="exact"/>
        <w:rPr>
          <w:rFonts w:ascii="Arial" w:cs="Arial" w:eastAsia="Arial" w:hAnsi="Arial"/>
          <w:sz w:val="18"/>
          <w:szCs w:val="18"/>
          <w:color w:val="auto"/>
        </w:rPr>
      </w:pPr>
    </w:p>
    <w:p>
      <w:pPr>
        <w:ind w:left="340" w:right="100" w:hanging="332"/>
        <w:spacing w:after="0" w:line="273" w:lineRule="auto"/>
        <w:tabs>
          <w:tab w:leader="none" w:pos="3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October 28, 2020, our share capital was increased by CHF 173,913.00 through the issuance of 1,739,130 new shares with a nominal value of CHF 0.10 each. These shares were issued out of conditional share capital based on the resolution of the general meeting of shareholders held on October 6, 2014 regarding a conditional capital increase of up to CHF 400,000 through the issuance of up to 4,000,000 registered shares with a nominal value of CHF 0.10 (to be fully paid in) each. The new shares were issued to Novartis Pharma AG in connection with an option and equity rights agreement providing for a collaboration to develop, manufacture and commercialize certain product candidates and/or therapies. Our articles of incorporation were amended accordingly to reflect the new share capital.</w:t>
      </w:r>
    </w:p>
    <w:p>
      <w:pPr>
        <w:spacing w:after="0" w:line="96" w:lineRule="exact"/>
        <w:rPr>
          <w:rFonts w:ascii="Arial" w:cs="Arial" w:eastAsia="Arial" w:hAnsi="Arial"/>
          <w:sz w:val="17"/>
          <w:szCs w:val="17"/>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2021, our share capital was increased by CHF 27,858.10 through the issuance of 278,581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2021) in the one-year period ended December 31, 2020,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Important Provisions of our Articles of Association, Organizational Rules and Swiss Law</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of association, organizational rules and certain related provisions of Swiss law. Please note that this is only a summary and as such is not, is not intended to be and does not purport to be exhaustive. For a more complete discussion, please refer to our articles of association and organizational rules.</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June 19, 2020, the Swiss Parliament approved legislation that will modernize certain aspects of Swiss corporate law. Most relevantly, the legislative reform addresses, among other topics, (i) the modernization and increased flexibility for a stock corporation’s capital base, (ii) corporate governance and executive compensation matters, (iii) the strengthening of shareholder rights and the protection of minorities, (iv) financial distress/restructuring measures and (v) certain socio-political topics (</w:t>
      </w:r>
      <w:r>
        <w:rPr>
          <w:rFonts w:ascii="Arial" w:cs="Arial" w:eastAsia="Arial" w:hAnsi="Arial"/>
          <w:sz w:val="18"/>
          <w:szCs w:val="18"/>
          <w:i w:val="1"/>
          <w:iCs w:val="1"/>
          <w:color w:val="auto"/>
        </w:rPr>
        <w:t>e.g.</w:t>
      </w:r>
      <w:r>
        <w:rPr>
          <w:rFonts w:ascii="Arial" w:cs="Arial" w:eastAsia="Arial" w:hAnsi="Arial"/>
          <w:sz w:val="18"/>
          <w:szCs w:val="18"/>
          <w:color w:val="auto"/>
        </w:rPr>
        <w:t>, gender representation and disclosure requirements for companies active in the raw materials sector). Other than with respect to the new rules on gender representation and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requirements for companies active in the raw materials sector, which, subject to transitional periods, entered into force on January 1, 2021, the effective date of the new legislation has not yet been announced; it is not expected to come into force before 2022 (with certain transitional periods as provided for therein). In light of these reforms, certain sub-sections discussed in more detail below will be subject to the changes and modifications pursuant to this new legislation.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Aktienkapital</w:t>
      </w:r>
      <w:r>
        <w:rPr>
          <w:rFonts w:ascii="Arial" w:cs="Arial" w:eastAsia="Arial" w:hAnsi="Arial"/>
          <w:sz w:val="17"/>
          <w:szCs w:val="17"/>
          <w:color w:val="auto"/>
        </w:rPr>
        <w:t>) with a resolution of the general meeting of shareholders (ordinary capital increase) that must be carried out by the board of directors within three months in order to become effective. In case of a subscription and increase against contributions in cash, a resolution passed by an absolute majority of the votes represented at the general meeting of shareholders is required. In the case of a subscription and increase against contributions in kind or to fund acquisitions in kind, when shareholders' statutory pre-emptive rights are withdrawn or where transformation of reserves into share capital is involved, a resolution passed by two-thirds of the votes represented at a general meeting of shareholders and the absolute majority of the nominal value of the shares represented is required.</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votes represented at a general meeting of shareholders and the absolute majority of the nominal amount of the shares represented, may empower the board of directors to issue shares of a specific aggregate nominal amount up to a maximum of 50% of the existing issued share capital in the form of:</w:t>
      </w:r>
    </w:p>
    <w:p>
      <w:pPr>
        <w:spacing w:after="0" w:line="84" w:lineRule="exact"/>
        <w:rPr>
          <w:sz w:val="20"/>
          <w:szCs w:val="20"/>
          <w:color w:val="auto"/>
        </w:rPr>
      </w:pPr>
    </w:p>
    <w:p>
      <w:pPr>
        <w:ind w:left="340" w:right="40" w:hanging="332"/>
        <w:spacing w:after="0" w:line="286" w:lineRule="auto"/>
        <w:tabs>
          <w:tab w:leader="none" w:pos="3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xml:space="preserve"> for the purpose of issuing shares in connection with, among other things, (i) options and conversion rights granted in connection with warrants and convertible bonds of the Company or one of our subsidiaries or (ii) grants of rights to employees, members of the board of directors or consultants or subsidiaries to subscribe for new shares (conversion or option rights); and/or</w:t>
      </w:r>
    </w:p>
    <w:p>
      <w:pPr>
        <w:spacing w:after="0" w:line="97" w:lineRule="exact"/>
        <w:rPr>
          <w:rFonts w:ascii="Arial" w:cs="Arial" w:eastAsia="Arial" w:hAnsi="Arial"/>
          <w:sz w:val="17"/>
          <w:szCs w:val="17"/>
          <w:color w:val="auto"/>
        </w:rPr>
      </w:pPr>
    </w:p>
    <w:p>
      <w:pPr>
        <w:ind w:left="340" w:right="100" w:hanging="332"/>
        <w:spacing w:after="0" w:line="263"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authorized capital </w:t>
      </w:r>
      <w:r>
        <w:rPr>
          <w:rFonts w:ascii="Arial" w:cs="Arial" w:eastAsia="Arial" w:hAnsi="Arial"/>
          <w:sz w:val="18"/>
          <w:szCs w:val="18"/>
          <w:i w:val="1"/>
          <w:iCs w:val="1"/>
          <w:color w:val="auto"/>
        </w:rPr>
        <w:t>(genehmigtes Kapital)</w:t>
      </w:r>
      <w:r>
        <w:rPr>
          <w:rFonts w:ascii="Arial" w:cs="Arial" w:eastAsia="Arial" w:hAnsi="Arial"/>
          <w:sz w:val="18"/>
          <w:szCs w:val="18"/>
          <w:color w:val="auto"/>
        </w:rPr>
        <w:t xml:space="preserve"> to be utilized by the board of directors within a period determined by the shareholders but not exceeding two years from the date of the shareholder approval. Our current authorized capital was most recently approved on the annual shareholders' meeting held on April 21, 2021 and will thus expire on April 21, 2023. See "—</w:t>
      </w:r>
      <w:r>
        <w:rPr>
          <w:rFonts w:ascii="Arial" w:cs="Arial" w:eastAsia="Arial" w:hAnsi="Arial"/>
          <w:sz w:val="18"/>
          <w:szCs w:val="18"/>
          <w:i w:val="1"/>
          <w:iCs w:val="1"/>
          <w:color w:val="auto"/>
        </w:rPr>
        <w:t>Our Authorized Share Capital</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44"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Pursuant to the CO, shareholders have pre-emptive rights (</w:t>
      </w:r>
      <w:r>
        <w:rPr>
          <w:rFonts w:ascii="Arial" w:cs="Arial" w:eastAsia="Arial" w:hAnsi="Arial"/>
          <w:sz w:val="18"/>
          <w:szCs w:val="18"/>
          <w:i w:val="1"/>
          <w:iCs w:val="1"/>
          <w:color w:val="auto"/>
        </w:rPr>
        <w:t>Bezugsrechte</w:t>
      </w:r>
      <w:r>
        <w:rPr>
          <w:rFonts w:ascii="Arial" w:cs="Arial" w:eastAsia="Arial" w:hAnsi="Arial"/>
          <w:sz w:val="18"/>
          <w:szCs w:val="18"/>
          <w:color w:val="auto"/>
        </w:rPr>
        <w:t>) to subscribe for newly issued shares. With respect to conditional capital in connection with the issuance of conversion rights, convertible bonds or similar debt instruments, shareholders have advance subscription rights (</w:t>
      </w:r>
      <w:r>
        <w:rPr>
          <w:rFonts w:ascii="Arial" w:cs="Arial" w:eastAsia="Arial" w:hAnsi="Arial"/>
          <w:sz w:val="18"/>
          <w:szCs w:val="18"/>
          <w:i w:val="1"/>
          <w:iCs w:val="1"/>
          <w:color w:val="auto"/>
        </w:rPr>
        <w:t>Vorwegzeichnungsrechte</w:t>
      </w:r>
      <w:r>
        <w:rPr>
          <w:rFonts w:ascii="Arial" w:cs="Arial" w:eastAsia="Arial" w:hAnsi="Arial"/>
          <w:sz w:val="18"/>
          <w:szCs w:val="18"/>
          <w:color w:val="auto"/>
        </w:rPr>
        <w:t>) for the subscription of these instruments.</w:t>
      </w:r>
    </w:p>
    <w:p>
      <w:pPr>
        <w:spacing w:after="0" w:line="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 resolution passed at a general meeting of shareholders by two-thirds of the votes represented and the absolute majority of the nominal value of the shares represented may authorize the board of directors to withdraw or limit pre-emptive rights and/or advance subscription rights in certain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our authorized share capital, the board of directors is authorized by our articles of association to withdraw or limit the pre-emptive rights of shareholders, and to allocate them to certain shareholders and third parties if the shares are to be used:</w:t>
      </w:r>
    </w:p>
    <w:p>
      <w:pPr>
        <w:spacing w:after="0" w:line="89" w:lineRule="exact"/>
        <w:rPr>
          <w:sz w:val="20"/>
          <w:szCs w:val="20"/>
          <w:color w:val="auto"/>
        </w:rPr>
      </w:pPr>
    </w:p>
    <w:p>
      <w:pPr>
        <w:ind w:left="340" w:right="8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acquisition of companies, part of companies or participations, for the acquisition of products, intellectual property or licenses or for investment projects or for the financing or refinancing of such transactions through a placement of shares;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purpose of broadening the shareholder constituency or in connection with a listing of shares on domestic or foreign stock exchanges;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issue price of the new shares is determined by reference to the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30" w:lineRule="exact"/>
        <w:rPr>
          <w:sz w:val="20"/>
          <w:szCs w:val="20"/>
          <w:color w:val="auto"/>
        </w:rPr>
      </w:pPr>
    </w:p>
    <w:p>
      <w:pPr>
        <w:ind w:left="340" w:right="62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 or underwriters;</w:t>
      </w:r>
    </w:p>
    <w:p>
      <w:pPr>
        <w:spacing w:after="0" w:line="89" w:lineRule="exact"/>
        <w:rPr>
          <w:rFonts w:ascii="Arial" w:cs="Arial" w:eastAsia="Arial" w:hAnsi="Arial"/>
          <w:sz w:val="18"/>
          <w:szCs w:val="18"/>
          <w:color w:val="auto"/>
        </w:rPr>
      </w:pPr>
    </w:p>
    <w:p>
      <w:pPr>
        <w:ind w:left="340" w:right="60" w:hanging="332"/>
        <w:spacing w:after="0" w:line="342"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w:t>
      </w:r>
    </w:p>
    <w:p>
      <w:pPr>
        <w:spacing w:after="0" w:line="56" w:lineRule="exact"/>
        <w:rPr>
          <w:rFonts w:ascii="Arial" w:cs="Arial" w:eastAsia="Arial" w:hAnsi="Arial"/>
          <w:sz w:val="16"/>
          <w:szCs w:val="16"/>
          <w:color w:val="auto"/>
        </w:rPr>
      </w:pPr>
    </w:p>
    <w:p>
      <w:pPr>
        <w:ind w:left="340" w:right="60" w:hanging="332"/>
        <w:spacing w:after="0" w:line="263"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defense of an actual, threatened or potential takeover bid, in relation to which the board of directors, upon consultation with an independent financial advisor retained by it, has not recommended to the shareholders acceptance on the basis that the board of directors has not found the takeover bid to be financially fair to the shareholders.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 Any shares for which the granted preferential subscription rights have not been exercised will be at the disposal of the board of directors, who may sell them at market conditions or use them for other purposes in the interest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Under our articles of association, our board of directors is authorized to increase the share capital at any time on or before April 21, 2023, by a maximum aggregate amount of CHF 728,675 through the issuance of not more than 7,286,750 shares, which would have to be fully paid-in, with a nominal value of CHF 0.10 each.</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8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common shares to be sold in this offering will be issued out of our authorized share capital. Accordingly upon the consummation of this offering, our authorized but unissued share capital will decrease by the amount of CHF 300,000 (or by a larger amount to the extent that any over-allotment shares will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share capital may be increased by a (following the transactions set out in "—</w:t>
      </w:r>
      <w:r>
        <w:rPr>
          <w:rFonts w:ascii="Arial" w:cs="Arial" w:eastAsia="Arial" w:hAnsi="Arial"/>
          <w:sz w:val="17"/>
          <w:szCs w:val="17"/>
          <w:i w:val="1"/>
          <w:iCs w:val="1"/>
          <w:color w:val="auto"/>
        </w:rPr>
        <w:t>History of Securities Issuances</w:t>
      </w:r>
      <w:r>
        <w:rPr>
          <w:rFonts w:ascii="Arial" w:cs="Arial" w:eastAsia="Arial" w:hAnsi="Arial"/>
          <w:sz w:val="17"/>
          <w:szCs w:val="17"/>
          <w:color w:val="auto"/>
        </w:rPr>
        <w:t>", residual) maximum aggregate amount of CHF 176,067.70 through the issuance of not more than 1,760,677 common shares, which would need to be fully paid-in, with a nominal value of CHF 0.10 each, through the direct or indirect issuance of shares, options or pre-emptive rights thereof granted to employees and members of our board of directors as well as to members of any advisory boards. Shares, options or pre-emptive rights thereof shall be issued in accordance with one or more participation plans and/or policies to be issued by our board of directors and in accordance with our articles of association.</w:t>
      </w:r>
    </w:p>
    <w:p>
      <w:pPr>
        <w:spacing w:after="0" w:line="1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share capital may be increased by a (following the transactions set out in "—</w:t>
      </w:r>
      <w:r>
        <w:rPr>
          <w:rFonts w:ascii="Arial" w:cs="Arial" w:eastAsia="Arial" w:hAnsi="Arial"/>
          <w:sz w:val="16"/>
          <w:szCs w:val="16"/>
          <w:i w:val="1"/>
          <w:iCs w:val="1"/>
          <w:color w:val="auto"/>
        </w:rPr>
        <w:t>History of Securities Issuances</w:t>
      </w:r>
      <w:r>
        <w:rPr>
          <w:rFonts w:ascii="Arial" w:cs="Arial" w:eastAsia="Arial" w:hAnsi="Arial"/>
          <w:sz w:val="16"/>
          <w:szCs w:val="16"/>
          <w:color w:val="auto"/>
        </w:rPr>
        <w:t>", residual) maximum aggregate amount of CHF 226,087 through the issuance of up to 2,260,870 fully paid up shares with a nominal value of CHF 0.10 each through the exercise or mandatory exercise of conversion, exchange, option, warrant or similar rights for the subscription of shares granted to shareholders or third parties alone or in connection with bonds, notes, options, warrants or other securities or contractual obligations by us or any of our group companies.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pre-emptive rights and advance subscription rights of our shareholders are excluded in connection with the issuance of any shares, options or pre-emptive rights under our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Wertrechte</w:t>
      </w:r>
      <w:r>
        <w:rPr>
          <w:rFonts w:ascii="Arial" w:cs="Arial" w:eastAsia="Arial" w:hAnsi="Arial"/>
          <w:sz w:val="18"/>
          <w:szCs w:val="18"/>
          <w:color w:val="auto"/>
        </w:rPr>
        <w:t>, within the meaning of article 973c of the CO) and, when administered by a custodian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Verwahrungsstelle</w:t>
      </w:r>
      <w:r>
        <w:rPr>
          <w:rFonts w:ascii="Arial" w:cs="Arial" w:eastAsia="Arial" w:hAnsi="Arial"/>
          <w:sz w:val="16"/>
          <w:szCs w:val="16"/>
          <w:color w:val="auto"/>
        </w:rPr>
        <w:t>, within the meaning of the Federal Act on Intermediated Securities, or FISA), and credited to one or more securities deposit account</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Effektenkonto</w:t>
      </w:r>
      <w:r>
        <w:rPr>
          <w:rFonts w:ascii="Arial" w:cs="Arial" w:eastAsia="Arial" w:hAnsi="Arial"/>
          <w:sz w:val="17"/>
          <w:szCs w:val="17"/>
          <w:color w:val="auto"/>
        </w:rPr>
        <w:t>), qualify as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within the meaning of the FISA). In accordance with article 973c of the CO, we maintain a non-public register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We may at any time without the approval of our shareholders and at our cost convert shares issued as uncertificated securities into another form (including global certificates) or convert shares issued in one form into another form. Following the entry in the share register, a shareholder may at any time request from us a written confirmation in respect of the shares held by such shareholder. Shareholders are not entitled, however, to request the printing and delivery of certificates or the conversion of the shares in one form into another form. We may print and deliver certificates for shares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Exercisable for Common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See the section of this prospectus entitled “Executive Compensation—Equity Incentives” for a description of securities granted by our board of directors to our directors, executive officers, employees and other service providers.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of Shareholders</w:t>
      </w:r>
    </w:p>
    <w:p>
      <w:pPr>
        <w:spacing w:after="0" w:line="1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 of any calendar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44"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adoption and amendment of our articles of association;</w:t>
      </w:r>
    </w:p>
    <w:p>
      <w:pPr>
        <w:spacing w:after="0" w:line="157"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election of the members of the board of directors, the chairperson of the board of directors, the members of the compensation committee, the independent voting rights representative and the auditors;</w:t>
      </w:r>
    </w:p>
    <w:p>
      <w:pPr>
        <w:spacing w:after="0" w:line="102"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of the annual management report and the consolidated financial statements and approval of the annual financial statements and decision on the allocation of profits shown on the balance sheet, in particular with regard to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compensation of the board of directors and of the executive management pursuant to article 28 of our articles of association;</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granting discharge to the members of the board of directors and the persons entrusted with the executive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the Company with or without liquidation;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passing of resolutions as to all matters reserved by law or under our articles of association to the authority of the general meeting of shareholders.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our auditor, liquidator or the representatives of bondholders,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absolute majority of the votes represented at the general meeting of shareholders, unless otherwise stipulated by law or our articles of association.</w:t>
      </w:r>
    </w:p>
    <w:p>
      <w:pPr>
        <w:spacing w:after="0" w:line="1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Under Swiss corporate law and our articles of association, a resolution of the general meeting of the shareholders passed by two-thirds of the votes represented at the meeting, and the absolute majority of the nominal value of the shares represented is required for:</w:t>
      </w:r>
    </w:p>
    <w:p>
      <w:pPr>
        <w:spacing w:after="0" w:line="79"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amendment or modification of the purpose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restriction on the transferability of shares and the cancellation of such restriction;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authorized or conditional increase of the share capital;</w:t>
      </w:r>
    </w:p>
    <w:p>
      <w:pPr>
        <w:spacing w:after="0" w:line="144"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increase of the share capital through the conversion of capital surplus, through contribution in kind or for purposes of an acquisition of assets, or the granting of special privileges;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limitation or withdrawal of pre-emptive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relocation of the registered office of the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15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a rule, the same voting requirements apply to resolutions regarding transactions among corporations based on Switzerland’s Federal Act on Mergers, Demergers, Transformations and the Transfer of Assets of 2003, as amended, or the Swiss Merger Act (including a merger, demerger or conversion of a corporation). See “—Compulsory Acquisitions; Appraisal Rights.”</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for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twenty days before the date of the meeting. The general meeting of shareholders is convened by way of a notice appearing in our official publication medium, currently the Swiss Official Gazette of Commerce. Registered shareholders may also be informed by 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owners or representatives of all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Requests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(1) one tenth of the share capital or (2) an aggregate nominal value of at least CHF 1,000,000, may request that an item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on the agenda for a general meeting of shareholders. To be timely, the shareholder’s request must be received by us at least 45 calendar days in advance of the meeting.</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ordinary general meeting. Shareholders of record must be notified of this in writing.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statutory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audit where this is necessary for the proper exercise of shareholders’ rights.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Each of our shares entitles a holder to one vote.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1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board of directors may propose to shareholders that a dividend or other distribution be paid but cannot itself authorize the distribution. Under our articles of association, dividend payments require a resolution passed by an absolute majority of the votes represented at a general meeting of shareholders. In addition, our auditors must confirm that the dividend proposal of our board of directors conforms to Swiss statutory law and our articles of association.</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or if we have distributable reserves, each as evidenced by our audited stand-alone statutory balance sheet prepared pursuant to Swiss law, and after allocations to reserves required by Swiss law and the articles of association have been deducted. We may not be permitted to pay interim dividends out of profit of the current business year.</w:t>
      </w:r>
    </w:p>
    <w:p>
      <w:pPr>
        <w:spacing w:after="0" w:line="1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Distributable reserves are booked either as “retained earnings” or as reserves from capital contributions. Under the CO, if our general reserves amount to less than 20% of our share capital recorded in the 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Distributions out of issued share capital (i.e. the aggregate nominal value of our issued shares) are not allowed and may be made only by way of a share capital reduction. Such a capital reduction requires a resolution passed by an absolute majority of the votes represented at a general meeting of shareholders. The resolution of the shareholders must be recorded in a public deed and a special audit report must confirm that claims of our creditors remain fully covered despite the reduction in the share capital recorded in the commercial register.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 Pursuant to the revised CO, the board of directors must give public notice of the capital reduction in the Swiss Official Gazette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Schweizerisches Handelsamtsblatt</w:t>
      </w:r>
      <w:r>
        <w:rPr>
          <w:rFonts w:ascii="Arial" w:cs="Arial" w:eastAsia="Arial" w:hAnsi="Arial"/>
          <w:sz w:val="18"/>
          <w:szCs w:val="18"/>
          <w:color w:val="auto"/>
        </w:rPr>
        <w:t>) only once (instead of three times) and notify the Company's creditors that they may request, within thirty days of the publication (instead of two months of the third publication as under the current law), satisfaction of, or security for, their claims. The revised CO is expected to enter into force in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CO, a shareholder has a right to inspect our share register with respect to his, her or its own shares and otherwise to the extent necessary to exercise his, her or its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Shareholder Rights—Inspection of Books and Records.”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Investigation</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sitting at our registered office (currently in Schlieren, Switzerland) to appoint a special examiner. If the general meeting of shareholders rejects the request, one or more shareholders representing at least 10% of the share capital or holders of shares in an aggregate nominal value of at least CHF 2,000,000 may request that the court appoint a special examiner. The court will issue such an order if the petitioners can demonstrate that the board of directors, any member of the board of directors or our executive management infringed the law or our articles of association and thereby caused damages to us or the shareholders. The costs of the investigation would generally be allocated to us and only in exceptional cases to the petitioners.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Rights to Bring Actions for the Benefit of the Company</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According to the CO, an individual shareholder may bring an action, in its own name and for the benefit of the Company, against the Company’s directors, officers or liquidators for the recovery of any losses we have suffered as a result of the intentional or negligent breach by such directors, officers or liquidators of their duties.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Compulsory Acquisitions; Appraisal Rights</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Business combinations and other transactions that are governed by the Swiss Merger Act (</w:t>
      </w:r>
      <w:r>
        <w:rPr>
          <w:rFonts w:ascii="Arial" w:cs="Arial" w:eastAsia="Arial" w:hAnsi="Arial"/>
          <w:sz w:val="17"/>
          <w:szCs w:val="17"/>
          <w:i w:val="1"/>
          <w:iCs w:val="1"/>
          <w:color w:val="auto"/>
        </w:rPr>
        <w:t>i.e.</w:t>
      </w:r>
      <w:r>
        <w:rPr>
          <w:rFonts w:ascii="Arial" w:cs="Arial" w:eastAsia="Arial" w:hAnsi="Arial"/>
          <w:sz w:val="17"/>
          <w:szCs w:val="17"/>
          <w:color w:val="auto"/>
        </w:rPr>
        <w:t>, mergers, demergers, conversion of a corporation and certain asset transfers) are binding on all shareholders. A statutory merger or demerger requires approval of two-thirds of the votes represented at a general meeting of shareholders and the absolute majority of the nominal value of the shares represented at such meeting.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If a transaction under the Swiss Merger Act receives all of the necessary consents, all shareholders are compelled to participate in such transaction.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Swiss corporations may be acquired by an acquirer through the direct acquisition of shares. The Swiss Merger Act provides for the possibility of a so-called “cash-out” or “squeeze-out” merger if 90% of the shareholders of the transferring company who are entitled to vote give their consent.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equity rights have not been adequately preserved or compensation payments in the transaction are not adequate, a shareholder may request the competent court to determine an adequate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Swiss law, the sale of all or substantially all of our assets may be construed as a de facto dissolution of the Company, and consequently require the approval of two-thirds of the votes represented at a general meeting of shareholders and the absolute majority of the nominal value of the shares represented at such meeting. Whether a shareholder resolution is required depends on the particular transaction, and the following circumstances are generally deemed relevant in this respect:</w:t>
      </w:r>
    </w:p>
    <w:p>
      <w:pPr>
        <w:spacing w:after="0" w:line="119" w:lineRule="exact"/>
        <w:rPr>
          <w:sz w:val="20"/>
          <w:szCs w:val="20"/>
          <w:color w:val="auto"/>
        </w:rPr>
      </w:pPr>
    </w:p>
    <w:p>
      <w:pPr>
        <w:ind w:left="340" w:right="44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core part of the company’s business is sold without which it is economically impracticable or unreasonable to continue to operate the remaining business;</w:t>
      </w:r>
    </w:p>
    <w:p>
      <w:pPr>
        <w:spacing w:after="0" w:line="102"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assets, after the divestment, are not invested in accordance with the company’s business purpose set forth in its articles of association; and</w:t>
      </w:r>
    </w:p>
    <w:p>
      <w:pPr>
        <w:spacing w:after="0" w:line="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the company’s business purpose but, instead, are intended for distribution to the company’s shareholders or for financial investments unrelated to the company’s business.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association provide that our board of directors shall consist of a minimum of three members and a maximum of eleven members.</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members of our board of directors and the chairperson are elected annually by the general meeting of shareholders for a term of office until completion of the next annual general meeting of shareholders and are eligible for re-election. Each member of our board of directors must be elected individually.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58"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the issuance of the necessary instructions;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determination of the organization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administration of accounting, financial control and financial planning;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appointment and removal of the persons entrusted with executive management and their representation of the company;</w:t>
      </w:r>
    </w:p>
    <w:p>
      <w:pPr>
        <w:spacing w:after="0" w:line="157"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of the company, specifically in view of their compliance with the law, these articles of association, the regulations and directives;</w:t>
      </w:r>
    </w:p>
    <w:p>
      <w:pPr>
        <w:spacing w:after="0" w:line="89" w:lineRule="exact"/>
        <w:rPr>
          <w:rFonts w:ascii="Arial" w:cs="Arial" w:eastAsia="Arial" w:hAnsi="Arial"/>
          <w:sz w:val="18"/>
          <w:szCs w:val="18"/>
          <w:color w:val="auto"/>
        </w:rPr>
      </w:pPr>
    </w:p>
    <w:p>
      <w:pPr>
        <w:ind w:left="340" w:right="78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preparation of the business report, the compensation report and the general meetings of shareholders as well as the implementation of the resolutions adopted by the general meetings of shareholders;</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regarding the subsequent payment of capital with respect to non-fully paid up shares and the amendments to the articles of association related thereto;</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concerning an increase of the share capital to the extent that such power is vested in the board of directors (article 651 paragraph 4 CO) and of resolutions concerning the confirmation of capital increases and corresponding amendments to the Articles of Incorporation, as well as the preparation of the required report on the capital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0"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non-delegable and inalienable duties and powers of the board of directors pursuant to the Merger 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notification of the court if liabilities exceed assets;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matter reserved to the board of directors by the law or the articles of association.</w:t>
      </w:r>
    </w:p>
    <w:p>
      <w:pPr>
        <w:spacing w:after="0" w:line="158"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details of the delegation must be set in the organizational rules issued by the board of directors. The organizational rules may also contain other procedural rules such as quorum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Executive Management and Directors</w:t>
      </w:r>
    </w:p>
    <w:p>
      <w:pPr>
        <w:spacing w:after="0" w:line="158"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his or her duties under the employment agreement with the employer. See the section of this prospectus entitled “Comparison of Shareholder Rights—Indemnification of Directors and Executive Management and Limitation of Liability.”</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management. See the section of this prospectus entitled “Related Party Transactions—Indemnification Agreements.”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 Management Transactions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Swiss law does not have a specific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director or associated person acted in bad faith.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and organizational rules also cover a broad range of matters, including the handling of conflicts of interest.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the Compensation of the Board of Directors and the Executive Management</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Swiss law, our shareholders must annually approve the compensation of the board of directors and the persons whom the board of directors has, fully or partially, entrusted with our management, which we refer to as our “executive management”. The board of directors is responsible for the annual preparation of a written compensation report in accordance with Swiss law and the Ordinance against Excessive Compensation in Stock Exchange Listed Companies, or the Ordinance. Our statutory auditor conducts an audit of the compensation report as required by article 17 of the Ordinance in accordance with Swiss law and Swiss auditing standards. The compensation report must disclose all compensation, loans and other forms of indebtedness granted by us, directly or indirectly, to current or former members of the board of directors and executive management to the extent related to their former role or not on customary market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concerning compensation, loans and other forms of indebtedness must include:</w:t>
      </w:r>
    </w:p>
    <w:p>
      <w:pPr>
        <w:spacing w:after="0" w:line="144" w:lineRule="exact"/>
        <w:rPr>
          <w:sz w:val="20"/>
          <w:szCs w:val="20"/>
          <w:color w:val="auto"/>
        </w:rPr>
      </w:pPr>
    </w:p>
    <w:p>
      <w:pPr>
        <w:ind w:left="340" w:right="30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board of directors as well as the particular amount for each member of the board of directors, specifying the name and function of each respective person;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executive management as well as the particular amount for the member of the executive management with the highest compensation, specifying the name and function of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44" w:lineRule="exact"/>
        <w:rPr>
          <w:sz w:val="20"/>
          <w:szCs w:val="20"/>
          <w:color w:val="auto"/>
        </w:rPr>
      </w:pPr>
    </w:p>
    <w:p>
      <w:pPr>
        <w:ind w:left="340" w:right="10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during the notice period before termination of a contractual relationship does not qualify as severance payment);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incentive fees for the acquisition or transfer of corporations or parts thereof by us or by companies being, directly or indirectly, controlled by the us;</w:t>
      </w:r>
    </w:p>
    <w:p>
      <w:pPr>
        <w:spacing w:after="0" w:line="167"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us is prohibited if the compensation (1) would have been prohibited if it was paid directly by us, (2) is not provided for in our articles of association and (3) has not been approved by the general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annually vote on the proposals of the board of directors with respect to:</w:t>
      </w:r>
    </w:p>
    <w:p>
      <w:pPr>
        <w:spacing w:after="0" w:line="158"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until the next annual general meeting;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following financial year.</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general meeting of shareholders does not approve a compensation proposal made by the board of directors, the board of directors must convene an extraordinary general meeting and submit a new compensation proposal to such meeting.</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 and Purchases of Own Shares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(1) we have freely distributable reserves in the amount of the purchase price; and (2) the aggregate nominal value of all shares held by us does not exceed 10% of our share capital. Pursuant to Swiss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where shares are acquired in connection with a transfer restriction set out in the articles of association, the foregoing upper limit is 20%. We currently do not have any transfer restriction in our articles of association. If we own shares that exceed the threshold of 10% of our share capital, the excess must be sold or cancelled by means of a capital reduction within two years.</w:t>
      </w:r>
    </w:p>
    <w:p>
      <w:pPr>
        <w:spacing w:after="0" w:line="10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and Disclosure of Substantial Share Interests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disclosure obligations generally applicable to shareholders of Swiss corporations under the Federal Act on Financial Market Infrastructures and Market Conduct in Securities and Derivatives Trading of 2015, or the Financial Market Infrastructure Act, are applicable to us. Under the Financial Market Infrastructure Act, persons who directly, indirectly or in concert with other parties acquire or dispose of common shares or are granted the power to exercise voting rights attached to common shares at their own discretion, or delegated voting rights, or acquire or dispose of purchase or sale rights relating to common shares, and thereby reach, exceed or fall below a threshold of 3, 5, 10, 15, 20, 25, 33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50 or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percent of our voting rights (whether exercisable or not) must report such acquisition or disposal to us and the SIX Swiss Exchange in writing within four trading days. Within two trading days of the receipt of such notification, we must publish such information through SIX Swiss Exchange's electronic reporting and publishing platform. For purposes of calculating whether a threshold has been reached or crossed, shares, delegated voting rights and acquisition rights or obligations, or Acquisition Positions, on the one hand and sale rights or obligations, or Disposal Positions, on the other hand may not be netted. Rather the Acquisition Positions and the Disposal Positions need to be accounted for separately and may each trigger disclosure obligations if the respective positions reach one of the thresholds. In addition, actual share ownership and delegated voting rights must be reported separately from other Purchase Positions if they reach one of the thresholds.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acting in concert who hold more than 5% of all voting rights.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Bid Rules</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Pursuant to the applicable provisions of the Financial Market Infrastructure Act, any person that acquires shares of a listed Swiss company, whether directly or indirectly or acting in concert with third parties, which shares, when taken together with any other shares of such company held by such person, exceed the threshold of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xml:space="preserve">% of the voting rights (whether exercisable or not) of such company, must make a takeover bid to acquire all the other listed shares of such company. A company’s articles of association may either eliminate this provision of the Financial Market Infrastructure Act or may raise the relevant threshold to 49%, </w:t>
      </w:r>
      <w:r>
        <w:rPr>
          <w:rFonts w:ascii="Arial" w:cs="Arial" w:eastAsia="Arial" w:hAnsi="Arial"/>
          <w:sz w:val="16"/>
          <w:szCs w:val="16"/>
          <w:i w:val="1"/>
          <w:iCs w:val="1"/>
          <w:color w:val="auto"/>
        </w:rPr>
        <w:t>opting-out</w:t>
      </w:r>
      <w:r>
        <w:rPr>
          <w:rFonts w:ascii="Arial" w:cs="Arial" w:eastAsia="Arial" w:hAnsi="Arial"/>
          <w:sz w:val="16"/>
          <w:szCs w:val="16"/>
          <w:color w:val="auto"/>
        </w:rPr>
        <w:t xml:space="preserve"> or </w:t>
      </w:r>
      <w:r>
        <w:rPr>
          <w:rFonts w:ascii="Arial" w:cs="Arial" w:eastAsia="Arial" w:hAnsi="Arial"/>
          <w:sz w:val="16"/>
          <w:szCs w:val="16"/>
          <w:i w:val="1"/>
          <w:iCs w:val="1"/>
          <w:color w:val="auto"/>
        </w:rPr>
        <w:t>opting-up,</w:t>
      </w:r>
      <w:r>
        <w:rPr>
          <w:rFonts w:ascii="Arial" w:cs="Arial" w:eastAsia="Arial" w:hAnsi="Arial"/>
          <w:sz w:val="16"/>
          <w:szCs w:val="16"/>
          <w:color w:val="auto"/>
        </w:rPr>
        <w:t xml:space="preserve"> respectively. Our articles of association do not contain any opting-out or opting-up provision.</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waiver of the mandatory rules may be granted by the Swiss Takeover Board or FINMA under certain circumstances. If no waiver is granted, the mandatory takeover bid must be made pursuant to the procedural rules set forth in the Financial Market Infrastructure Act and the implementing ordinances thereunder.</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no obligation to make a takeover bid under the Financial Market Infrastructure Act if the voting rights in question are acquired as a result of a gift, succession or partition of an estate, a transfer based upon matrimonial property law or execution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this offering, the transfer agent and registrar for the ADSs will be Citibank, N.A.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list the ADSs on the Nasdaq Global Market under the symbol “MOLN.”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LIMITATIONS AFFECTING SHAREHOLDERS OF A SWISS COMPANY</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 and Transfer Restrictions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long as shares are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xml:space="preserve"> within the meaning of the Swiss Federal Act on Intermediated Securities, or FISA) based on uncertificated securities (</w:t>
      </w:r>
      <w:r>
        <w:rPr>
          <w:rFonts w:ascii="Arial" w:cs="Arial" w:eastAsia="Arial" w:hAnsi="Arial"/>
          <w:sz w:val="17"/>
          <w:szCs w:val="17"/>
          <w:i w:val="1"/>
          <w:iCs w:val="1"/>
          <w:color w:val="auto"/>
        </w:rPr>
        <w:t>Wertrechte</w:t>
      </w:r>
      <w:r>
        <w:rPr>
          <w:rFonts w:ascii="Arial" w:cs="Arial" w:eastAsia="Arial" w:hAnsi="Arial"/>
          <w:sz w:val="17"/>
          <w:szCs w:val="17"/>
          <w:color w:val="auto"/>
        </w:rPr>
        <w:t>) entered into the main register of a custodian and credited to one or more securities deposit account (</w:t>
      </w:r>
      <w:r>
        <w:rPr>
          <w:rFonts w:ascii="Arial" w:cs="Arial" w:eastAsia="Arial" w:hAnsi="Arial"/>
          <w:sz w:val="17"/>
          <w:szCs w:val="17"/>
          <w:i w:val="1"/>
          <w:iCs w:val="1"/>
          <w:color w:val="auto"/>
        </w:rPr>
        <w:t>Effektenkonto</w:t>
      </w:r>
      <w:r>
        <w:rPr>
          <w:rFonts w:ascii="Arial" w:cs="Arial" w:eastAsia="Arial" w:hAnsi="Arial"/>
          <w:sz w:val="17"/>
          <w:szCs w:val="17"/>
          <w:color w:val="auto"/>
        </w:rPr>
        <w:t>), (i) any transfer of shares is effected by a corresponding entry in the securities deposit account of a bank or a depository institution, (ii) no shares can be transferred by way of assignment, and (iii) a security interest in any shares cannot be granted by way of assignment.</w:t>
      </w:r>
    </w:p>
    <w:p>
      <w:pPr>
        <w:spacing w:after="0" w:line="8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Company maintains its share register through areg.ch ag, an external service provider</w:t>
      </w:r>
      <w:r>
        <w:rPr>
          <w:rFonts w:ascii="Arial" w:cs="Arial" w:eastAsia="Arial" w:hAnsi="Arial"/>
          <w:sz w:val="16"/>
          <w:szCs w:val="16"/>
          <w:b w:val="1"/>
          <w:bCs w:val="1"/>
          <w:color w:val="auto"/>
        </w:rPr>
        <w:t>,</w:t>
      </w:r>
      <w:r>
        <w:rPr>
          <w:rFonts w:ascii="Arial" w:cs="Arial" w:eastAsia="Arial" w:hAnsi="Arial"/>
          <w:sz w:val="16"/>
          <w:szCs w:val="16"/>
          <w:color w:val="auto"/>
        </w:rPr>
        <w:t xml:space="preserve"> and enters the full name, address and nationality (in the case of legal entities, the company name and registered office) of the shareholders (including nominees) and usufructuaries therein. A person entered into the share register must notify the share registrar of any change in address. Until such notification occurs, all written communication from the Company to persons entered in the share register is deemed to have been validly made if sent to the relevant address recorded in the share register.</w:t>
      </w:r>
    </w:p>
    <w:p>
      <w:pPr>
        <w:spacing w:after="0" w:line="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person who acquires shares may submit an application to the Company requesting it to enter such person into the share register as a shareholder with voting rights, provided such person expressly declares to the Company that it has acquired and holds such shares in its own name and for its own account. Any such person that does not expressly state in his or her application to the Company that the relevant shares were acquired for his or her own account (any such person, a nominee) may be entered in the share register as a shareholder with voting rights for the relevant shares, provided that nominee has entered into an agreement with the Company regarding its position and is subject to a recognized banking or finance supervision.</w:t>
      </w:r>
    </w:p>
    <w:p>
      <w:pPr>
        <w:spacing w:after="0" w:line="9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board of directors may, after having heard the concerned shareholder of record or nominee, cancel entries in the share register that were based on inaccurate or misleading information, or if such information becomes inaccurate or misleading, with retroactive effect to the date of the entry.</w:t>
      </w:r>
    </w:p>
    <w:p>
      <w:pPr>
        <w:spacing w:after="0" w:line="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acquirer of shares who is not registered in the share register as a shareholder with voting rights may not vote at or participate in any general meetings of shareholders of the Company, but will still be entitled to dividends and other rights with financial value with respect to such shares.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ADSs or Shares by Non-Swiss Residents</w:t>
      </w:r>
    </w:p>
    <w:p>
      <w:pPr>
        <w:spacing w:after="0" w:line="1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Except for the limitations on voting rights described above applicable to shareholders generally and the sanctions referred to below, there is no limitation under Swiss law or our articles of association on the right of non-Swiss residents or nationals to own ADSs or common shares or to exercise voting rights attached to the common shares underlying the ADSs.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Investment and Exchange Control Regulations in Switzerland</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than in connection with government sanctions imposed on certain persons from, in or related to the Republic of Iraq, Iran, Central African Republic, Yemen, Lebanon, Libya, Sudan, the Republic of South Sudan, the Republic of Mali, Burundi, the Democratic Republic of Congo, Myanmar (Burma), Somalia, Syria, Guinea, Guinea-Bissau, Zimbabwe, Belarus, the Democratic People's Republic of Korea (North Korea), Venezuela, Nicaragua, persons and organizations with a connection to Osama bin Laden, the "Al-Qaeda" group or the Taliban and certain persons in connection with the assassination of Rafik Hariri as well as measures to prevent the circumvention of international sanctions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 and Advance Subscription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any share issue, whether for cash or non-cash consideration, is subject to the prior approval of the shareholders at a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shareholders. Shareholders have certain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to subscribe for new issues of shares and advance subscription rights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Vorwegzeichnungsrechte</w:t>
      </w:r>
      <w:r>
        <w:rPr>
          <w:rFonts w:ascii="Arial" w:cs="Arial" w:eastAsia="Arial" w:hAnsi="Arial"/>
          <w:sz w:val="16"/>
          <w:szCs w:val="16"/>
          <w:color w:val="auto"/>
        </w:rPr>
        <w:t>) to subscribe convertible or warrant-bearing bonds or other financial market instruments in proportion to the nominal amount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held. A resolution adopted at a general meeting of shareholders by a majority of at least two-thirds of the votes and the absolute majority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nominal share capital each as represented at such a meeting, may limit or withdraw pre-emptive rights or advance subscription rights in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circumstances. Under our articles of association, the board of directors is authorized to limit or withdraw pre-emptive rights and advance subscription rights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on the authorized share capital and the conditional share capital. See “Description of Share Capital and Articles of Association—Certain Important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Provisions of our Articles of Association, Organizational Rules and Swiss Law—Our Authorized Share Capital” and “Description of Share Capital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Articles of Association—Certain Important Provisions of our Articles of Association, Organizational Regulations and Swiss Law—Our Conditional 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COMPARISON OF SHAREHOLDER RIGHTS</w:t>
      </w: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organized under the laws of Switzerland in accordance with articles 620 et seqq. CO. The laws applicable to a Swiss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differ from laws applicable to U.S. corporations and their shareholders. The following discussion summarizes material differences between the rights of holders of our common shares and the rights of holders of the common shares of a typical corporation incorporated under the laws of the state of Delaware, which result from differences in governing documents and the laws of Switzerland and Delaware. For a more complete discussion, please refer to the Delaware General Corporation Law, or the DGCL, Swiss law, and our governing corporate statutes.</w:t>
      </w:r>
    </w:p>
    <w:p>
      <w:pPr>
        <w:spacing w:after="0" w:line="91" w:lineRule="exact"/>
        <w:rPr>
          <w:sz w:val="20"/>
          <w:szCs w:val="20"/>
          <w:color w:val="auto"/>
        </w:rPr>
      </w:pPr>
    </w:p>
    <w:p>
      <w:pPr>
        <w:ind w:left="2320"/>
        <w:spacing w:after="0"/>
        <w:tabs>
          <w:tab w:leader="none" w:pos="8040" w:val="left"/>
        </w:tabs>
        <w:rPr>
          <w:sz w:val="20"/>
          <w:szCs w:val="20"/>
          <w:color w:val="auto"/>
        </w:rPr>
      </w:pPr>
      <w:r>
        <w:rPr>
          <w:rFonts w:ascii="Arial" w:cs="Arial" w:eastAsia="Arial" w:hAnsi="Arial"/>
          <w:sz w:val="18"/>
          <w:szCs w:val="18"/>
          <w:b w:val="1"/>
          <w:bCs w:val="1"/>
          <w:color w:val="auto"/>
        </w:rPr>
        <w:t>Switzerland</w:t>
      </w:r>
      <w:r>
        <w:rPr>
          <w:sz w:val="20"/>
          <w:szCs w:val="20"/>
          <w:color w:val="auto"/>
        </w:rPr>
        <w:tab/>
      </w:r>
      <w:r>
        <w:rPr>
          <w:rFonts w:ascii="Arial" w:cs="Arial" w:eastAsia="Arial" w:hAnsi="Arial"/>
          <w:sz w:val="18"/>
          <w:szCs w:val="18"/>
          <w:b w:val="1"/>
          <w:bCs w:val="1"/>
          <w:color w:val="auto"/>
        </w:rPr>
        <w:t>Delaware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200"/>
          </w:cols>
          <w:pgMar w:left="320" w:top="1440" w:right="379" w:bottom="1440" w:gutter="0" w:footer="0" w:header="0"/>
        </w:sectPr>
      </w:pPr>
    </w:p>
    <w:p>
      <w:pPr>
        <w:spacing w:after="0" w:line="81" w:lineRule="exact"/>
        <w:rPr>
          <w:sz w:val="20"/>
          <w:szCs w:val="20"/>
          <w:color w:val="auto"/>
        </w:rPr>
      </w:pPr>
    </w:p>
    <w:p>
      <w:pPr>
        <w:jc w:val="both"/>
        <w:ind w:left="20"/>
        <w:spacing w:after="0" w:line="216" w:lineRule="auto"/>
        <w:rPr>
          <w:sz w:val="20"/>
          <w:szCs w:val="20"/>
          <w:color w:val="auto"/>
        </w:rPr>
      </w:pPr>
      <w:r>
        <w:rPr>
          <w:rFonts w:ascii="Arial" w:cs="Arial" w:eastAsia="Arial" w:hAnsi="Arial"/>
          <w:sz w:val="18"/>
          <w:szCs w:val="18"/>
          <w:color w:val="auto"/>
        </w:rPr>
        <w:t>Under Swiss law, the board of directors must consist of at least one member, unless the articles of association set out a specific number of directors. Our articles of association provide that our board of directors shall consist of a minimum of three members and a maximum of eleven members.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the DGCL, a corporation must have at least one director and the number of directors shall be fixed by or in the manner provided in the bylaws, unless the certificate of incorporation fixes the number of directors, in which case a change in the number of directors shall be made only by amendment of the certificate of incorporation.</w:t>
      </w:r>
    </w:p>
    <w:p>
      <w:pPr>
        <w:spacing w:after="0" w:line="50" w:lineRule="exact"/>
        <w:rPr>
          <w:sz w:val="20"/>
          <w:szCs w:val="20"/>
          <w:color w:val="auto"/>
        </w:rPr>
      </w:pPr>
    </w:p>
    <w:p>
      <w:pPr>
        <w:sectPr>
          <w:pgSz w:w="11900" w:h="16838" w:orient="portrait"/>
          <w:cols w:equalWidth="0" w:num="2">
            <w:col w:w="5520" w:space="140"/>
            <w:col w:w="5540"/>
          </w:cols>
          <w:pgMar w:left="32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Director Qualifications</w:t>
      </w:r>
    </w:p>
    <w:p>
      <w:pPr>
        <w:sectPr>
          <w:pgSz w:w="11900" w:h="16838" w:orient="portrait"/>
          <w:cols w:equalWidth="0" w:num="1">
            <w:col w:w="11200"/>
          </w:cols>
          <w:pgMar w:left="320" w:top="1440" w:right="379" w:bottom="1440" w:gutter="0" w:footer="0" w:header="0"/>
          <w:type w:val="continuous"/>
        </w:sectPr>
      </w:pPr>
    </w:p>
    <w:p>
      <w:pPr>
        <w:spacing w:after="0" w:line="117"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Any natural person can be elected as a member of the board of directors even without being a shareholder of the corporation. As a minimum standard a director has to be in the position to fulfill his or her fiduciary duties, the duty of care and the duty of loyalty. It lies within the competence of the board of directors to determine a set of qualifications when proposing potential candidates to the general meeting of shareholders for election, or the articles of association may set out guidelines. While our articles of association generally do not set out such guidelines, our organizational regulations and committee charters stipulate certain requirements as to independence and, with respect to the audit and finance committee, financial literacy.</w:t>
      </w:r>
    </w:p>
    <w:p>
      <w:pPr>
        <w:spacing w:after="0" w:line="209" w:lineRule="exact"/>
        <w:rPr>
          <w:sz w:val="20"/>
          <w:szCs w:val="20"/>
          <w:color w:val="auto"/>
        </w:rPr>
      </w:pPr>
    </w:p>
    <w:p>
      <w:pPr>
        <w:ind w:left="20" w:right="20"/>
        <w:spacing w:after="0" w:line="257" w:lineRule="auto"/>
        <w:rPr>
          <w:sz w:val="20"/>
          <w:szCs w:val="20"/>
          <w:color w:val="auto"/>
        </w:rPr>
      </w:pPr>
      <w:r>
        <w:rPr>
          <w:rFonts w:ascii="Arial" w:cs="Arial" w:eastAsia="Arial" w:hAnsi="Arial"/>
          <w:sz w:val="17"/>
          <w:szCs w:val="17"/>
          <w:color w:val="auto"/>
        </w:rPr>
        <w:t>Further, the corporation must be able to be represented by one person who is resident in Switzerland with sole signature authority or two persons who are resident in Switzerland with joint signature authority by two. This person or these persons may be either a member of the board of directors or an executive officer. They must have access to the share register and the register of beneficial owners notified 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prescribe qualifications for directors under its certificate of incorporation or bylaws.</w:t>
      </w:r>
    </w:p>
    <w:p>
      <w:pPr>
        <w:spacing w:after="0" w:line="3683" w:lineRule="exact"/>
        <w:rPr>
          <w:sz w:val="20"/>
          <w:szCs w:val="20"/>
          <w:color w:val="auto"/>
        </w:rPr>
      </w:pPr>
    </w:p>
    <w:p>
      <w:pPr>
        <w:sectPr>
          <w:pgSz w:w="11900" w:h="16838" w:orient="portrait"/>
          <w:cols w:equalWidth="0" w:num="2">
            <w:col w:w="5500" w:space="160"/>
            <w:col w:w="55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200"/>
          </w:cols>
          <w:pgMar w:left="320" w:top="1440" w:right="379" w:bottom="1440" w:gutter="0" w:footer="0" w:header="0"/>
          <w:type w:val="continuous"/>
        </w:sectPr>
      </w:pPr>
    </w:p>
    <w:bookmarkStart w:id="207" w:name="page208"/>
    <w:bookmarkEnd w:id="207"/>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Standard of Conduct for Directors</w:t>
      </w:r>
    </w:p>
    <w:p>
      <w:pPr>
        <w:sectPr>
          <w:pgSz w:w="11900" w:h="16838" w:orient="portrait"/>
          <w:cols w:equalWidth="0" w:num="1">
            <w:col w:w="11120"/>
          </w:cols>
          <w:pgMar w:left="340" w:top="1440" w:right="439" w:bottom="1440" w:gutter="0" w:footer="0" w:header="0"/>
        </w:sectPr>
      </w:pPr>
    </w:p>
    <w:p>
      <w:pPr>
        <w:spacing w:after="0" w:line="10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A director of a Swiss corporation has a fiduciary duty to the corporation only. This duty has two components:</w:t>
      </w:r>
    </w:p>
    <w:p>
      <w:pPr>
        <w:ind w:left="320" w:hanging="314"/>
        <w:spacing w:after="0" w:line="205" w:lineRule="auto"/>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care; and</w:t>
      </w:r>
    </w:p>
    <w:p>
      <w:pPr>
        <w:ind w:left="320" w:hanging="314"/>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duty of care requires that a director acts in good faith, with the care that an ordinary prudent director would exercise under similar circumstances.</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duty of loyalty requires that a director acts in a manner he or she reasonably believes to be in the best interest of the corporation. He or she must not use his or her corporate position for personal gain or advantage. This duty prohibits in principle self-dealing by a director and mandates that the best interest of the corporation take precedence over a director’s interest.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DGCL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563" w:lineRule="exact"/>
        <w:rPr>
          <w:sz w:val="20"/>
          <w:szCs w:val="20"/>
          <w:color w:val="auto"/>
        </w:rPr>
      </w:pPr>
    </w:p>
    <w:p>
      <w:pPr>
        <w:sectPr>
          <w:pgSz w:w="11900" w:h="16838" w:orient="portrait"/>
          <w:cols w:equalWidth="0" w:num="2">
            <w:col w:w="5500" w:space="140"/>
            <w:col w:w="5480"/>
          </w:cols>
          <w:pgMar w:left="340" w:top="1440" w:right="439" w:bottom="1440" w:gutter="0" w:footer="0" w:header="0"/>
          <w:type w:val="continuous"/>
        </w:sectPr>
      </w:pPr>
    </w:p>
    <w:p>
      <w:pPr>
        <w:spacing w:after="0"/>
        <w:tabs>
          <w:tab w:leader="none" w:pos="820" w:val="left"/>
          <w:tab w:leader="none" w:pos="1340" w:val="left"/>
          <w:tab w:leader="none" w:pos="1940" w:val="left"/>
          <w:tab w:leader="none" w:pos="2320" w:val="left"/>
          <w:tab w:leader="none" w:pos="3380" w:val="left"/>
          <w:tab w:leader="none" w:pos="3940" w:val="left"/>
          <w:tab w:leader="none" w:pos="4780" w:val="left"/>
          <w:tab w:leader="none" w:pos="5080" w:val="left"/>
        </w:tabs>
        <w:rPr>
          <w:sz w:val="20"/>
          <w:szCs w:val="20"/>
          <w:color w:val="auto"/>
        </w:rPr>
      </w:pPr>
      <w:r>
        <w:rPr>
          <w:rFonts w:ascii="Arial" w:cs="Arial" w:eastAsia="Arial" w:hAnsi="Arial"/>
          <w:sz w:val="18"/>
          <w:szCs w:val="18"/>
          <w:color w:val="auto"/>
        </w:rPr>
        <w:t>Directors</w:t>
        <w:tab/>
        <w:t>must</w:t>
        <w:tab/>
        <w:t>afford</w:t>
        <w:tab/>
        <w:t>the</w:t>
        <w:tab/>
        <w:t>shareholders</w:t>
        <w:tab/>
        <w:t>equal</w:t>
        <w:tab/>
        <w:t>treatment</w:t>
        <w:tab/>
        <w:t>in</w:t>
      </w:r>
      <w:r>
        <w:rPr>
          <w:sz w:val="20"/>
          <w:szCs w:val="20"/>
          <w:color w:val="auto"/>
        </w:rPr>
        <w:tab/>
      </w:r>
      <w:r>
        <w:rPr>
          <w:rFonts w:ascii="Arial" w:cs="Arial" w:eastAsia="Arial" w:hAnsi="Arial"/>
          <w:sz w:val="16"/>
          <w:szCs w:val="16"/>
          <w:color w:val="auto"/>
        </w:rPr>
        <w:t>equal</w:t>
      </w:r>
    </w:p>
    <w:p>
      <w:pPr>
        <w:spacing w:after="0"/>
        <w:rPr>
          <w:sz w:val="20"/>
          <w:szCs w:val="20"/>
          <w:color w:val="auto"/>
        </w:rPr>
      </w:pPr>
      <w:r>
        <w:rPr>
          <w:rFonts w:ascii="Arial" w:cs="Arial" w:eastAsia="Arial" w:hAnsi="Arial"/>
          <w:sz w:val="18"/>
          <w:szCs w:val="18"/>
          <w:color w:val="auto"/>
        </w:rPr>
        <w:t>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burden of proof for a violation of these duties is with the corporation or</w:t>
      </w:r>
    </w:p>
    <w:p>
      <w:pPr>
        <w:spacing w:after="0"/>
        <w:rPr>
          <w:sz w:val="20"/>
          <w:szCs w:val="20"/>
          <w:color w:val="auto"/>
        </w:rPr>
      </w:pPr>
      <w:r>
        <w:rPr>
          <w:rFonts w:ascii="Arial" w:cs="Arial" w:eastAsia="Arial" w:hAnsi="Arial"/>
          <w:sz w:val="18"/>
          <w:szCs w:val="18"/>
          <w:color w:val="auto"/>
        </w:rPr>
        <w:t>with the shareholder (or creditor) bringing a suit against the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Swiss Federal Supreme Court established the doctrine to restrict its</w:t>
      </w:r>
    </w:p>
    <w:p>
      <w:pPr>
        <w:spacing w:after="0" w:line="215" w:lineRule="auto"/>
        <w:rPr>
          <w:sz w:val="20"/>
          <w:szCs w:val="20"/>
          <w:color w:val="auto"/>
        </w:rPr>
      </w:pPr>
      <w:r>
        <w:rPr>
          <w:rFonts w:ascii="Arial" w:cs="Arial" w:eastAsia="Arial" w:hAnsi="Arial"/>
          <w:sz w:val="17"/>
          <w:szCs w:val="17"/>
          <w:color w:val="auto"/>
        </w:rPr>
        <w:t>review of a business decision if the decision has been taken upon proper</w:t>
      </w:r>
    </w:p>
    <w:p>
      <w:pPr>
        <w:spacing w:after="0"/>
        <w:rPr>
          <w:sz w:val="20"/>
          <w:szCs w:val="20"/>
          <w:color w:val="auto"/>
        </w:rPr>
      </w:pPr>
      <w:r>
        <w:rPr>
          <w:rFonts w:ascii="Arial" w:cs="Arial" w:eastAsia="Arial" w:hAnsi="Arial"/>
          <w:sz w:val="18"/>
          <w:szCs w:val="18"/>
          <w:color w:val="auto"/>
        </w:rPr>
        <w:t>preparation, on an informed basis and without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120"/>
          </w:cols>
          <w:pgMar w:left="340" w:top="1440" w:right="439" w:bottom="1440" w:gutter="0" w:footer="0" w:header="0"/>
          <w:type w:val="continuous"/>
        </w:sectPr>
      </w:pPr>
    </w:p>
    <w:bookmarkStart w:id="208" w:name="page209"/>
    <w:bookmarkEnd w:id="208"/>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of Directors and Executive Committee and Limitation of Liability</w:t>
      </w:r>
    </w:p>
    <w:p>
      <w:pPr>
        <w:sectPr>
          <w:pgSz w:w="11900" w:h="16838" w:orient="portrait"/>
          <w:cols w:equalWidth="0" w:num="1">
            <w:col w:w="11180"/>
          </w:cols>
          <w:pgMar w:left="340" w:top="1440" w:right="379" w:bottom="1440" w:gutter="0" w:footer="0" w:header="0"/>
        </w:sectPr>
      </w:pPr>
    </w:p>
    <w:p>
      <w:pPr>
        <w:spacing w:after="0" w:line="5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Under Swiss law, a corporation cannot limit the personal liability of a director or another person entrusted with its management. However, the general meeting of shareholders may grant discharge to the directors and the persons entrusted with its management from liability arising from actions taken during the past financial year. Such discharge is effective only, however, for disclosed facts and only against the corporation and those shareholders who approved the discharge or who have since acquired shares in full knowledge of the discharge.</w:t>
      </w:r>
    </w:p>
    <w:p>
      <w:pPr>
        <w:spacing w:after="0" w:line="12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w:t>
      </w:r>
    </w:p>
    <w:p>
      <w:pPr>
        <w:spacing w:after="0" w:line="12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Subject to the limitations described above, the articles of association of a Swiss corporation may therefore provide that the corporation shall indemnify and hold harmless to the extent permitted by law the directors and members of the executive committee out of assets of the corporation against threatened, pending or completed actions. 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a corporation may enter into and pay for directors’ and officers’ liability insurance which may cover negligent acts as well.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Under the DGCL, a corporation’s certificate of incorporation may include a provision eliminating or limiting the personal liability of a director to the corporation or its shareholders for monetary damages arising from a breach of fiduciary duty as a director, provided that such provision shall not eliminate or limit the liability of a director for:</w:t>
      </w:r>
    </w:p>
    <w:p>
      <w:pPr>
        <w:ind w:left="34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shareholders;</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unlawful share purchases or redemptions; or</w:t>
      </w:r>
    </w:p>
    <w:p>
      <w:pPr>
        <w:ind w:left="340" w:right="20" w:hanging="331"/>
        <w:spacing w:after="0" w:line="226"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 w:lineRule="exact"/>
        <w:rPr>
          <w:sz w:val="20"/>
          <w:szCs w:val="20"/>
          <w:color w:val="auto"/>
        </w:rPr>
      </w:pP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independent legal counsel in a written opinion if there are no eligible directors, or if the eligible directors so direct; or</w:t>
      </w:r>
    </w:p>
    <w:p>
      <w:pPr>
        <w:ind w:left="320" w:hanging="311"/>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0"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180"/>
          </w:cols>
          <w:pgMar w:left="340" w:top="1440" w:right="379" w:bottom="1440" w:gutter="0" w:footer="0" w:header="0"/>
          <w:type w:val="continuous"/>
        </w:sectPr>
      </w:pPr>
    </w:p>
    <w:bookmarkStart w:id="209" w:name="page210"/>
    <w:bookmarkEnd w:id="209"/>
    <w:p>
      <w:pPr>
        <w:spacing w:after="0" w:line="16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Annual Vote on Board Renewal</w:t>
      </w:r>
    </w:p>
    <w:p>
      <w:pPr>
        <w:spacing w:after="0" w:line="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general meeting of shareholders elects annually and individually the Unless directors are elected by written consent in lieu of an annual meeting, members of the board of directors, the chairperson of the board of directors directors are elected in an annual meeting of shareholders on a date and at a and the members of the compensation committee for a term of office until time designated by or in the manner provided in the bylaws. Re-election is completion of the next annual general meeting of shareholders. Re-election possible.</w:t>
      </w:r>
    </w:p>
    <w:p>
      <w:pPr>
        <w:sectPr>
          <w:pgSz w:w="11900" w:h="16838" w:orient="portrait"/>
          <w:cols w:equalWidth="0" w:num="1">
            <w:col w:w="11100"/>
          </w:cols>
          <w:pgMar w:left="340" w:top="1440" w:right="4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possible.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One-year terms are mandatory under Swiss law for listed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therefore not permitted.</w:t>
      </w:r>
    </w:p>
    <w:p>
      <w:pPr>
        <w:spacing w:after="0" w:line="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Cumulative voting is not permitted under Swiss law. Our directors, the chairperson of the board of directors and the members of the compensation committee are elected by the affirmative vote of the absolute majority of the votes represented at the general meeting of shareholders.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color w:val="auto"/>
        </w:rPr>
        <w:t>Classified boards are permitted.</w:t>
      </w:r>
    </w:p>
    <w:p>
      <w:pPr>
        <w:spacing w:after="0" w:line="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Cumulative voting for elections of directors is not permitted unless the corporation’s certificate of incorporation provides for it.</w:t>
      </w:r>
    </w:p>
    <w:p>
      <w:pPr>
        <w:spacing w:after="0" w:line="873" w:lineRule="exact"/>
        <w:rPr>
          <w:sz w:val="20"/>
          <w:szCs w:val="20"/>
          <w:color w:val="auto"/>
        </w:rPr>
      </w:pPr>
    </w:p>
    <w:p>
      <w:pPr>
        <w:sectPr>
          <w:pgSz w:w="11900" w:h="16838" w:orient="portrait"/>
          <w:cols w:equalWidth="0" w:num="2">
            <w:col w:w="5480" w:space="60"/>
            <w:col w:w="55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00"/>
          </w:cols>
          <w:pgMar w:left="340" w:top="1440" w:right="459" w:bottom="1440" w:gutter="0" w:footer="0" w:header="0"/>
          <w:type w:val="continuous"/>
        </w:sectPr>
      </w:pP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general meeting of shareholders may remove, with or without cause, any director at any time with a resolution passed by an absolute majority of the votes represented at a general meeting of shareholders where a proposal for such removal was properly set on the agenda. The articles of association may require the approval by a qualified majority of the shares represented at a meeting for the removal of a 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Under the DGCL, directors may be removed from office, with or without cause, by a majority stockholder vote, though in the case of a corporation whose board is classified, unless otherwise provided in the certificate of incorporation, stockholders may effect such removal only for cause.</w:t>
      </w:r>
    </w:p>
    <w:p>
      <w:pPr>
        <w:spacing w:after="0" w:line="435" w:lineRule="exact"/>
        <w:rPr>
          <w:sz w:val="20"/>
          <w:szCs w:val="20"/>
          <w:color w:val="auto"/>
        </w:rPr>
      </w:pPr>
    </w:p>
    <w:p>
      <w:pPr>
        <w:sectPr>
          <w:pgSz w:w="11900" w:h="16838" w:orient="portrait"/>
          <w:cols w:equalWidth="0" w:num="2">
            <w:col w:w="5500" w:space="140"/>
            <w:col w:w="54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Vacancies on the Board of Directors</w:t>
      </w:r>
    </w:p>
    <w:p>
      <w:pPr>
        <w:sectPr>
          <w:pgSz w:w="11900" w:h="16838" w:orient="portrait"/>
          <w:cols w:equalWidth="0" w:num="1">
            <w:col w:w="11100"/>
          </w:cols>
          <w:pgMar w:left="340" w:top="1440" w:right="459" w:bottom="1440" w:gutter="0" w:footer="0" w:header="0"/>
          <w:type w:val="continuous"/>
        </w:sectPr>
      </w:pPr>
    </w:p>
    <w:p>
      <w:pPr>
        <w:spacing w:after="0" w:line="1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In order to fill a vacancy on the board of directors, a new member of the board of directors must be elected by a general meeting of shareholders.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the office of the chairperson of the board of directors is vacant, the board of directors shall appoint a new chairperson from among its members for the remaining term of office. If there are vacancies on the compensation committee, the board of directors may appoint substitute members from among its members for the remaining term of office. The articles of association may set forth other rules to fill vacancies on the compensation committee. Our articles of association do not stipulate such other rules.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DGCL, unless otherwise provided in the certificate of incorporation or bylaws, a vacancy or a newly created directorship may be filled by a majority of the directors then in office, although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063" w:lineRule="exact"/>
        <w:rPr>
          <w:sz w:val="20"/>
          <w:szCs w:val="20"/>
          <w:color w:val="auto"/>
        </w:rPr>
      </w:pPr>
    </w:p>
    <w:p>
      <w:pPr>
        <w:sectPr>
          <w:pgSz w:w="11900" w:h="16838" w:orient="portrait"/>
          <w:cols w:equalWidth="0" w:num="2">
            <w:col w:w="5440" w:space="200"/>
            <w:col w:w="5460"/>
          </w:cols>
          <w:pgMar w:left="34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100"/>
          </w:cols>
          <w:pgMar w:left="340" w:top="1440" w:right="459" w:bottom="1440" w:gutter="0" w:footer="0" w:header="0"/>
          <w:type w:val="continuous"/>
        </w:sectPr>
      </w:pPr>
    </w:p>
    <w:bookmarkStart w:id="210" w:name="page211"/>
    <w:bookmarkEnd w:id="210"/>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Annual General Meeting or Special Meetings</w:t>
      </w:r>
    </w:p>
    <w:p>
      <w:pPr>
        <w:sectPr>
          <w:pgSz w:w="11900" w:h="16838" w:orient="portrait"/>
          <w:cols w:equalWidth="0" w:num="1">
            <w:col w:w="11140"/>
          </w:cols>
          <w:pgMar w:left="340" w:top="1440" w:right="419" w:bottom="1440" w:gutter="0" w:footer="0" w:header="0"/>
        </w:sectPr>
      </w:pP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annual general meeting of shareholders must take place annually within six months after the close of the financial year. Amongst other competences, the general meeting of shareholders individually elects the members of the board of directors, the chairperson of the board of directors and the members of the compensation committee. The notice of convening the meeting must include the place and date of the general meeting, the agenda items, the proposals by the board of directors and shareholders (if any), and necessary directions and instructions by the board of the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Extraordinary general meetings of shareholders shall be called as often as necessary by the board of directors or, if necessary, by the statutory auditors as well as in all other cases required by law. Unless the articles of association provide for a lower threshold, one or more shareholders representing at least 10% of the share capital may request in writing that the board of directors call an extraordinary general meeting of shareholders. The request must contain an agenda and the suggested proposals.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Under the DGCL, the annual meeting of stockholders shall be held at such place, on such date and at such time as may be provided by the certificate of incorporation or by the bylaws, or by the board of directors if neither the certificate of incorporation or bylaws so provide.</w:t>
      </w:r>
    </w:p>
    <w:p>
      <w:pPr>
        <w:spacing w:after="0" w:line="12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the DGCL, unless directors are elected by written consent in lieu of an annual meeting as permitted by the DGCL, the annual meeting of stockholders shall be held for the election of directors on a date and at a time as designated by or in the manner provided in the bylaws.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577" w:lineRule="exact"/>
        <w:rPr>
          <w:sz w:val="20"/>
          <w:szCs w:val="20"/>
          <w:color w:val="auto"/>
        </w:rPr>
      </w:pPr>
    </w:p>
    <w:p>
      <w:pPr>
        <w:sectPr>
          <w:pgSz w:w="11900" w:h="16838" w:orient="portrait"/>
          <w:cols w:equalWidth="0" w:num="2">
            <w:col w:w="5500" w:space="160"/>
            <w:col w:w="5480"/>
          </w:cols>
          <w:pgMar w:left="340" w:top="1440" w:right="41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Shareholder Proposals</w:t>
      </w:r>
    </w:p>
    <w:p>
      <w:pPr>
        <w:sectPr>
          <w:pgSz w:w="11900" w:h="16838" w:orient="portrait"/>
          <w:cols w:equalWidth="0" w:num="1">
            <w:col w:w="11140"/>
          </w:cols>
          <w:pgMar w:left="340" w:top="1440" w:right="419" w:bottom="1440" w:gutter="0" w:footer="0" w:header="0"/>
          <w:type w:val="continuous"/>
        </w:sectPr>
      </w:pPr>
    </w:p>
    <w:p>
      <w:pPr>
        <w:spacing w:after="0" w:line="11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Generally, no resolution may be passed on proposals relating to agenda items that were not duly notified. Unless the articles of association provide for a lower threshold or for additional shareholders’ rights (which is not the case under our articles of association):</w:t>
      </w:r>
    </w:p>
    <w:p>
      <w:pPr>
        <w:spacing w:after="0" w:line="192" w:lineRule="exact"/>
        <w:rPr>
          <w:sz w:val="20"/>
          <w:szCs w:val="20"/>
          <w:color w:val="auto"/>
        </w:rPr>
      </w:pPr>
    </w:p>
    <w:p>
      <w:pPr>
        <w:jc w:val="both"/>
        <w:ind w:left="340" w:hanging="334"/>
        <w:spacing w:after="0" w:line="209"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or several shareholders representing 10% of the share capital may ask in writing that a general meeting of shareholders be called for specific agenda items and specific proposals; and</w:t>
      </w:r>
    </w:p>
    <w:p>
      <w:pPr>
        <w:spacing w:after="0" w:line="1" w:lineRule="exact"/>
        <w:rPr>
          <w:rFonts w:ascii="Arial" w:cs="Arial" w:eastAsia="Arial" w:hAnsi="Arial"/>
          <w:sz w:val="18"/>
          <w:szCs w:val="18"/>
          <w:color w:val="auto"/>
        </w:rPr>
      </w:pPr>
    </w:p>
    <w:p>
      <w:pPr>
        <w:jc w:val="both"/>
        <w:ind w:left="340" w:hanging="334"/>
        <w:spacing w:after="0" w:line="222" w:lineRule="auto"/>
        <w:tabs>
          <w:tab w:leader="none" w:pos="3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one or several shareholders representing 10% of the share capital or CHF 1 million of nominal share capital, whichever is lower, may ask in writing that an agenda item including a specific proposal be put on the agenda for a scheduled general meeting of shareholders, provided such request is made with appropriate notice. Our articles of association provide that such request must be made at least 45 calendar days prior to a general meeting of shareholders.</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statutory auditors on the methods and results of their audit, (iii) propose that an extraordinary general meeting of shareholders be called or (iv) propose that a special investigation be carried out.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21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 stockholder of a Delaware corporation has the right to put any proposal before the annual meeting of stockholders, provided it complies with the notice provisions in the governing documents. A special meeting may be called by the board of directors or any other person authorized to do so in the governing documents, but stockholders may be precluded from calling special meetings.</w:t>
      </w:r>
    </w:p>
    <w:p>
      <w:pPr>
        <w:spacing w:after="0" w:line="2630" w:lineRule="exact"/>
        <w:rPr>
          <w:sz w:val="20"/>
          <w:szCs w:val="20"/>
          <w:color w:val="auto"/>
        </w:rPr>
      </w:pPr>
    </w:p>
    <w:p>
      <w:pPr>
        <w:sectPr>
          <w:pgSz w:w="11900" w:h="16838" w:orient="portrait"/>
          <w:cols w:equalWidth="0" w:num="2">
            <w:col w:w="5520" w:space="140"/>
            <w:col w:w="5480"/>
          </w:cols>
          <w:pgMar w:left="34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140"/>
          </w:cols>
          <w:pgMar w:left="340" w:top="1440" w:right="419" w:bottom="1440" w:gutter="0" w:footer="0" w:header="0"/>
          <w:type w:val="continuous"/>
        </w:sectPr>
      </w:pPr>
    </w:p>
    <w:bookmarkStart w:id="211" w:name="page212"/>
    <w:bookmarkEnd w:id="211"/>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General Meetings</w:t>
      </w:r>
    </w:p>
    <w:p>
      <w:pPr>
        <w:spacing w:after="0" w:line="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Under Swiss law and our articles of association, notice of the general</w:t>
      </w:r>
      <w:r>
        <w:rPr>
          <w:sz w:val="20"/>
          <w:szCs w:val="20"/>
          <w:color w:val="auto"/>
        </w:rPr>
        <w:tab/>
      </w:r>
      <w:r>
        <w:rPr>
          <w:rFonts w:ascii="Arial" w:cs="Arial" w:eastAsia="Arial" w:hAnsi="Arial"/>
          <w:sz w:val="16"/>
          <w:szCs w:val="16"/>
          <w:color w:val="auto"/>
        </w:rPr>
        <w:t>Under Delaware law, unless otherwise provided in the certificate of</w:t>
      </w:r>
    </w:p>
    <w:p>
      <w:pPr>
        <w:spacing w:after="0" w:line="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meeting of shareholders has to be given at least 20 calendar days before the</w:t>
      </w:r>
      <w:r>
        <w:rPr>
          <w:sz w:val="20"/>
          <w:szCs w:val="20"/>
          <w:color w:val="auto"/>
        </w:rPr>
        <w:tab/>
      </w:r>
      <w:r>
        <w:rPr>
          <w:rFonts w:ascii="Arial" w:cs="Arial" w:eastAsia="Arial" w:hAnsi="Arial"/>
          <w:sz w:val="16"/>
          <w:szCs w:val="16"/>
          <w:color w:val="auto"/>
        </w:rPr>
        <w:t>incorporation or bylaws, written notice of any meeting of the stockholders</w:t>
      </w:r>
    </w:p>
    <w:p>
      <w:pPr>
        <w:spacing w:after="0"/>
        <w:tabs>
          <w:tab w:leader="none" w:pos="5620" w:val="left"/>
        </w:tabs>
        <w:rPr>
          <w:sz w:val="20"/>
          <w:szCs w:val="20"/>
          <w:color w:val="auto"/>
        </w:rPr>
      </w:pPr>
      <w:r>
        <w:rPr>
          <w:rFonts w:ascii="Arial" w:cs="Arial" w:eastAsia="Arial" w:hAnsi="Arial"/>
          <w:sz w:val="18"/>
          <w:szCs w:val="18"/>
          <w:color w:val="auto"/>
        </w:rPr>
        <w:t>date for which the meeting is scheduled in the form prescribed by the</w:t>
      </w:r>
      <w:r>
        <w:rPr>
          <w:sz w:val="20"/>
          <w:szCs w:val="20"/>
          <w:color w:val="auto"/>
        </w:rPr>
        <w:tab/>
      </w:r>
      <w:r>
        <w:rPr>
          <w:rFonts w:ascii="Arial" w:cs="Arial" w:eastAsia="Arial" w:hAnsi="Arial"/>
          <w:sz w:val="16"/>
          <w:szCs w:val="16"/>
          <w:color w:val="auto"/>
        </w:rPr>
        <w:t>must be given to each stockholder entitled to vote at the meeting not less</w:t>
      </w:r>
    </w:p>
    <w:p>
      <w:pPr>
        <w:spacing w:after="0"/>
        <w:tabs>
          <w:tab w:leader="none" w:pos="5620" w:val="left"/>
        </w:tabs>
        <w:rPr>
          <w:sz w:val="20"/>
          <w:szCs w:val="20"/>
          <w:color w:val="auto"/>
        </w:rPr>
      </w:pPr>
      <w:r>
        <w:rPr>
          <w:rFonts w:ascii="Arial" w:cs="Arial" w:eastAsia="Arial" w:hAnsi="Arial"/>
          <w:sz w:val="18"/>
          <w:szCs w:val="18"/>
          <w:color w:val="auto"/>
        </w:rPr>
        <w:t>articles of association. The agenda must specify the place, date, hour,</w:t>
      </w:r>
      <w:r>
        <w:rPr>
          <w:sz w:val="20"/>
          <w:szCs w:val="20"/>
          <w:color w:val="auto"/>
        </w:rPr>
        <w:tab/>
      </w:r>
      <w:r>
        <w:rPr>
          <w:rFonts w:ascii="Arial" w:cs="Arial" w:eastAsia="Arial" w:hAnsi="Arial"/>
          <w:sz w:val="16"/>
          <w:szCs w:val="16"/>
          <w:color w:val="auto"/>
        </w:rPr>
        <w:t>than 10 nor more than 60 days before the date of the meeting and shall</w:t>
      </w:r>
    </w:p>
    <w:p>
      <w:pPr>
        <w:spacing w:after="0"/>
        <w:tabs>
          <w:tab w:leader="none" w:pos="5620" w:val="left"/>
        </w:tabs>
        <w:rPr>
          <w:sz w:val="20"/>
          <w:szCs w:val="20"/>
          <w:color w:val="auto"/>
        </w:rPr>
      </w:pPr>
      <w:r>
        <w:rPr>
          <w:rFonts w:ascii="Arial" w:cs="Arial" w:eastAsia="Arial" w:hAnsi="Arial"/>
          <w:sz w:val="18"/>
          <w:szCs w:val="18"/>
          <w:color w:val="auto"/>
        </w:rPr>
        <w:t>agenda items, and the proposals of the board of directors and the</w:t>
      </w:r>
      <w:r>
        <w:rPr>
          <w:sz w:val="20"/>
          <w:szCs w:val="20"/>
          <w:color w:val="auto"/>
        </w:rPr>
        <w:tab/>
      </w:r>
      <w:r>
        <w:rPr>
          <w:rFonts w:ascii="Arial" w:cs="Arial" w:eastAsia="Arial" w:hAnsi="Arial"/>
          <w:sz w:val="16"/>
          <w:szCs w:val="16"/>
          <w:color w:val="auto"/>
        </w:rPr>
        <w:t>specify the place, date, hour and purpose or purposes of the meeting.</w:t>
      </w:r>
    </w:p>
    <w:p>
      <w:pPr>
        <w:spacing w:after="0" w:line="235" w:lineRule="auto"/>
        <w:rPr>
          <w:sz w:val="20"/>
          <w:szCs w:val="20"/>
          <w:color w:val="auto"/>
        </w:rPr>
      </w:pPr>
      <w:r>
        <w:rPr>
          <w:rFonts w:ascii="Arial" w:cs="Arial" w:eastAsia="Arial" w:hAnsi="Arial"/>
          <w:sz w:val="18"/>
          <w:szCs w:val="18"/>
          <w:color w:val="auto"/>
        </w:rPr>
        <w:t>shareholders who have requested that a general meeting be called or an item</w:t>
      </w:r>
    </w:p>
    <w:p>
      <w:pPr>
        <w:spacing w:after="0"/>
        <w:rPr>
          <w:sz w:val="20"/>
          <w:szCs w:val="20"/>
          <w:color w:val="auto"/>
        </w:rPr>
      </w:pPr>
      <w:r>
        <w:rPr>
          <w:rFonts w:ascii="Arial" w:cs="Arial" w:eastAsia="Arial" w:hAnsi="Arial"/>
          <w:sz w:val="18"/>
          <w:szCs w:val="18"/>
          <w:color w:val="auto"/>
        </w:rPr>
        <w:t>be placed on the agenda (if 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ectPr>
          <w:pgSz w:w="11900" w:h="16838" w:orient="portrait"/>
          <w:cols w:equalWidth="0" w:num="1">
            <w:col w:w="11180"/>
          </w:cols>
          <w:pgMar w:left="340" w:top="1440" w:right="379" w:bottom="1440" w:gutter="0" w:footer="0" w:header="0"/>
        </w:sectPr>
      </w:pP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Swiss law requires that the independent proxy may be present at a general meeting of shareholders. Registered shareholders may give proxy and voting instructions to the independent proxy in writing or electronically. Pursuant to our articles of association, registered shareholders may also give proxy to a representative of their choice.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each shareholder entitled to vote at a meeting of shareholders or to express consent or dissent to corporate action in writing without a meeting may authorize another person or persons to act for such shareholders by proxy, but no such proxy shall be voted or acted upon after three years from its date, unless the proxy provides for a longer period.</w:t>
      </w:r>
    </w:p>
    <w:p>
      <w:pPr>
        <w:spacing w:after="0" w:line="180" w:lineRule="exact"/>
        <w:rPr>
          <w:sz w:val="20"/>
          <w:szCs w:val="20"/>
          <w:color w:val="auto"/>
        </w:rPr>
      </w:pPr>
    </w:p>
    <w:p>
      <w:pPr>
        <w:sectPr>
          <w:pgSz w:w="11900" w:h="16838" w:orient="portrait"/>
          <w:cols w:equalWidth="0" w:num="2">
            <w:col w:w="5340" w:space="30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Action by Written Consent</w:t>
      </w:r>
    </w:p>
    <w:p>
      <w:pPr>
        <w:sectPr>
          <w:pgSz w:w="11900" w:h="16838" w:orient="portrait"/>
          <w:cols w:equalWidth="0" w:num="1">
            <w:col w:w="11180"/>
          </w:cols>
          <w:pgMar w:left="340" w:top="1440" w:right="379" w:bottom="1440" w:gutter="0" w:footer="0" w:header="0"/>
          <w:type w:val="continuous"/>
        </w:sectPr>
      </w:pP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w:t>
      </w:r>
    </w:p>
    <w:p>
      <w:pPr>
        <w:spacing w:after="0" w:line="164"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Shareholders of record may, however, vote at the general meeting of shareholders through proxy and related instructions (“—</w:t>
      </w:r>
      <w:r>
        <w:rPr>
          <w:rFonts w:ascii="Arial" w:cs="Arial" w:eastAsia="Arial" w:hAnsi="Arial"/>
          <w:sz w:val="16"/>
          <w:szCs w:val="16"/>
          <w:i w:val="1"/>
          <w:iCs w:val="1"/>
          <w:color w:val="auto"/>
        </w:rPr>
        <w:t>Proxy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corporation’s certificate of incorporation (1) may permit shareholders to act by written consent if such action is signed by all shareholders, (2) may permit shareholders to act by written consent signed by shareholders having the minimum number of votes that would be necessary to take such action at a meeting or (3) may prohibit actions by written consent. Unless otherwise provided in the certificate of incorporation, any action that is required by the DGCL to be, or that can be, taken at an annual or special meeting of the shareholders may be taken without a meeting, without prior notice and without a vote, if written consent to the action is signed by the holders of outstanding shares having not less than the minimum number of votes necessary to authorize or take the action at a meeting at which all shares entitled to vote thereon were present and voted.</w:t>
      </w:r>
    </w:p>
    <w:p>
      <w:pPr>
        <w:spacing w:after="0" w:line="56"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Pre-emptive Rights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Swiss corporate law, shareholders have pre-emptive rights to subscribe for newly issued shares and advance subscription rights to subscribe for warrants, convertible bonds or similar debt/finance instruments with option or conversion rights. Under certain circumstances, shareholders may limit or withdraw, or authorize the board of directors to limit or withdraw, pre-emptive rights or advance subscription rights.</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However, the shareholders’ pre-emptive rights or advance subscription rights can only be limited or withdrawn for valid reasons. Preventing a particular shareholder to exercise influence over the company is generally believed not to be a valid reason to limit or withdraw shareholders’ pre-emptive rights.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DGCL, no shareholder shall have any pre-emptive right to subscribe to an additional issue of shares or to any security convertible into such shares unless, and except to the extent that, such right is expressly granted to such shareholder in the corporation’s certificate of incorporation.</w:t>
      </w:r>
    </w:p>
    <w:p>
      <w:pPr>
        <w:spacing w:after="0" w:line="1947" w:lineRule="exact"/>
        <w:rPr>
          <w:sz w:val="20"/>
          <w:szCs w:val="20"/>
          <w:color w:val="auto"/>
        </w:rPr>
      </w:pPr>
    </w:p>
    <w:p>
      <w:pPr>
        <w:sectPr>
          <w:pgSz w:w="11900" w:h="16838" w:orient="portrait"/>
          <w:cols w:equalWidth="0" w:num="2">
            <w:col w:w="5380" w:space="26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180"/>
          </w:cols>
          <w:pgMar w:left="340" w:top="1440" w:right="379" w:bottom="1440" w:gutter="0" w:footer="0" w:header="0"/>
          <w:type w:val="continuous"/>
        </w:sectPr>
      </w:pPr>
    </w:p>
    <w:bookmarkStart w:id="212" w:name="page213"/>
    <w:bookmarkEnd w:id="212"/>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Sources of Dividends</w:t>
      </w:r>
    </w:p>
    <w:p>
      <w:pPr>
        <w:sectPr>
          <w:pgSz w:w="11900" w:h="16838" w:orient="portrait"/>
          <w:cols w:equalWidth="0" w:num="1">
            <w:col w:w="11180"/>
          </w:cols>
          <w:pgMar w:left="340" w:top="1440" w:right="379" w:bottom="1440" w:gutter="0" w:footer="0" w:header="0"/>
        </w:sectPr>
      </w:pPr>
    </w:p>
    <w:p>
      <w:pPr>
        <w:spacing w:after="0" w:line="129"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be paid but cannot itself authorize the distribution.</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Payments out of share capital of a Swiss corporation (in other words, the aggregate nominal value of the corporation’s registered share capital) in the form of dividends are not allowed; however, payments out of share capital may be made by way of a capital reduction. Dividends may be paid only from the profits brought forward from the previous financial years or if the corporation has distributable reserves, each as will be presented on the corporation’s audited stand-alone statutory balance sheet. The dividend may be determined only after the allocations to reserves required by Swiss law or the articles of association have been deducted and the corporation’s statutory auditors have confirmed that the dividend proposal complies with Swiss law and the corporation’s articles of association.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DGCL, subject to any restrictions contained in the certificate of incorporation, the directors of a corporation may declare and pay dividends upon the shares of its capital stock either (1) out of its surplus or (2) if there is no surplus, out of its net profits for the fiscal year in which the dividend is declared and/or the preceding fiscal year, except when the capital of the corporation is diminished by depreciation in the value of its property, or by losses, or otherwise, to an amount less than the aggregate amount of capital represented by the issued and outstanding shares of all classes having a preference on the distribution of assets. “Surplus” is defined in the DGCL as the excess of the net assets of the corporation over capital, as such capital may be adjusted by the board of directors.</w:t>
      </w:r>
    </w:p>
    <w:p>
      <w:pPr>
        <w:spacing w:after="0" w:line="1240"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Repurchase of Shares</w:t>
      </w:r>
    </w:p>
    <w:p>
      <w:pPr>
        <w:sectPr>
          <w:pgSz w:w="11900" w:h="16838" w:orient="portrait"/>
          <w:cols w:equalWidth="0" w:num="1">
            <w:col w:w="11180"/>
          </w:cols>
          <w:pgMar w:left="340" w:top="1440" w:right="379" w:bottom="1440" w:gutter="0" w:footer="0" w:header="0"/>
          <w:type w:val="continuous"/>
        </w:sectPr>
      </w:pPr>
    </w:p>
    <w:p>
      <w:pPr>
        <w:spacing w:after="0" w:line="12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 Swiss corporation (or its subsidiaries) may repurchase its own shares under the following conditions:</w:t>
      </w:r>
    </w:p>
    <w:p>
      <w:pPr>
        <w:spacing w:after="0" w:line="27" w:lineRule="exact"/>
        <w:rPr>
          <w:sz w:val="20"/>
          <w:szCs w:val="20"/>
          <w:color w:val="auto"/>
        </w:rPr>
      </w:pPr>
    </w:p>
    <w:p>
      <w:pPr>
        <w:ind w:left="340" w:hanging="334"/>
        <w:spacing w:after="0" w:line="232"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it can only repurchase its own shares out of freely disposable equity capital in the required amount;</w:t>
      </w:r>
    </w:p>
    <w:p>
      <w:pPr>
        <w:spacing w:after="0" w:line="27" w:lineRule="exact"/>
        <w:rPr>
          <w:rFonts w:ascii="Arial" w:cs="Arial" w:eastAsia="Arial" w:hAnsi="Arial"/>
          <w:sz w:val="22"/>
          <w:szCs w:val="22"/>
          <w:color w:val="auto"/>
        </w:rPr>
      </w:pPr>
    </w:p>
    <w:p>
      <w:pPr>
        <w:jc w:val="both"/>
        <w:ind w:left="340" w:hanging="334"/>
        <w:spacing w:after="0" w:line="241"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the combined value of all such shares cannot exceed 10% of the share capital. Where shares are acquired in connection with a transfer restriction set out in the articles of association, the foregoing upper limit is 20%;</w:t>
      </w:r>
    </w:p>
    <w:p>
      <w:pPr>
        <w:spacing w:after="0" w:line="26" w:lineRule="exact"/>
        <w:rPr>
          <w:rFonts w:ascii="Arial" w:cs="Arial" w:eastAsia="Arial" w:hAnsi="Arial"/>
          <w:sz w:val="22"/>
          <w:szCs w:val="22"/>
          <w:color w:val="auto"/>
        </w:rPr>
      </w:pPr>
    </w:p>
    <w:p>
      <w:pPr>
        <w:ind w:left="320" w:hanging="314"/>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6"/>
          <w:szCs w:val="16"/>
          <w:color w:val="auto"/>
        </w:rPr>
        <w:t>the voting rights on the corporation’s own shares are suspended; and</w:t>
      </w:r>
    </w:p>
    <w:p>
      <w:pPr>
        <w:spacing w:after="0" w:line="13" w:lineRule="exact"/>
        <w:rPr>
          <w:rFonts w:ascii="Arial" w:cs="Arial" w:eastAsia="Arial" w:hAnsi="Arial"/>
          <w:sz w:val="19"/>
          <w:szCs w:val="19"/>
          <w:color w:val="auto"/>
        </w:rPr>
      </w:pPr>
    </w:p>
    <w:p>
      <w:pPr>
        <w:ind w:left="340" w:right="20" w:hanging="334"/>
        <w:spacing w:after="0" w:line="254"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of the purchase price for the shares repurchased is presented on its stand-alone statutory balance sheet as a negative item in its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the DGCL, a corporation may generally purchase or redeem shares of its stock; provided, however, that no corporation shall purchase or redeem its own shares of capital stock if the capital of the corporation is impaired or such redemption or repurchase would impair the capital of the corporation, except that a corporation may purchase or redeem out of capital any of its own shares which are entitled upon any distribution of its assets to a preference over another class or series of its shares, or, if no shares entitled to such a preference are outstanding, any of its own shares, if such shares will be retired upon their acquisition and the capital of the corporation reduced in accordance with the DGCL.</w:t>
      </w:r>
    </w:p>
    <w:p>
      <w:pPr>
        <w:spacing w:after="0" w:line="1144"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180"/>
          </w:cols>
          <w:pgMar w:left="340" w:top="1440" w:right="379" w:bottom="1440" w:gutter="0" w:footer="0" w:header="0"/>
          <w:type w:val="continuous"/>
        </w:sectPr>
      </w:pPr>
    </w:p>
    <w:bookmarkStart w:id="213" w:name="page214"/>
    <w:bookmarkEnd w:id="213"/>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Voting Rights and Transfer Restrictions</w:t>
      </w:r>
    </w:p>
    <w:p>
      <w:pPr>
        <w:sectPr>
          <w:pgSz w:w="11900" w:h="16838" w:orient="portrait"/>
          <w:cols w:equalWidth="0" w:num="1">
            <w:col w:w="11160"/>
          </w:cols>
          <w:pgMar w:left="340" w:top="1440" w:right="399" w:bottom="1440" w:gutter="0" w:footer="0" w:header="0"/>
        </w:sectPr>
      </w:pP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common share carries one vote at any general meeting of shareholders. A shareholder must be registered in the corporation’s share register as a shareholder with voting rights in order to exercise his, her or its voting rights.</w:t>
      </w:r>
    </w:p>
    <w:p>
      <w:pPr>
        <w:spacing w:after="0" w:line="21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articles of association may restrict the registration of a shareholder in the corporation’s share register in order to ensure that no person or entity is registered as a shareholder with voting rights for more than a certain percentage, and that no person or entity directly or indirectly, formally, constructively or beneficially owns, or otherwise controls or directs voting rights (whether exercisable or not) with respect to a certain percentage of the share capital registered in the Commercial Register. Furthermore, a corporation may under certain circumstances refuse to enter an acquirer of shares in the share register as a shareholder with voting rights if such acquirer fails to declare to the corporation that the relevant shares were acquired for his, her or its own account. See “</w:t>
      </w:r>
      <w:r>
        <w:rPr>
          <w:rFonts w:ascii="Arial" w:cs="Arial" w:eastAsia="Arial" w:hAnsi="Arial"/>
          <w:sz w:val="17"/>
          <w:szCs w:val="17"/>
          <w:i w:val="1"/>
          <w:iCs w:val="1"/>
          <w:color w:val="auto"/>
        </w:rPr>
        <w:t>Limitations Affecting</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of a Swiss Company—Transfer of Shares and Transfer Restrictions</w:t>
      </w:r>
      <w:r>
        <w:rPr>
          <w:rFonts w:ascii="Arial" w:cs="Arial" w:eastAsia="Arial" w:hAnsi="Arial"/>
          <w:sz w:val="17"/>
          <w:szCs w:val="17"/>
          <w:color w:val="auto"/>
        </w:rPr>
        <w:t>”.</w:t>
      </w:r>
    </w:p>
    <w:p>
      <w:pPr>
        <w:spacing w:after="0" w:line="21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Further, the articles of association may provide that no shareholder may exercise, directly or indirectly, voting rights with respect to own or represented shares in excess of a certain percentage of the share capital registered in the Commercial Register.</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articles of association of a Swiss corporation may, subject to certain limitations, provide for shares with preferred voting rights. Our current articles of association do not contain such a provision.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unless otherwise provided in the certificate of incorporation, each shareholder is entitled to one vote for each share of capital stock held by such shareholder.</w:t>
      </w:r>
    </w:p>
    <w:p>
      <w:pPr>
        <w:spacing w:after="0" w:line="5558" w:lineRule="exact"/>
        <w:rPr>
          <w:sz w:val="20"/>
          <w:szCs w:val="20"/>
          <w:color w:val="auto"/>
        </w:rPr>
      </w:pPr>
    </w:p>
    <w:p>
      <w:pPr>
        <w:sectPr>
          <w:pgSz w:w="11900" w:h="16838" w:orient="portrait"/>
          <w:cols w:equalWidth="0" w:num="2">
            <w:col w:w="5480" w:space="160"/>
            <w:col w:w="5520"/>
          </w:cols>
          <w:pgMar w:left="3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160"/>
          </w:cols>
          <w:pgMar w:left="340" w:top="1440" w:right="399" w:bottom="1440" w:gutter="0" w:footer="0" w:header="0"/>
          <w:type w:val="continuous"/>
        </w:sectPr>
      </w:pPr>
    </w:p>
    <w:bookmarkStart w:id="214" w:name="page215"/>
    <w:bookmarkEnd w:id="214"/>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Vote on Certain Transactions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pursuant to the Swiss Merger Act or a sale of all or substantially all of the assets of a corporation must be approved by two-thirds of the votes represented at the respective general meeting of shareholders as well as the absolute majority of the nominal value of shares represented at such meeting. The articles of association may increase the voting threshold (which is not the case under our articles of association). Swiss law also requires that if the merger agreement provides only for a compensation payment, at least 90% of all members in the transferring legal entity who are entitled to vote shall approve the merger agreement. However, there has been some uncertainty and dispute as to whether the 90% approval requirement relates to the total number of votes represented by all shares of the target company outstanding, or the total number of shareholders of the target company entitled to vote.</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Swiss law also provides that a parent corporation, by resolution of its board of directors, may merge with any subsidiary of which it owns at least 90% of the shares without a shareholder vote by shareholders of such subsidiary if the shareholders of the subsidiary are offered the payment of the fair value in cash as an alternative to shares of the parent.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DGCL, certain fundamental changes such as amendments to the certificate of incorporation, a merger, consolidation, sale, lease, exchange or other disposition of all or substantially all of the property of a corporation not in the usual and regular course of the corporation’s business, or a dissolution of the corporation, are generally required to be approved by the holders of a majority of the outstanding shares entitled to vote on the matter, unless the certificate of incorporation requires a higher percentage.</w:t>
      </w:r>
    </w:p>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However, under the DGCL, mergers in which less than 20% of a corporation’s shares outstanding immediately prior to the effective date of the merger is issued generally do not require shareholder approval. In addition, mergers in which one corporation owns 90% or more of each class of shares of a second corporation may be completed without the vote of the second corporation’s board of directors or shareholders. In certain situations, the approval of a business combination may require approval by a certain number of the holders of a class or series of shares. In addition, Section 251(h) of the DGCL provides that shareholders of a constituent corporation need not vote to approve a merger if: (i) the merger agreement permits or requires the merger to be effected under Section 251(h) and provides that the merger shall be effected as soon as practicable following the tender offer or exchange offer, (ii) a corporation consummates a tender or exchange offer for any and all of the outstanding shares of such constituent corporation that would otherwise be entitled to vote to approve the merger, (iii) following the consummation of the offer, the stock accepted for purchase or exchanges plus the stock owned by the consummating corporation equals at least the percentage of stock that would be required to adopt the agreement of merger under the DGCL, (iv) the corporation consummating the offer merges with or into such constituent corporation, and (v) each outstanding share of each class or series of stock of the constituent corporation that was the subject of and not irrevocably accepted for purchase or exchange in the offer is to be converted in the merger into, or the right to receive, the same consideration to be paid for the shares of such class or series of stock of the constituent corporation irrevocably purchased or exchanged in such offer.</w:t>
      </w:r>
    </w:p>
    <w:p>
      <w:pPr>
        <w:spacing w:after="0" w:line="78"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Vote on Board and Management Compensation</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the Compensation Ordinance, the aggregate amount of compensation for the members of the board of directors and the executive committee must be approved by the general meeting of shareholders.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the board of directors has the authority to fix the compensation of directors, unless otherwise restricted by the certificate of incorporation or bylaws.</w:t>
      </w:r>
    </w:p>
    <w:p>
      <w:pPr>
        <w:spacing w:after="0" w:line="310" w:lineRule="exact"/>
        <w:rPr>
          <w:sz w:val="20"/>
          <w:szCs w:val="20"/>
          <w:color w:val="auto"/>
        </w:rPr>
      </w:pPr>
    </w:p>
    <w:p>
      <w:pPr>
        <w:sectPr>
          <w:pgSz w:w="11900" w:h="16838" w:orient="portrait"/>
          <w:cols w:equalWidth="0" w:num="2">
            <w:col w:w="5320" w:space="32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1180"/>
          </w:cols>
          <w:pgMar w:left="340" w:top="1440" w:right="379" w:bottom="1440" w:gutter="0" w:footer="0" w:header="0"/>
          <w:type w:val="continuous"/>
        </w:sectPr>
      </w:pPr>
    </w:p>
    <w:bookmarkStart w:id="215" w:name="page216"/>
    <w:bookmarkEnd w:id="215"/>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Dissenters’ Appraisal Rights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business combinations effected in the form of a statutory merger or demerger, the Swiss Merger Act provides that if the equity rights have not been adequately preserved or compensation payments in the transaction are not adequate, a shareholder may request the competent court to determine an adequate amount of compensation.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Shareholders who consider their equity rights not to have been adequately preserved or the compensation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of the transferring corporation is adequate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Under the DGCL, any shareholder of a corporation who holds share of stock on the date of making a demand for appraisal of such shareholder’s shares under the DGCL, who continuously holds such shares through the effective date of a merger or consolidation, who has neither voted in favor of the merger or consolidation nor consented thereto shall be entitled to an appraisal by the Delaware Court of Chancery of the fair value of the shareholder’s shares of stock; provided, however, that no appraisal rights are available for shares of any class or series that is listed on a national securities exchange or held of record by more than 2,000 shareholders, unless the agreement of merger or consolidation requires the holders to accept for their shares anything other than:</w:t>
      </w:r>
    </w:p>
    <w:p>
      <w:pPr>
        <w:spacing w:after="0" w:line="194" w:lineRule="exact"/>
        <w:rPr>
          <w:sz w:val="20"/>
          <w:szCs w:val="20"/>
          <w:color w:val="auto"/>
        </w:rPr>
      </w:pPr>
    </w:p>
    <w:p>
      <w:pPr>
        <w:ind w:left="320" w:hanging="311"/>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6" w:lineRule="exact"/>
        <w:rPr>
          <w:rFonts w:ascii="Arial" w:cs="Arial" w:eastAsia="Arial" w:hAnsi="Arial"/>
          <w:sz w:val="18"/>
          <w:szCs w:val="18"/>
          <w:color w:val="auto"/>
        </w:rPr>
      </w:pPr>
    </w:p>
    <w:p>
      <w:pPr>
        <w:ind w:left="340" w:hanging="331"/>
        <w:spacing w:after="0" w:line="289" w:lineRule="auto"/>
        <w:tabs>
          <w:tab w:leader="none" w:pos="3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shareholders;</w:t>
      </w:r>
    </w:p>
    <w:p>
      <w:pPr>
        <w:spacing w:after="0" w:line="15" w:lineRule="exact"/>
        <w:rPr>
          <w:rFonts w:ascii="Arial" w:cs="Arial" w:eastAsia="Arial" w:hAnsi="Arial"/>
          <w:sz w:val="16"/>
          <w:szCs w:val="16"/>
          <w:color w:val="auto"/>
        </w:rPr>
      </w:pPr>
    </w:p>
    <w:p>
      <w:pPr>
        <w:ind w:left="340" w:right="20" w:hanging="331"/>
        <w:spacing w:after="0" w:line="235" w:lineRule="auto"/>
        <w:tabs>
          <w:tab w:leader="none" w:pos="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53" w:lineRule="exact"/>
        <w:rPr>
          <w:rFonts w:ascii="Arial" w:cs="Arial" w:eastAsia="Arial" w:hAnsi="Arial"/>
          <w:sz w:val="18"/>
          <w:szCs w:val="18"/>
          <w:color w:val="auto"/>
        </w:rPr>
      </w:pPr>
    </w:p>
    <w:p>
      <w:pPr>
        <w:ind w:left="380" w:hanging="371"/>
        <w:spacing w:after="0"/>
        <w:tabs>
          <w:tab w:leader="none" w:pos="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appraisal rights shall be available for the shares of any class or series of stock of a constituent corporation if the holders of such corporation are required by the agreement of merger or consolidation to accept for such stock anything but:</w:t>
      </w:r>
    </w:p>
    <w:p>
      <w:pPr>
        <w:spacing w:after="0" w:line="189"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ind w:left="5980" w:right="2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the surviving corporation or depository receipts in respect thereof;</w:t>
      </w:r>
    </w:p>
    <w:p>
      <w:pPr>
        <w:spacing w:after="0" w:line="53" w:lineRule="exact"/>
        <w:rPr>
          <w:rFonts w:ascii="Arial" w:cs="Arial" w:eastAsia="Arial" w:hAnsi="Arial"/>
          <w:sz w:val="18"/>
          <w:szCs w:val="18"/>
          <w:color w:val="auto"/>
        </w:rPr>
      </w:pPr>
    </w:p>
    <w:p>
      <w:pPr>
        <w:jc w:val="both"/>
        <w:ind w:left="5980" w:hanging="331"/>
        <w:spacing w:after="0" w:line="224"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another corporation, or depository receipts in respect thereof, that are either listed on a national securities exchange or held of record by more than 2,000 shareholders;</w:t>
      </w:r>
    </w:p>
    <w:p>
      <w:pPr>
        <w:spacing w:after="0" w:line="54" w:lineRule="exact"/>
        <w:rPr>
          <w:rFonts w:ascii="Arial" w:cs="Arial" w:eastAsia="Arial" w:hAnsi="Arial"/>
          <w:sz w:val="18"/>
          <w:szCs w:val="18"/>
          <w:color w:val="auto"/>
        </w:rPr>
      </w:pPr>
    </w:p>
    <w:p>
      <w:pPr>
        <w:ind w:left="598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two preceding bullet points; or</w:t>
      </w:r>
    </w:p>
    <w:p>
      <w:pPr>
        <w:spacing w:after="0" w:line="53" w:lineRule="exact"/>
        <w:rPr>
          <w:rFonts w:ascii="Arial" w:cs="Arial" w:eastAsia="Arial" w:hAnsi="Arial"/>
          <w:sz w:val="18"/>
          <w:szCs w:val="18"/>
          <w:color w:val="auto"/>
        </w:rPr>
      </w:pPr>
    </w:p>
    <w:p>
      <w:pPr>
        <w:ind w:left="5960" w:hanging="311"/>
        <w:spacing w:after="0"/>
        <w:tabs>
          <w:tab w:leader="none" w:pos="5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In addition, appraisal rights are not available to holders of shares of the</w:t>
      </w:r>
    </w:p>
    <w:p>
      <w:pPr>
        <w:ind w:left="5640"/>
        <w:spacing w:after="0" w:line="228" w:lineRule="auto"/>
        <w:rPr>
          <w:sz w:val="20"/>
          <w:szCs w:val="20"/>
          <w:color w:val="auto"/>
        </w:rPr>
      </w:pPr>
      <w:r>
        <w:rPr>
          <w:rFonts w:ascii="Arial" w:cs="Arial" w:eastAsia="Arial" w:hAnsi="Arial"/>
          <w:sz w:val="16"/>
          <w:szCs w:val="16"/>
          <w:color w:val="auto"/>
        </w:rPr>
        <w:t>surviving corporation in specified mergers that do not require the vote of the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1180"/>
          </w:cols>
          <w:pgMar w:left="340" w:top="1440" w:right="379" w:bottom="1440" w:gutter="0" w:footer="0" w:header="0"/>
          <w:type w:val="continuous"/>
        </w:sectPr>
      </w:pPr>
    </w:p>
    <w:bookmarkStart w:id="216" w:name="page217"/>
    <w:bookmarkEnd w:id="216"/>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8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Swiss law, the winning party is generally entitled to recover or partially recover attorney's fees incurred in connection with such action, provided, however, that the court has discretion to permit the shareholder whose claim has been dismissed to recover attorney's fees incurred to the extent he or she acted in good faith.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shareholder may initiate a derivative action to enforce a right of a corporation if the corporation fails to enforce the right itself. The complaint must state that the plaintiff was a shareholder at the time of the transaction of which the plaintiff complains or that the plaintiff’s shares thereafter devolved on the plaintiff by operation of law; provided, however, that under Delaware case law, the plaintiff generally must be a shareholder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shareholders where the requirements for maintaining a class action have been met.</w:t>
      </w:r>
    </w:p>
    <w:p>
      <w:pPr>
        <w:spacing w:after="0" w:line="227"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Amendment of Governing Documents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articles of association of a Swiss corporation may generally be amended by the general meeting of shareholders with a resolution passed by an absolute majority of the votes represented at such meeting, unless otherwise provided in the articles of association or required by law. There are a number of resolutions, such as an amendment of the stated purpose of the corporation and the introduction of authorized and conditional capital, that pursuant to Swiss law require the approval by two-thirds of the votes and an absolute majority of the nominal value of the shares represented at the general meeting of shareholders. The articles of association may increase the voting thresholds.</w:t>
      </w:r>
    </w:p>
    <w:p>
      <w:pPr>
        <w:spacing w:after="0" w:line="19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Subject to certain requirements, shareholders may submit a proposal to be voted on at a general meeting of shareholders to amend the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amend its certificate of incorporation if:</w:t>
      </w:r>
    </w:p>
    <w:p>
      <w:pPr>
        <w:spacing w:after="0" w:line="189" w:lineRule="exact"/>
        <w:rPr>
          <w:sz w:val="20"/>
          <w:szCs w:val="20"/>
          <w:color w:val="auto"/>
        </w:rPr>
      </w:pPr>
    </w:p>
    <w:p>
      <w:pPr>
        <w:ind w:left="340" w:right="20" w:hanging="331"/>
        <w:spacing w:after="0" w:line="235"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declaring its advisability; and</w:t>
      </w:r>
    </w:p>
    <w:p>
      <w:pPr>
        <w:spacing w:after="0" w:line="53"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majority of the outstanding stock entitled to vote on the amendment, and a majority of the outstanding stock of each class entitled to vote on the amendment as a class, has been voted in favor of the amendment.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the shareholders entitled to vote have the power to adopt, amend or repeal bylaws. A corporation may also confer, in its certificate of incorporation, such power upon the directors. The fact that such power has been so conferred upon the directors shall not divest the shareholders of the power nor limit their power to adopt, amend or repeal bylaws.</w:t>
      </w:r>
    </w:p>
    <w:p>
      <w:pPr>
        <w:spacing w:after="0" w:line="34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Creation and Issuance of New Shares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creation of new shares requires a resolution of the general meeting of shareholders. An authorized or conditional capital increase requires at least two-thirds of the votes represented at the general meeting of shareholders and an absolute majority of the nominal value of shares represented at such meeting. The board of directors may issue shares out of the authorized share capital, once created by shareholders’ resolution, subject to the limitations set forth in the authorization, within a period of no longer than two years. Shares out of the conditional capital are created and issued through the exercise of options or of conversion rights related to debt/finance instruments issued by the board of directors or such rights issued to employees.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189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1180"/>
          </w:cols>
          <w:pgMar w:left="340" w:top="1440" w:right="379" w:bottom="1440" w:gutter="0" w:footer="0" w:header="0"/>
          <w:type w:val="continuous"/>
        </w:sectPr>
      </w:pPr>
    </w:p>
    <w:bookmarkStart w:id="217" w:name="page218"/>
    <w:bookmarkEnd w:id="217"/>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Inspection of Books and Records</w:t>
      </w:r>
    </w:p>
    <w:p>
      <w:pPr>
        <w:sectPr>
          <w:pgSz w:w="11900" w:h="16838" w:orient="portrait"/>
          <w:cols w:equalWidth="0" w:num="1">
            <w:col w:w="11080"/>
          </w:cols>
          <w:pgMar w:left="340" w:top="1440" w:right="479" w:bottom="1440" w:gutter="0" w:footer="0" w:header="0"/>
        </w:sectPr>
      </w:pP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Swiss law, a shareholder may request to inspect a corporation’s minutes of general meetings of shareholders. A corporation’s annual report, compensation report and the auditors’ reports must be made available for inspection by shareholders at the corporation’s registered office at least 20 calendar days prior to each annual general meeting of shareholders. Shareholders registered in the share register of a corporation must be notified of the availability of these documents in writing. Any shareholder may request a copy of these reports in advance of, or after, the relevant annual general meeting of shareholders.</w:t>
      </w:r>
    </w:p>
    <w:p>
      <w:pPr>
        <w:spacing w:after="0" w:line="1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Swiss law, a shareholder of record is further entitled to inspect the corporation’s share register with regard to his, her or its own shares and otherwise to the extent necessary to exercise his, her or its shareholder rights. No other person has a right to inspect the share register.</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books and correspondence of a corporation may be inspected by a shareholder with the express authorization of the general meeting of shareholders, or by resolution of the board of directors, subject to the safeguarding of a corporation’s business secrets. At a general meeting of shareholders, any shareholder may request information from the board of directors concerning the corporation’s affairs. Shareholders may also ask the corporation’s statutory auditors questions regarding their audit of the corporation. The board of directors and the statutory auditors must answer shareholders’ questions to the extent necessary for the exercise of shareholders’ rights and subject to prevailing business secrets or other material interests of the corporation.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Stockholders of a Delaware corporation, upon written demand under oath stating the purpose thereof, have the right during the usual hours for business to inspect for any proper purpose, and to obtain copies of list(s) of stockholders and other books and records of the corporation and its subsidiaries, if any, to the extent the books and records of such subsidiaries are available to the corporation.</w:t>
      </w:r>
    </w:p>
    <w:p>
      <w:pPr>
        <w:spacing w:after="0" w:line="4495" w:lineRule="exact"/>
        <w:rPr>
          <w:sz w:val="20"/>
          <w:szCs w:val="20"/>
          <w:color w:val="auto"/>
        </w:rPr>
      </w:pPr>
    </w:p>
    <w:p>
      <w:pPr>
        <w:sectPr>
          <w:pgSz w:w="11900" w:h="16838" w:orient="portrait"/>
          <w:cols w:equalWidth="0" w:num="2">
            <w:col w:w="5500" w:space="160"/>
            <w:col w:w="5420"/>
          </w:cols>
          <w:pgMar w:left="34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1080"/>
          </w:cols>
          <w:pgMar w:left="340" w:top="1440" w:right="479" w:bottom="1440" w:gutter="0" w:footer="0" w:header="0"/>
          <w:type w:val="continuous"/>
        </w:sectPr>
      </w:pPr>
    </w:p>
    <w:bookmarkStart w:id="218" w:name="page219"/>
    <w:bookmarkEnd w:id="218"/>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Swiss law, the winning party is generally entitled to recover a limited amount of attorneys’ fees incurred in connection with such action. The court has discretion to permit the shareholder who lost the lawsuit to recover attorneys’ fees incurred to the extent that he, she or it acted in good faith.</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Under the DGCL, a stockholder may initiate a derivative action to enforce a right of a corporation if the corporation fails to enforce the right itself. The complaint must state that the plaintiff was a stockholder at the time of the transaction of which the plaintiff complains or that the plaintiff’s shares thereafter devolved on the plaintiff by operation of law; provided, however, that under Delaware case law, the plaintiff generally must be a stockholder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stockholders where the requirements for maintaining a class action have been met.</w:t>
      </w:r>
    </w:p>
    <w:p>
      <w:pPr>
        <w:spacing w:after="0" w:line="6"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Dissolution; Winding-up</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Swiss law, a corporation may be dissolved at any time by way of liquidation, based on a shareholders’ resolution. Such resolution requires the approval by two-thirds of the votes represented as well as the absolute majority of the nominal value of the shares represented at the general meeting of shareholders passing a resolution on such dissolution and winding up. The articles of association may increase the voting thresholds required for such a resolution (which is not the case under our articles of association).</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Dissolution by law or court order is possible if, for example, a corporation becomes bankrupt.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Under Swiss law, any surplus arising out of a liquidation (after the settlement of all claims of all creditors) is distributed to shareholders in proportion to the paid up nominal value of shares held. The articles of association may provide for another distribution (which is not the case under our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631" w:lineRule="exact"/>
        <w:rPr>
          <w:sz w:val="20"/>
          <w:szCs w:val="20"/>
          <w:color w:val="auto"/>
        </w:rPr>
      </w:pPr>
    </w:p>
    <w:p>
      <w:pPr>
        <w:sectPr>
          <w:pgSz w:w="11900" w:h="16838" w:orient="portrait"/>
          <w:cols w:equalWidth="0" w:num="2">
            <w:col w:w="5360" w:space="28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1180"/>
          </w:cols>
          <w:pgMar w:left="340" w:top="1440" w:right="379" w:bottom="1440" w:gutter="0" w:footer="0" w:header="0"/>
          <w:type w:val="continuous"/>
        </w:sectPr>
      </w:pPr>
    </w:p>
    <w:bookmarkStart w:id="219" w:name="page220"/>
    <w:bookmarkEnd w:id="219"/>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AMERICAN DEPOSITARY SHARES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Citibank, N.A., or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Citigroup Centre, Canada Square, Canary Wharf, London E14 5LB, United Kingdom.</w:t>
      </w:r>
    </w:p>
    <w:p>
      <w:pPr>
        <w:spacing w:after="0" w:line="9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filed as an exhibit to the registration statement of which this prospectus forms a part. You may obtain a copy of the deposit agreement from the SEC’s Public Reference Room at 100 F Street, N.E., Washington, D.C. 20549 and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Please refer to Registration Number 333-255447 when retrieving such copy.</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common share that is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ADS-to-common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Swiss law, which may be different from the laws in the United States, governs shareholder rights and our obligations to the holders of common shares. However, as an ADS holder, you will not be treated as one of our shareholders and you will not have shareholder rights.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nor the custodian, nor us nor any of their or our respective agents or affiliates shall be required to take any actions whatsoever on your behalf to satisfy such reporting requirements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obtain such regulatory approvals under applicable laws and regulations. For the requirement to disclose major shareholdings with SIX Swiss Exchange see "--Notification and Disclosure of Substantial Share Interests."</w:t>
      </w:r>
    </w:p>
    <w:p>
      <w:pPr>
        <w:spacing w:after="0" w:line="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under the deposit agreement,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common shares underlying your ADSs. As an owner of ADSs you will be able to exercise the shareholders rights for the common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registration of the common shares in the name of the depositary or the custodian shall, to the maximum extent permitted by applicable law, vest in the depositary or the custodian the record ownership in the applicable common shares, with the beneficial ownership rights and interests in such common shares being at all times vested with the beneficial owners of the ADSs representing the common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Distributions</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Swiss laws and regulations. The depositary or a division, branch or affiliate of the depositary may act as a principal for any such conversion.</w:t>
      </w:r>
    </w:p>
    <w:p>
      <w:pPr>
        <w:spacing w:after="0" w:line="11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and distributable to the ADS holders entitled thereto. If it is unlawful or impracticable to convert such foreign currency and distribute U.S. dollars to the holders, the depositary may, in its discretion, convert such foreign currency and make such distribution to such holders as may be lawful and practicable, distribute foreign currency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320" w:top="1440" w:right="399" w:bottom="1440" w:gutter="0" w:footer="0" w:header="0"/>
        </w:sectPr>
      </w:pPr>
    </w:p>
    <w:bookmarkStart w:id="221" w:name="page222"/>
    <w:bookmarkEnd w:id="221"/>
    <w:p>
      <w:pPr>
        <w:spacing w:after="0" w:line="130"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holders as may be lawful and practicable or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Whenever we make a free distribution of common shares for the securities on deposit with the custodian, we will deposit the applicable number of common shares with the custodian. Upon receipt of confirmation of such deposit, the depositary will either distribute to holders new ADSs representing the common shares deposited or modify the ADS-to- common share ratio, in which case each ADS you hold will represent rights and interests in the additional common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distribution of new ADSs or the modification of the ADS-to- common share ratio upon a distribution of common shares will be made net of the fees, expenses, taxes and governmental charges payable by holders under the terms of the deposit agreement. In order to pay such taxes or governmental charges, the depositary may sell all or a portion of the new common shares so distributed.</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No such distribution of new ADSs will be made if it would violate any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common shares received upon the terms described in the deposit agreement and will distribute the proceeds of the sale as in the case of a distribution of cash.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Whenever we intend to distribute rights to subscribe for additional common shares, we will give prior notice to the depositary and will indicate whether we wish the rights distribution to be made available to you. In such case, we will assist the depositary in determining whether it is lawful and reasonably practicable to distribute rights to subscribe for additional ADSs to holders.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common shares other than in the form of ADSs.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Switzerland would receive upon failing to make an election, as more fully described in the deposit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5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Whenever we intend to distribute property other than cash, common shares or rights to subscribe for additional common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Affecting Common Shares</w:t>
      </w:r>
    </w:p>
    <w:p>
      <w:pPr>
        <w:spacing w:after="0" w:line="1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common shares held on deposit for your ADSs may change from time to time. For example, there may be a change in nominal or par value, a split-up, cancellation, consolidation or reclassification of such common shares or a recapitalization, reorganization, merger, consolidation or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0"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common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common shares. If the depositary may not lawfully distribute such property to you, the depositary may sell such property and distribute the net proceeds to you as in the case of a cash distribution.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ADSs upon Deposit of Common Shares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completion of this offering, the common shares being offered pursuant to this prospectus will be deposited by us with the custodian. Upon receipt of confirmation of such deposit, the depositary will issue ADSs to the underwriters named in this prospectus.</w:t>
      </w:r>
    </w:p>
    <w:p>
      <w:pPr>
        <w:spacing w:after="0" w:line="1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deposits common shares with the custodian. The depositary will deliver these ADSs to the person you indicate only after you pay any applicable issuance fees and any charges and taxes payable for the transfer of the common shares to the custodian. Your ability to deposit common shares and receive ADSs may be limited by U.S. and Swiss legal considerations applicable at the time of deposit.</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common shares have been duly transferred to the custodian. The depositary will only issue ADSs in whole numbers.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you make a deposit of common shares, you will be responsible for transferring good and valid title to the depositary. As such, you will be deemed to represent and warrant that:</w:t>
      </w:r>
    </w:p>
    <w:p>
      <w:pPr>
        <w:spacing w:after="0" w:line="103"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are duly authorized, validly issued, fully paid, non-assessable and legally obtained.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common shares have been validly waived or exercised.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are duly authorized to deposit the common shares.</w:t>
      </w:r>
    </w:p>
    <w:p>
      <w:pPr>
        <w:spacing w:after="0" w:line="15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have not been stripped of any rights or entitlements.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deposit of the common shares does not violate any applicable provisions of the laws of Switzerland.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Combination and Split Up of ADRs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0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4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restrict transfers of ADSs where such transfer may result in the total number of shares represented by the ADSs owned by a single holder or beneficial owner to exceed limits imposed by applicable law or the Articles. We may instruct the depositary to take actions with respect to the ownership interests of any holder or beneficial owner in excess of such limits including the imposing of restrictions on transfers of ADSs, the removal or limitation of voting rights, or mandatory sale or disposition of ADSs held by such holder of beneficial owner in excess of such limitations.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Common Shares Upon Cancellation of ADSs</w:t>
      </w:r>
    </w:p>
    <w:p>
      <w:pPr>
        <w:spacing w:after="0" w:line="15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common shares at the custodian’s offices. Your ability to withdraw the common shares held in respect of the ADSs may be limited by U.S. and Swiss legal considerations applicable at the time of withdrawal. In order to withdraw the common shares represented by your ADSs, you will be required to pay to the depositary the fees for cancellation of ADSs and any charges and taxes payable upon the transfer of the common shares being withdrawn. You assume the risk for delivery of all funds and securities upon withdrawal. Once canceled, the ADSs will not have any rights under the deposit agreement.</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common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to:</w:t>
      </w:r>
    </w:p>
    <w:p>
      <w:pPr>
        <w:spacing w:after="0" w:line="158" w:lineRule="exact"/>
        <w:rPr>
          <w:sz w:val="20"/>
          <w:szCs w:val="20"/>
          <w:color w:val="auto"/>
        </w:rPr>
      </w:pPr>
    </w:p>
    <w:p>
      <w:pPr>
        <w:ind w:left="340" w:right="20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ADSs or common shares are closed, or (ii) common shares are immobilized on account of a shareholders’ meeting or a payment of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or</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circumstances specifically contemplated by Instruction I.A.(l) of the General Instructions to Form F-6 Registration Statement, as amended from time to time, under the Securities Act.</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common shares represented by your ADSs. The voting rights of holders of common shares are described in the sections of this prospectus titled “Description of Share Capital and Articles of Association” and “Limitations Affecting Shareholders of a Swiss Company.”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timely request, the depositary will distribute to you any notice of general meetings of shareholders or other solicitations of consents received from us and arrange to deliver our voting materials to you, or provide notice with instructions on how to retrieve such materials. Those materials will describe the matters to be voted on and explain how to instruct the depositary to exercise the voting rights of the securities represented by ADSs. For instructions to be valid, they must reach the depositary by a date set by the depositary.</w:t>
      </w:r>
    </w:p>
    <w:p>
      <w:pPr>
        <w:spacing w:after="0" w:line="1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depositary will try, as far as practical, and subject to the laws of Switzerland and to the Articles, to vote or cause to be voted the common shares underlying the ADSs in accordance with instructions timely received from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If the depositary does not timely receive voting instructions with respect to certain ADSs, it will not vote the common shares represented by such ADSs, except as otherwise contemplated in the deposit agreement. If the depositary timely receives voting instructions from a holder that fail to specify the manner in which the common shares are to be voted, the depositary will deem such holder (unless otherwise specified in the notice distributed to holders) to have instructed the depositary to take all steps necessary to enable the independent proxy holder, as elected by the shareholders of the Company, to vote the common shares underlying such ADS holder's ADSs in accordance with the written proposals or recommendations of the Company's board of directors. At our request, the depositary will represent all common shares underlying the ADSs for the purpose of establishing a quorum at a meeting of our shareholders.</w:t>
      </w:r>
    </w:p>
    <w:p>
      <w:pPr>
        <w:spacing w:after="0" w:line="1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Common shares for which no voting instructions have been timely received will not be voted except as provided above with respect to representing common shares to establish a quorum, and as otherwise contemplated in the deposit agreement. In addition, the depositary and its agents are not responsible for failing to carry out voting instructions, for the manner in which any vote is cast or for the effect of any vote, provided that the depositary acted in good faith, without negligence and in accordance with the deposit agreement. This means that you may not be able to exercise your right to vote and there may be nothing you can do if your common shares are not voted as you requested.</w:t>
      </w:r>
    </w:p>
    <w:p>
      <w:pPr>
        <w:spacing w:after="0" w:line="1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shares, if we request the depositary to act, we will give the depositary notice of the applicable meeting or vote and details concerning the matters to be voted upon in a timely manner in advance of the meeting or vote, the depositary having no obligation to take any action with respect to any vote or meeting if it receives such request later than 30 days before the vote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Charges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service fees to the depositary under the terms of the deposit agreement:</w:t>
      </w:r>
    </w:p>
    <w:p>
      <w:pPr>
        <w:sectPr>
          <w:pgSz w:w="11900" w:h="16838" w:orient="portrait"/>
          <w:cols w:equalWidth="0" w:num="1">
            <w:col w:w="11220"/>
          </w:cols>
          <w:pgMar w:left="320" w:top="1440" w:right="359"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w:t>
      </w:r>
    </w:p>
    <w:p>
      <w:pPr>
        <w:spacing w:after="0" w:line="171" w:lineRule="exact"/>
        <w:rPr>
          <w:sz w:val="20"/>
          <w:szCs w:val="20"/>
          <w:color w:val="auto"/>
        </w:rPr>
      </w:pPr>
    </w:p>
    <w:p>
      <w:pPr>
        <w:ind w:left="360" w:hanging="334"/>
        <w:spacing w:after="0" w:line="259" w:lineRule="auto"/>
        <w:tabs>
          <w:tab w:leader="none" w:pos="35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Issuance of ADSs (e.g., an issuance of ADS upon a deposit of common shares, upon a change in the ADS(s)-to- common share(s) ratio, or for any other reason), excluding ADS issuances as a result of distributions of common shares)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Up to U.S. $0.05 per ADS issued</w:t>
      </w:r>
    </w:p>
    <w:p>
      <w:pPr>
        <w:spacing w:after="0" w:line="529" w:lineRule="exact"/>
        <w:rPr>
          <w:sz w:val="20"/>
          <w:szCs w:val="20"/>
          <w:color w:val="auto"/>
        </w:rPr>
      </w:pPr>
    </w:p>
    <w:p>
      <w:pPr>
        <w:sectPr>
          <w:pgSz w:w="11900" w:h="16838" w:orient="portrait"/>
          <w:cols w:equalWidth="0" w:num="2">
            <w:col w:w="6140" w:space="160"/>
            <w:col w:w="4920"/>
          </w:cols>
          <w:pgMar w:left="320" w:top="1440" w:right="359" w:bottom="1440" w:gutter="0" w:footer="0" w:header="0"/>
          <w:type w:val="continuous"/>
        </w:sect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Cancellation of ADSs (e.g., a cancellation of ADSs for delivery of deposited</w:t>
      </w:r>
      <w:r>
        <w:rPr>
          <w:sz w:val="20"/>
          <w:szCs w:val="20"/>
          <w:color w:val="auto"/>
        </w:rPr>
        <w:tab/>
      </w:r>
      <w:r>
        <w:rPr>
          <w:rFonts w:ascii="Arial" w:cs="Arial" w:eastAsia="Arial" w:hAnsi="Arial"/>
          <w:sz w:val="16"/>
          <w:szCs w:val="16"/>
          <w:color w:val="auto"/>
        </w:rPr>
        <w:t>Up to U.S. $0.05 per ADS canceled</w:t>
      </w:r>
    </w:p>
    <w:p>
      <w:pPr>
        <w:ind w:left="360"/>
        <w:spacing w:after="0" w:line="203" w:lineRule="auto"/>
        <w:rPr>
          <w:sz w:val="20"/>
          <w:szCs w:val="20"/>
          <w:color w:val="auto"/>
        </w:rPr>
      </w:pPr>
      <w:r>
        <w:rPr>
          <w:rFonts w:ascii="Arial" w:cs="Arial" w:eastAsia="Arial" w:hAnsi="Arial"/>
          <w:sz w:val="18"/>
          <w:szCs w:val="18"/>
          <w:color w:val="auto"/>
        </w:rPr>
        <w:t>property, upon a change in the ADS(s)-to- common share(s) ratio, or for any</w:t>
      </w:r>
    </w:p>
    <w:p>
      <w:pPr>
        <w:ind w:left="360"/>
        <w:spacing w:after="0"/>
        <w:rPr>
          <w:sz w:val="20"/>
          <w:szCs w:val="20"/>
          <w:color w:val="auto"/>
        </w:rPr>
      </w:pPr>
      <w:r>
        <w:rPr>
          <w:rFonts w:ascii="Arial" w:cs="Arial" w:eastAsia="Arial" w:hAnsi="Arial"/>
          <w:sz w:val="18"/>
          <w:szCs w:val="18"/>
          <w:color w:val="auto"/>
        </w:rPr>
        <w:t>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cash dividends or other cash distributions (e.g., upon a sale of</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rights and other entitlements)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ADSs pursuant to stock dividends, other free stock distributions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or exercise of rights to purchase additional ADSs.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securities other than ADSs or rights to purchase additional ADSs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(e.g., upon a spin-off)</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ADS Services</w:t>
      </w:r>
      <w:r>
        <w:rPr>
          <w:sz w:val="20"/>
          <w:szCs w:val="20"/>
          <w:color w:val="auto"/>
        </w:rPr>
        <w:tab/>
      </w:r>
      <w:r>
        <w:rPr>
          <w:rFonts w:ascii="Arial" w:cs="Arial" w:eastAsia="Arial" w:hAnsi="Arial"/>
          <w:sz w:val="16"/>
          <w:szCs w:val="16"/>
          <w:color w:val="auto"/>
        </w:rPr>
        <w:t>Up to U.S. $0.05 per ADS held on the applicable record date(s)</w:t>
      </w:r>
    </w:p>
    <w:p>
      <w:pPr>
        <w:ind w:left="6300"/>
        <w:spacing w:after="0"/>
        <w:rPr>
          <w:sz w:val="20"/>
          <w:szCs w:val="20"/>
          <w:color w:val="auto"/>
        </w:rPr>
      </w:pPr>
      <w:r>
        <w:rPr>
          <w:rFonts w:ascii="Arial" w:cs="Arial" w:eastAsia="Arial" w:hAnsi="Arial"/>
          <w:sz w:val="18"/>
          <w:szCs w:val="18"/>
          <w:color w:val="auto"/>
        </w:rPr>
        <w:t>established by the depositary</w:t>
      </w:r>
    </w:p>
    <w:p>
      <w:pPr>
        <w:spacing w:after="0" w:line="45"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Registration of ADS Transfers (e.g., upon a registration of the transfer of</w:t>
      </w:r>
      <w:r>
        <w:rPr>
          <w:sz w:val="20"/>
          <w:szCs w:val="20"/>
          <w:color w:val="auto"/>
        </w:rPr>
        <w:tab/>
      </w:r>
      <w:r>
        <w:rPr>
          <w:rFonts w:ascii="Arial" w:cs="Arial" w:eastAsia="Arial" w:hAnsi="Arial"/>
          <w:sz w:val="16"/>
          <w:szCs w:val="16"/>
          <w:color w:val="auto"/>
        </w:rPr>
        <w:t>Up to U.S. $0.05 per ADS transferred</w:t>
      </w:r>
    </w:p>
    <w:p>
      <w:pPr>
        <w:ind w:left="360"/>
        <w:spacing w:after="0" w:line="203" w:lineRule="auto"/>
        <w:rPr>
          <w:sz w:val="20"/>
          <w:szCs w:val="20"/>
          <w:color w:val="auto"/>
        </w:rPr>
      </w:pPr>
      <w:r>
        <w:rPr>
          <w:rFonts w:ascii="Arial" w:cs="Arial" w:eastAsia="Arial" w:hAnsi="Arial"/>
          <w:sz w:val="18"/>
          <w:szCs w:val="18"/>
          <w:color w:val="auto"/>
        </w:rPr>
        <w:t>registered ownership of ADSs, upon a transfer of ADSs into DTC and vice</w:t>
      </w:r>
    </w:p>
    <w:p>
      <w:pPr>
        <w:ind w:left="360"/>
        <w:spacing w:after="0"/>
        <w:rPr>
          <w:sz w:val="20"/>
          <w:szCs w:val="20"/>
          <w:color w:val="auto"/>
        </w:rPr>
      </w:pPr>
      <w:r>
        <w:rPr>
          <w:rFonts w:ascii="Arial" w:cs="Arial" w:eastAsia="Arial" w:hAnsi="Arial"/>
          <w:sz w:val="18"/>
          <w:szCs w:val="18"/>
          <w:color w:val="auto"/>
        </w:rPr>
        <w:t>versa, or for any 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Conversion of ADSs of one series for ADSs of another series (e.g., upon</w:t>
      </w:r>
      <w:r>
        <w:rPr>
          <w:sz w:val="20"/>
          <w:szCs w:val="20"/>
          <w:color w:val="auto"/>
        </w:rPr>
        <w:tab/>
      </w:r>
      <w:r>
        <w:rPr>
          <w:rFonts w:ascii="Arial" w:cs="Arial" w:eastAsia="Arial" w:hAnsi="Arial"/>
          <w:sz w:val="16"/>
          <w:szCs w:val="16"/>
          <w:color w:val="auto"/>
        </w:rPr>
        <w:t>Up to U.S. $0.05 per ADS converted</w:t>
      </w:r>
    </w:p>
    <w:p>
      <w:pPr>
        <w:ind w:left="360" w:right="5260"/>
        <w:spacing w:after="0" w:line="268" w:lineRule="auto"/>
        <w:rPr>
          <w:sz w:val="20"/>
          <w:szCs w:val="20"/>
          <w:color w:val="auto"/>
        </w:rPr>
      </w:pPr>
      <w:r>
        <w:rPr>
          <w:rFonts w:ascii="Arial" w:cs="Arial" w:eastAsia="Arial" w:hAnsi="Arial"/>
          <w:sz w:val="16"/>
          <w:szCs w:val="16"/>
          <w:color w:val="auto"/>
        </w:rPr>
        <w:t>conversion of Partial Entitlement ADSs for Full Entitlement ADSs, or upon conversion of Restricted ADSs into freely transferable ADSs, and vice versa).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fees, expenses, taxes and governmental charges such as:</w:t>
      </w:r>
    </w:p>
    <w:p>
      <w:pPr>
        <w:spacing w:after="0" w:line="158"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common shares or other deposited securities on the share register and applicable to transfers of common shares or other deposited securities to or from the name of the custodian, the depositary or any nominees upon the making of deposits and withdrawals, respectively;</w:t>
      </w:r>
    </w:p>
    <w:p>
      <w:pPr>
        <w:spacing w:after="0" w:line="102" w:lineRule="exact"/>
        <w:rPr>
          <w:rFonts w:ascii="Arial" w:cs="Arial" w:eastAsia="Arial" w:hAnsi="Arial"/>
          <w:sz w:val="18"/>
          <w:szCs w:val="18"/>
          <w:color w:val="auto"/>
        </w:rPr>
      </w:pPr>
    </w:p>
    <w:p>
      <w:pPr>
        <w:ind w:left="340" w:right="500" w:hanging="332"/>
        <w:spacing w:after="0" w:line="308" w:lineRule="auto"/>
        <w:tabs>
          <w:tab w:leader="none" w:pos="33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common shares or withdrawing deposited property or of the holders and beneficial owners of ADSs;</w:t>
      </w:r>
    </w:p>
    <w:p>
      <w:pPr>
        <w:spacing w:after="0" w:line="78" w:lineRule="exact"/>
        <w:rPr>
          <w:rFonts w:ascii="Arial" w:cs="Arial" w:eastAsia="Arial" w:hAnsi="Arial"/>
          <w:sz w:val="17"/>
          <w:szCs w:val="17"/>
          <w:color w:val="auto"/>
        </w:rPr>
      </w:pPr>
    </w:p>
    <w:p>
      <w:pPr>
        <w:ind w:left="3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320" w:top="1440" w:right="359" w:bottom="1440" w:gutter="0" w:footer="0" w:header="0"/>
          <w:type w:val="continuous"/>
        </w:sectPr>
      </w:pPr>
    </w:p>
    <w:bookmarkStart w:id="227" w:name="page228"/>
    <w:bookmarkEnd w:id="227"/>
    <w:p>
      <w:pPr>
        <w:spacing w:after="0" w:line="130"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Termination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common shares represented by your ADSs (except as permitted by law).</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common shares represented by ADSs and to direct the deposit of such common shares into an unsponsored ADS program established by the depositary. The ability to receive unsponsored ADSs upon termination of the deposit agreement would be subject to satisfaction of certain U.S. regulatory requirements applicable to the creation of unsponsored ADSs and the payment of applicable depositary fees.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of Depositary</w:t>
      </w:r>
    </w:p>
    <w:p>
      <w:pPr>
        <w:spacing w:after="0" w:line="1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Obligations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44"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common shares, for the validity or worth of the common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57" w:lineRule="exact"/>
        <w:rPr>
          <w:rFonts w:ascii="Arial" w:cs="Arial" w:eastAsia="Arial" w:hAnsi="Arial"/>
          <w:sz w:val="18"/>
          <w:szCs w:val="18"/>
          <w:color w:val="auto"/>
        </w:rPr>
      </w:pPr>
    </w:p>
    <w:p>
      <w:pPr>
        <w:ind w:left="340" w:right="60" w:hanging="332"/>
        <w:spacing w:after="0" w:line="279" w:lineRule="auto"/>
        <w:tabs>
          <w:tab w:leader="none" w:pos="33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103" w:lineRule="exact"/>
        <w:rPr>
          <w:rFonts w:ascii="Arial" w:cs="Arial" w:eastAsia="Arial" w:hAnsi="Arial"/>
          <w:sz w:val="17"/>
          <w:szCs w:val="17"/>
          <w:color w:val="auto"/>
        </w:rPr>
      </w:pPr>
    </w:p>
    <w:p>
      <w:pPr>
        <w:ind w:left="340" w:right="6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89"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common shares for deposit, any holder of ADSs or authorized representatives thereof, or any other person believed by either of us in good faith to be competent to give such advice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0" w:lineRule="exact"/>
        <w:rPr>
          <w:sz w:val="20"/>
          <w:szCs w:val="20"/>
          <w:color w:val="auto"/>
        </w:rPr>
      </w:pPr>
    </w:p>
    <w:p>
      <w:pPr>
        <w:ind w:left="340" w:right="22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common shares but is not, under the terms of the deposit agreement, made available to you.</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and the depositary also disclaim liability for any consequential or punitive damages for any breach of the terms of the deposit agreement.</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Nothing in the deposit agreement precludes Citibank, N.A. (or its affiliates) from engaging in transactions in which parties adverse to us or the ADS owners have interests, and nothing in the deposit agreement obligates Citibank, N.A. to disclose those transactions, or any information obtained in the course of those transactions, to us or to the ADS owners, or to account for any payment received as part of those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w:t>
      </w:r>
    </w:p>
    <w:p>
      <w:pPr>
        <w:spacing w:after="0" w:line="13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Conversion</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3" w:lineRule="exact"/>
        <w:rPr>
          <w:sz w:val="20"/>
          <w:szCs w:val="20"/>
          <w:color w:val="auto"/>
        </w:rPr>
      </w:pPr>
    </w:p>
    <w:p>
      <w:pPr>
        <w:ind w:left="340" w:right="20" w:hanging="332"/>
        <w:spacing w:after="0" w:line="277"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Law/Waiver of Jury Trial</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common shares (including common shares represented by ADSs) are governed by the laws of Switzerland.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otherwise provided in the deposit agreement, we and the depositary have agreed that any legal action arising out of the deposit agreement between us and the depositary may be instituted in a state or federal court in the City of New York, and we and the depositary have irrevocably submitted to the non-exclusive jurisdiction of such courts for such purpose.</w:t>
      </w:r>
    </w:p>
    <w:p>
      <w:pPr>
        <w:spacing w:after="0" w:line="11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YOUR RIGHT TO TRIAL BY JURY IN ANY LEGAL PROCEEDING AGAINST US AND/OR THE DEPOSITARY. ARISING OUT OF OR RELATING TO THE DEPOSIT AGREEMENT, THE ADRs OR THE TRANSACTIONS CONTEMPLATED THEREIN.</w:t>
      </w:r>
    </w:p>
    <w:p>
      <w:pPr>
        <w:spacing w:after="0" w:line="34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Such waiver of your right to trial by jury may apply to any claim under U.S. federal securities laws. If we or the depositary opposed a jury trial demand based on such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AND ADSs ELIGIBLE FOR FUTURE SALE</w:t>
      </w: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since November 2014, there has been no public market on a U.S. national securities exchange for the ADSs or our common shares in the United States. Future sales of ADSs in the public market after this offering, and the availability of ADSs for future sale, could adversely affect the market price of the ADSs or our common shares prevailing from time to time. As described below, a significant number of currently outstanding common shares will not be available for sale shortly after this offering due to contractual restrictions on transfers of common shares. Accordingly, sales of substantial amounts of the ADSs or the common shares, or the perception that these sales could occur, could adversely affect prevailing market prices for the ADSs or our common shares and could impair our future ability to raise equity capital.</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the number of common shares outstanding on March 31, 2021, upon completion of this offering, 32,157,793 common shares (including common shares in the form of ADSs) will be outstanding, assuming no outstanding PSUs, RSUs or share options are exercised and assuming no exercise of the underwriters’ option to purchase additional ADSs. All of the ADSs sold in this offering will be freely tradable without restrictions or further registration under the Securities Act, except for any ADSs sold to our “affiliates,” as that term is defined under Rule 144 under the Securities Act. The remaining common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1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Swiss law, and assuming no exercise of the underwriters’ option to purchase additional ADSs, these restricted securities will be available for sale in the U.S. public market as follows:</w:t>
      </w:r>
    </w:p>
    <w:p>
      <w:pPr>
        <w:spacing w:after="0" w:line="56" w:lineRule="exact"/>
        <w:rPr>
          <w:sz w:val="20"/>
          <w:szCs w:val="20"/>
          <w:color w:val="auto"/>
        </w:rPr>
      </w:pPr>
    </w:p>
    <w:p>
      <w:pPr>
        <w:ind w:left="340" w:right="220" w:hanging="332"/>
        <w:spacing w:after="0" w:line="277"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approximately 30,252,728 shares, including common shares represented by ADSs, will be eligible for immediate sale on the date of this prospectus; and</w:t>
      </w:r>
    </w:p>
    <w:p>
      <w:pPr>
        <w:spacing w:after="0" w:line="102"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1,905,065 shares, including common shares represented by ADSs, will be eligible for sale upon the expiration of the lock-up agreements 90 days after the date of this prospectus, provided that shares held by our affiliates will remain subject to volume, manner of sale, and other resale limitations set forth in Rule 144,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and our directors and executive officers have agreed that, without the prior written consent of J.P. Morgan Securities LLC, SVB Leerink LLC and Cowen and Company, LLC on behalf of the underwriters and our prior written consent in case of the lock-up agreements executed by our directors and officers, we and they will not, subject to certain exceptions, during the period ending 90 days after the date of this prospectus, offer, pledge, sell, contract to sell, sell any option or contract to purchase, purchase any option or contract to sell, grant any option, right or warrant to sale of, or otherwise dispose of or transfer any common shares or any securities convertible into or exercisable or exchangeable for common shares, request or demand that we file a registration statement related to our common shares or enter into any swap or other agreement that transfers to another, in whole or in part, directly or indirectly, the economic consequence of ownership of the common shares. See "Underwriting"</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Upon the expiration of the applicable lock-up periods, substantially all of the common shares and ADSs subject to such lock-up restrictions will become eligible for sale, subject to the limitations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0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Beginning 90 days after we become subject to the public company reporting requirements of the Exchange Act,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 (1) 1% of the number of our common shares outstanding, which will equal approximately 321,577 common shares immediately after this offering; and (2) the average weekly trading volume of our common shares in the form of ADSs on the Nasdaq Global Market during the four calendar weeks preceding the filing of a notice on Form 144 with respect to the sale.</w:t>
      </w:r>
    </w:p>
    <w:p>
      <w:pPr>
        <w:spacing w:after="0" w:line="1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Sales under Rule 144 by our affiliates are also subject to certain manner of sale provisions, notice requirements and to the availability of current public information about 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general, under Rule 701 under the Securities Act, beginning 90 days after we become subject to the public company reporting requirements of the Exchange Act, any of our employees, directors or officers who acquired shares from us in connection with a written compensatory stock or option plan or other written agreement in compliance with Rule 701 is entitled to sell such shares in reliance on Rule 144 but without compliance with certain of the requirements contained in Rule 144. Accordingly, subject to any applicable lock-up agreements, beginning 90 days after we become subject to the public company reporting requirements of the Exchange Act, under Rule 701 persons who are not our affiliates may resell those shares without complying with the minimum holding period or public information requirements of Rule 144, and persons who are our affiliates may resell those shares without compliance with Rule 144’s minimum holding period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29"/>
          <w:szCs w:val="29"/>
          <w:b w:val="1"/>
          <w:bCs w:val="1"/>
          <w:color w:val="auto"/>
        </w:rPr>
        <w:t>MATERIAL UNITED STATES FEDERAL INCOME TAX CONSIDERATIONS FOR U.S. HOLDERS</w:t>
      </w:r>
    </w:p>
    <w:p>
      <w:pPr>
        <w:spacing w:after="0" w:line="220"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following discussion describes the material U.S. federal income tax considerations relating to the ownership and disposition of our ADSs by U.S. Holders (as defined below). This discussion applies to U.S. Holders that purchase ADSs pursuant to the offering and hold such ADSs as capital assets within the meaning of Section 1221 of the U.S. Internal Revenue Code of 1986, as amended, or the Code. This discussion is based on the Code, U.S. Treasury regulations promulgated thereunder, the income tax treaty between the United States and Switzerland, or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r>
      <w:r>
        <w:rPr>
          <w:rFonts w:ascii="MS PGothic" w:cs="MS PGothic" w:eastAsia="MS PGothic" w:hAnsi="MS PGothic"/>
          <w:sz w:val="17"/>
          <w:szCs w:val="17"/>
          <w:color w:val="auto"/>
        </w:rPr>
        <w:t>‑</w:t>
      </w:r>
      <w:r>
        <w:rPr>
          <w:rFonts w:ascii="Arial" w:cs="Arial" w:eastAsia="Arial" w:hAnsi="Arial"/>
          <w:sz w:val="17"/>
          <w:szCs w:val="17"/>
          <w:color w:val="auto"/>
        </w:rPr>
        <w:t>dealers and traders in securities or other persons that generally mark their securities to market for U.S. federal income tax purposes, tax</w:t>
      </w:r>
      <w:r>
        <w:rPr>
          <w:rFonts w:ascii="MS PGothic" w:cs="MS PGothic" w:eastAsia="MS PGothic" w:hAnsi="MS PGothic"/>
          <w:sz w:val="17"/>
          <w:szCs w:val="17"/>
          <w:color w:val="auto"/>
        </w:rPr>
        <w:t>‑</w:t>
      </w:r>
      <w:r>
        <w:rPr>
          <w:rFonts w:ascii="Arial" w:cs="Arial" w:eastAsia="Arial" w:hAnsi="Arial"/>
          <w:sz w:val="17"/>
          <w:szCs w:val="17"/>
          <w:color w:val="auto"/>
        </w:rPr>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shares, corporations that accumulate earnings to avoid U.S. federal income tax, partnerships and other pass</w:t>
      </w:r>
      <w:r>
        <w:rPr>
          <w:rFonts w:ascii="MS PGothic" w:cs="MS PGothic" w:eastAsia="MS PGothic" w:hAnsi="MS PGothic"/>
          <w:sz w:val="17"/>
          <w:szCs w:val="17"/>
          <w:color w:val="auto"/>
        </w:rPr>
        <w:t>‑</w:t>
      </w:r>
      <w:r>
        <w:rPr>
          <w:rFonts w:ascii="Arial" w:cs="Arial" w:eastAsia="Arial" w:hAnsi="Arial"/>
          <w:sz w:val="17"/>
          <w:szCs w:val="17"/>
          <w:color w:val="auto"/>
        </w:rPr>
        <w:t>through entities, and investors in such pass</w:t>
      </w:r>
      <w:r>
        <w:rPr>
          <w:rFonts w:ascii="MS PGothic" w:cs="MS PGothic" w:eastAsia="MS PGothic" w:hAnsi="MS PGothic"/>
          <w:sz w:val="17"/>
          <w:szCs w:val="17"/>
          <w:color w:val="auto"/>
        </w:rPr>
        <w:t>‑</w:t>
      </w:r>
      <w:r>
        <w:rPr>
          <w:rFonts w:ascii="Arial" w:cs="Arial" w:eastAsia="Arial" w:hAnsi="Arial"/>
          <w:sz w:val="17"/>
          <w:szCs w:val="17"/>
          <w:color w:val="auto"/>
        </w:rPr>
        <w:t>through entities). This discussion does not address any U.S. state or local or non</w:t>
      </w:r>
      <w:r>
        <w:rPr>
          <w:rFonts w:ascii="MS PGothic" w:cs="MS PGothic" w:eastAsia="MS PGothic" w:hAnsi="MS PGothic"/>
          <w:sz w:val="17"/>
          <w:szCs w:val="17"/>
          <w:color w:val="auto"/>
        </w:rPr>
        <w:t>‑</w:t>
      </w:r>
      <w:r>
        <w:rPr>
          <w:rFonts w:ascii="Arial" w:cs="Arial" w:eastAsia="Arial" w:hAnsi="Arial"/>
          <w:sz w:val="17"/>
          <w:szCs w:val="17"/>
          <w:color w:val="auto"/>
        </w:rPr>
        <w:t>U.S. tax consequences or any U.S. federal estate, gift or alternative minimum tax consequences.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holding the common shares represented by the ADSs, and, accordingly, no gain or loss will be recognized upon an exchange of ADSs for common shares.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Consequences</w:t>
      </w:r>
    </w:p>
    <w:p>
      <w:pPr>
        <w:spacing w:after="0" w:line="138"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general, a corporation organized outside the United States will be treated as a passive foreign investment company, or PFIC, for any taxable year in which either (1) at least 75% of its gross income is “passive income,” or (2) on average at least 50% of its assets, determined on a quarterly basis,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w:t>
      </w:r>
      <w:r>
        <w:rPr>
          <w:rFonts w:ascii="MS PGothic" w:cs="MS PGothic" w:eastAsia="MS PGothic" w:hAnsi="MS PGothic"/>
          <w:sz w:val="16"/>
          <w:szCs w:val="16"/>
          <w:color w:val="auto"/>
        </w:rPr>
        <w:t>‑</w:t>
      </w:r>
      <w:r>
        <w:rPr>
          <w:rFonts w:ascii="Arial" w:cs="Arial" w:eastAsia="Arial" w:hAnsi="Arial"/>
          <w:sz w:val="16"/>
          <w:szCs w:val="16"/>
          <w:color w:val="auto"/>
        </w:rPr>
        <w:t>U.S. corporation is a PFIC, a proportionate share of the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320" w:top="1440" w:right="359" w:bottom="1440" w:gutter="0" w:footer="0" w:header="0"/>
        </w:sectPr>
      </w:pPr>
    </w:p>
    <w:bookmarkStart w:id="234" w:name="page235"/>
    <w:bookmarkEnd w:id="23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assets of each corporation in which it owns, directly or indirectly, at least a 25% interest (by value) is taken into account.</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status as a PFIC will depend on the nature and composition of our income and the nature, composition and value of our assets.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for the taxable year ended December 31, 2021 or in any future taxable year.</w:t>
      </w:r>
    </w:p>
    <w:p>
      <w:pPr>
        <w:spacing w:after="0" w:line="1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Accordingly, our U.S. counsel expresses no opinion with respect to our PFIC status for our taxable year ended December 31, 2020, and also expresses no opinion with regard to our expectations regarding our PFIC status in the future. Even if we determine that we are not a PFIC for a taxable year, there can be no assurance that the IRS will agree with our conclusion and will not successfully challenge our position.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would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spacing w:after="0" w:line="9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If we are a PFIC for any taxable year during which a U.S. Holder holds ADSs and one of our non</w:t>
      </w:r>
      <w:r>
        <w:rPr>
          <w:rFonts w:ascii="MS PGothic" w:cs="MS PGothic" w:eastAsia="MS PGothic" w:hAnsi="MS PGothic"/>
          <w:sz w:val="17"/>
          <w:szCs w:val="17"/>
          <w:color w:val="auto"/>
        </w:rPr>
        <w:t>‑</w:t>
      </w:r>
      <w:r>
        <w:rPr>
          <w:rFonts w:ascii="Arial" w:cs="Arial" w:eastAsia="Arial" w:hAnsi="Arial"/>
          <w:sz w:val="17"/>
          <w:szCs w:val="17"/>
          <w:color w:val="auto"/>
        </w:rPr>
        <w:t>U.S. corporate subsidiaries is also a PFIC (i.e., a</w:t>
      </w:r>
    </w:p>
    <w:p>
      <w:pPr>
        <w:spacing w:after="0" w:line="3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lower</w:t>
      </w:r>
      <w:r>
        <w:rPr>
          <w:rFonts w:ascii="MS PGothic" w:cs="MS PGothic" w:eastAsia="MS PGothic" w:hAnsi="MS PGothic"/>
          <w:sz w:val="18"/>
          <w:szCs w:val="18"/>
          <w:color w:val="auto"/>
        </w:rPr>
        <w:t>‑</w:t>
      </w:r>
      <w:r>
        <w:rPr>
          <w:rFonts w:ascii="Arial" w:cs="Arial" w:eastAsia="Arial" w:hAnsi="Arial"/>
          <w:sz w:val="18"/>
          <w:szCs w:val="18"/>
          <w:color w:val="auto"/>
        </w:rPr>
        <w:t>tier PFIC), such U.S. Holder will be treated as owning a proportionate amount (by value) of the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and will be taxed under the PFIC excess distribution regime on distributions by the lower</w:t>
      </w:r>
      <w:r>
        <w:rPr>
          <w:rFonts w:ascii="MS PGothic" w:cs="MS PGothic" w:eastAsia="MS PGothic" w:hAnsi="MS PGothic"/>
          <w:sz w:val="18"/>
          <w:szCs w:val="18"/>
          <w:color w:val="auto"/>
        </w:rPr>
        <w:t>‑</w:t>
      </w:r>
      <w:r>
        <w:rPr>
          <w:rFonts w:ascii="Arial" w:cs="Arial" w:eastAsia="Arial" w:hAnsi="Arial"/>
          <w:sz w:val="18"/>
          <w:szCs w:val="18"/>
          <w:color w:val="auto"/>
        </w:rPr>
        <w:t>tier PFIC and on gain from the disposition of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even though such U.S. Holder would not receive the proceeds of those distributions or dispositions. Each U.S. Holder is advised to consult its tax advisors regarding the application of the PFIC rules to our non</w:t>
      </w:r>
      <w:r>
        <w:rPr>
          <w:rFonts w:ascii="MS PGothic" w:cs="MS PGothic" w:eastAsia="MS PGothic" w:hAnsi="MS PGothic"/>
          <w:sz w:val="18"/>
          <w:szCs w:val="18"/>
          <w:color w:val="auto"/>
        </w:rPr>
        <w:t>‑</w:t>
      </w:r>
      <w:r>
        <w:rPr>
          <w:rFonts w:ascii="Arial" w:cs="Arial" w:eastAsia="Arial" w:hAnsi="Arial"/>
          <w:sz w:val="18"/>
          <w:szCs w:val="18"/>
          <w:color w:val="auto"/>
        </w:rPr>
        <w:t>U.S. subsidiaries.</w:t>
      </w:r>
    </w:p>
    <w:p>
      <w:pPr>
        <w:spacing w:after="0" w:line="136"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If we are a PFIC, a U.S. Holder will not be subject to tax under the PFIC excess distribution regime on distributions or gain recognized on ADSs if such U.S. Holder makes a valid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our ADSs.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available to a U.S. Holder only for “marketable stock.” Our ADSs will be marketable stock as long as they remain listed on the Nasdaq Global Market and are regularly traded, other than in de minimis quantities, on at least 15 days during each calendar quarter. If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in effect, a U.S. Holder generally will take into account, as ordinary income for each taxable year of the U.S. Holder, any excess of the fair market value of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The U.S. Holder’s tax basis in ADSs will be adjusted to reflect any income or loss recognized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Any gain from a sale, exchange or other disposition of ADSs in any taxable year in which we are a PFIC will be treated as ordinary income and any loss from such sale, exchange or other disposition would be treated first as ordinary loss (to the extent of any net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gains previously included in income) and thereafter as capital loss.</w:t>
      </w:r>
    </w:p>
    <w:p>
      <w:pPr>
        <w:spacing w:after="0" w:line="12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will not apply to ADSs for any taxable year during which we are not a PFIC but will remain in effect with respect to any subsequent taxable year in which we become a PFIC. Such election will not apply to any non</w:t>
      </w:r>
      <w:r>
        <w:rPr>
          <w:rFonts w:ascii="MS PGothic" w:cs="MS PGothic" w:eastAsia="MS PGothic" w:hAnsi="MS PGothic"/>
          <w:sz w:val="18"/>
          <w:szCs w:val="18"/>
          <w:color w:val="auto"/>
        </w:rPr>
        <w:t>‑</w:t>
      </w:r>
      <w:r>
        <w:rPr>
          <w:rFonts w:ascii="Arial" w:cs="Arial" w:eastAsia="Arial" w:hAnsi="Arial"/>
          <w:sz w:val="18"/>
          <w:szCs w:val="18"/>
          <w:color w:val="auto"/>
        </w:rPr>
        <w:t>U.S. subsidiaries that we may organize or acquire in the future. Accordingly, a U.S. Holder may continue to be subject to tax under the PFIC excess distribution regime with respect to any lower</w:t>
      </w:r>
      <w:r>
        <w:rPr>
          <w:rFonts w:ascii="MS PGothic" w:cs="MS PGothic" w:eastAsia="MS PGothic" w:hAnsi="MS PGothic"/>
          <w:sz w:val="18"/>
          <w:szCs w:val="18"/>
          <w:color w:val="auto"/>
        </w:rPr>
        <w:t>‑</w:t>
      </w:r>
      <w:r>
        <w:rPr>
          <w:rFonts w:ascii="Arial" w:cs="Arial" w:eastAsia="Arial" w:hAnsi="Arial"/>
          <w:sz w:val="18"/>
          <w:szCs w:val="18"/>
          <w:color w:val="auto"/>
        </w:rPr>
        <w:t>tier PFICs that we may organize or acquire in the future notwithstanding the U.S. Holder’s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the ADSs.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Accordingly, prospective investors should assume that a QEF election will not be available.</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investors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5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As described in the section entitled “— Dividend Policy,” we do not anticipate declaring or paying dividends to holders of our common stock in the foreseeable future. However, if we make a distribution contrary to this expectation, subject to the discussion above under “—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w:t>
      </w:r>
      <w:r>
        <w:rPr>
          <w:rFonts w:ascii="MS PGothic" w:cs="MS PGothic" w:eastAsia="MS PGothic" w:hAnsi="MS PGothic"/>
          <w:sz w:val="16"/>
          <w:szCs w:val="16"/>
          <w:color w:val="auto"/>
        </w:rPr>
        <w:t>‑</w:t>
      </w:r>
      <w:r>
        <w:rPr>
          <w:rFonts w:ascii="Arial" w:cs="Arial" w:eastAsia="Arial" w:hAnsi="Arial"/>
          <w:sz w:val="16"/>
          <w:szCs w:val="16"/>
          <w:color w:val="auto"/>
        </w:rPr>
        <w:t>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and subject to the discussion above regarding concerns expressed by the U.S. Treasury, Swiss taxes withheld on any distributions on ADSs at a rate not exceeding the rate provided by the Treaty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30"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Dividends paid by a “qualified foreign corporation” are eligible for taxation to non</w:t>
      </w:r>
      <w:r>
        <w:rPr>
          <w:rFonts w:ascii="MS PGothic" w:cs="MS PGothic" w:eastAsia="MS PGothic" w:hAnsi="MS PGothic"/>
          <w:sz w:val="18"/>
          <w:szCs w:val="18"/>
          <w:color w:val="auto"/>
        </w:rPr>
        <w:t>‑</w:t>
      </w:r>
      <w:r>
        <w:rPr>
          <w:rFonts w:ascii="Arial" w:cs="Arial" w:eastAsia="Arial" w:hAnsi="Arial"/>
          <w:sz w:val="18"/>
          <w:szCs w:val="18"/>
          <w:color w:val="auto"/>
        </w:rPr>
        <w:t>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ADSs that are treated as dividends generally will not be eligible for the “dividends received” deduction generally allowed to corporate shareholders with respect to dividends received from U.S. corporations.</w:t>
      </w:r>
    </w:p>
    <w:p>
      <w:pPr>
        <w:spacing w:after="0" w:line="12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 non</w:t>
      </w:r>
      <w:r>
        <w:rPr>
          <w:rFonts w:ascii="MS PGothic" w:cs="MS PGothic" w:eastAsia="MS PGothic" w:hAnsi="MS PGothic"/>
          <w:sz w:val="17"/>
          <w:szCs w:val="17"/>
          <w:color w:val="auto"/>
        </w:rPr>
        <w:t>‑</w:t>
      </w:r>
      <w:r>
        <w:rPr>
          <w:rFonts w:ascii="Arial" w:cs="Arial" w:eastAsia="Arial" w:hAnsi="Arial"/>
          <w:sz w:val="17"/>
          <w:szCs w:val="17"/>
          <w:color w:val="auto"/>
        </w:rPr>
        <w:t>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provision. Our ADSs will generally be considered to be readily tradable on an established securities marked in the United States if they are listed on Nasdaq Global Select Market, as we intend our ADSs to be. U.S. Holders should consult their own tax advisors regarding the availability of the lower rate for dividends paid with respect to our ADSs.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Exchange or Other Disposition of ADSs</w:t>
      </w:r>
    </w:p>
    <w:p>
      <w:pPr>
        <w:spacing w:after="0" w:line="15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 xml:space="preserve">Subject to the discussion above under “— </w:t>
      </w:r>
      <w:r>
        <w:rPr>
          <w:rFonts w:ascii="Arial" w:cs="Arial" w:eastAsia="Arial" w:hAnsi="Arial"/>
          <w:sz w:val="17"/>
          <w:szCs w:val="17"/>
          <w:i w:val="1"/>
          <w:iCs w:val="1"/>
          <w:color w:val="auto"/>
        </w:rPr>
        <w:t>Passive Foreign Investment Company Consequences</w:t>
      </w:r>
      <w:r>
        <w:rPr>
          <w:rFonts w:ascii="Arial" w:cs="Arial" w:eastAsia="Arial" w:hAnsi="Arial"/>
          <w:sz w:val="17"/>
          <w:szCs w:val="17"/>
          <w:color w:val="auto"/>
        </w:rPr>
        <w:t>,”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w:t>
      </w:r>
      <w:r>
        <w:rPr>
          <w:rFonts w:ascii="MS PGothic" w:cs="MS PGothic" w:eastAsia="MS PGothic" w:hAnsi="MS PGothic"/>
          <w:sz w:val="17"/>
          <w:szCs w:val="17"/>
          <w:color w:val="auto"/>
        </w:rPr>
        <w:t>‑</w:t>
      </w:r>
      <w:r>
        <w:rPr>
          <w:rFonts w:ascii="Arial" w:cs="Arial" w:eastAsia="Arial" w:hAnsi="Arial"/>
          <w:sz w:val="17"/>
          <w:szCs w:val="17"/>
          <w:color w:val="auto"/>
        </w:rPr>
        <w:t>term capital gain taxable at a reduced rate for non</w:t>
      </w:r>
      <w:r>
        <w:rPr>
          <w:rFonts w:ascii="MS PGothic" w:cs="MS PGothic" w:eastAsia="MS PGothic" w:hAnsi="MS PGothic"/>
          <w:sz w:val="17"/>
          <w:szCs w:val="17"/>
          <w:color w:val="auto"/>
        </w:rPr>
        <w:t>‑</w:t>
      </w:r>
      <w:r>
        <w:rPr>
          <w:rFonts w:ascii="Arial" w:cs="Arial" w:eastAsia="Arial" w:hAnsi="Arial"/>
          <w:sz w:val="17"/>
          <w:szCs w:val="17"/>
          <w:color w:val="auto"/>
        </w:rPr>
        <w:t>corporate U.S. Holders or long</w:t>
      </w:r>
      <w:r>
        <w:rPr>
          <w:rFonts w:ascii="MS PGothic" w:cs="MS PGothic" w:eastAsia="MS PGothic" w:hAnsi="MS PGothic"/>
          <w:sz w:val="17"/>
          <w:szCs w:val="17"/>
          <w:color w:val="auto"/>
        </w:rPr>
        <w:t>‑</w:t>
      </w:r>
      <w:r>
        <w:rPr>
          <w:rFonts w:ascii="Arial" w:cs="Arial" w:eastAsia="Arial" w:hAnsi="Arial"/>
          <w:sz w:val="17"/>
          <w:szCs w:val="17"/>
          <w:color w:val="auto"/>
        </w:rPr>
        <w:t>term capital loss if, on the date of sale, exchange or other disposition, the ADSs were held by the U.S. Holder for more than one year. Any capital gain of a non</w:t>
      </w:r>
      <w:r>
        <w:rPr>
          <w:rFonts w:ascii="MS PGothic" w:cs="MS PGothic" w:eastAsia="MS PGothic" w:hAnsi="MS PGothic"/>
          <w:sz w:val="17"/>
          <w:szCs w:val="17"/>
          <w:color w:val="auto"/>
        </w:rPr>
        <w:t>‑</w:t>
      </w:r>
      <w:r>
        <w:rPr>
          <w:rFonts w:ascii="Arial" w:cs="Arial" w:eastAsia="Arial" w:hAnsi="Arial"/>
          <w:sz w:val="17"/>
          <w:szCs w:val="17"/>
          <w:color w:val="auto"/>
        </w:rPr>
        <w:t>corporate U.S. Holder that is not long</w:t>
      </w:r>
      <w:r>
        <w:rPr>
          <w:rFonts w:ascii="MS PGothic" w:cs="MS PGothic" w:eastAsia="MS PGothic" w:hAnsi="MS PGothic"/>
          <w:sz w:val="17"/>
          <w:szCs w:val="17"/>
          <w:color w:val="auto"/>
        </w:rPr>
        <w:t>‑</w:t>
      </w:r>
      <w:r>
        <w:rPr>
          <w:rFonts w:ascii="Arial" w:cs="Arial" w:eastAsia="Arial" w:hAnsi="Arial"/>
          <w:sz w:val="17"/>
          <w:szCs w:val="17"/>
          <w:color w:val="auto"/>
        </w:rPr>
        <w:t>term capital gain will be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Medicare Tax</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their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and proceeds from the sale or other disposition of ADSs may be subject to U.S. backup withholding unless the U.S. Holder establishes a basis for exemption. Backup withholding may apply if the holder (1)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provide an accurate United States taxpayer identification number or otherwise establish a basis for exemption (usually on IRS Form W</w:t>
      </w:r>
      <w:r>
        <w:rPr>
          <w:rFonts w:ascii="MS PGothic" w:cs="MS PGothic" w:eastAsia="MS PGothic" w:hAnsi="MS PGothic"/>
          <w:sz w:val="18"/>
          <w:szCs w:val="18"/>
          <w:color w:val="auto"/>
        </w:rPr>
        <w:t>‑</w:t>
      </w:r>
      <w:r>
        <w:rPr>
          <w:rFonts w:ascii="Arial" w:cs="Arial" w:eastAsia="Arial" w:hAnsi="Arial"/>
          <w:sz w:val="18"/>
          <w:szCs w:val="18"/>
          <w:color w:val="auto"/>
        </w:rPr>
        <w:t>9), or (2) another person exempt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and information reporting rules.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AN ADS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1440" w:right="479" w:bottom="1440" w:gutter="0" w:footer="0" w:header="0"/>
        </w:sectPr>
      </w:pPr>
    </w:p>
    <w:bookmarkStart w:id="238" w:name="page239"/>
    <w:bookmarkEnd w:id="23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SWISS TAX IMPLICATIONS FOR U.S. HOLDERS</w:t>
      </w: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The following summary does not purport to address all tax consequences of the offering, the acquisition, the ownership and sale or other disposition of ADSs and does not take into account the specific circumstances of any particular investor. This summary is based on the tax laws, regulations and regulatory practices of Switzerland as in the date hereof, which are subject to change (or subject to changes in interpretation), possibly with retroactive effect.</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Current and prospective investors are advised to consult their own tax advisors in light of their particular circumstances as to the Swiss tax laws and regulatory practices that could be relevant for them in connection with the offering, the acquiring, owning and selling or otherwise disposing of ADSs and receiving dividends and similar cash or in-kind distributions on shares underlying the ADSs (including dividends or liquidation proceeds and stock dividends) or distributions on shares underlying the ADSs based upon a capital reduction (Nennwertrückzahlung) or paid out of reserves from capital contributions (Reserve aus Kapitaleinlagen) and the consequences thereof under the tax laws and regulatory practices of Switzerland.</w:t>
      </w:r>
    </w:p>
    <w:p>
      <w:pPr>
        <w:spacing w:after="0" w:line="95" w:lineRule="exact"/>
        <w:rPr>
          <w:sz w:val="20"/>
          <w:szCs w:val="20"/>
          <w:color w:val="auto"/>
        </w:rPr>
      </w:pPr>
    </w:p>
    <w:p>
      <w:pPr>
        <w:ind w:right="2120"/>
        <w:spacing w:after="0" w:line="417" w:lineRule="auto"/>
        <w:rPr>
          <w:sz w:val="20"/>
          <w:szCs w:val="20"/>
          <w:color w:val="auto"/>
        </w:rPr>
      </w:pPr>
      <w:r>
        <w:rPr>
          <w:rFonts w:ascii="Arial" w:cs="Arial" w:eastAsia="Arial" w:hAnsi="Arial"/>
          <w:sz w:val="18"/>
          <w:szCs w:val="18"/>
          <w:i w:val="1"/>
          <w:iCs w:val="1"/>
          <w:color w:val="auto"/>
        </w:rPr>
        <w:t xml:space="preserve">In the opinion of Homburger AG, the following are the material Swiss tax consequences of owning and disposing of our ADSs. </w:t>
      </w:r>
      <w:r>
        <w:rPr>
          <w:rFonts w:ascii="Arial" w:cs="Arial" w:eastAsia="Arial" w:hAnsi="Arial"/>
          <w:sz w:val="18"/>
          <w:szCs w:val="18"/>
          <w:b w:val="1"/>
          <w:bCs w:val="1"/>
          <w:i w:val="1"/>
          <w:iCs w:val="1"/>
          <w:color w:val="auto"/>
        </w:rPr>
        <w:t xml:space="preserve">Swiss Federal, Cantonal and Communal Individual Income Tax and Corporate Income Tax </w:t>
      </w:r>
      <w:r>
        <w:rPr>
          <w:rFonts w:ascii="Arial" w:cs="Arial" w:eastAsia="Arial" w:hAnsi="Arial"/>
          <w:sz w:val="18"/>
          <w:szCs w:val="18"/>
          <w:i w:val="1"/>
          <w:iCs w:val="1"/>
          <w:color w:val="auto"/>
        </w:rPr>
        <w:t>Non-Resident Shareholders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on shares underlying the ADSs, or capital gains realized on the sale or other disposition of ADSs (see, however, paragraph 1.3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for a summary of Swiss federal withholding tax on Dividends).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 Private Shareholders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Swiss resident individuals who hold their ADSs as private assets (all such shareholders are hereinafter referred to as the Resident Private Shareholders) are required to include Dividends, but not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Capital gains resulting from the sale or other dispositions of ADSs are not subject to Swiss federal, cantonal and communal income tax, and conversely, capital losses are not tax-deductible for Resident Private Shareholders. See paragraph 1.1(C)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for a summary of the taxation treatment applicable to Swiss resident individuals, who, for income tax purposes, are classified as "professional securities dealers".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Commercial Shareholders</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received on shares underlying the ADSs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capital gains or losses realized on the sale or other disposition of ADSs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ADSs and other securities (the shareholders referred to in this paragraph 1.1.(C), hereinafter for the purposes of this section, as the Domestic Commercial Shareholders). Domestic Commercial Shareholders who are corporate taxpayers may be eligible for dividend relief (</w:t>
      </w:r>
      <w:r>
        <w:rPr>
          <w:rFonts w:ascii="Arial" w:cs="Arial" w:eastAsia="Arial" w:hAnsi="Arial"/>
          <w:sz w:val="17"/>
          <w:szCs w:val="17"/>
          <w:i w:val="1"/>
          <w:iCs w:val="1"/>
          <w:color w:val="auto"/>
        </w:rPr>
        <w:t>Beteiligungsabzug</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if the shares underlying the ADSs held by them as part of a Swiss business have an aggregate market value of at least CHF 1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Non-Resident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that the Company pays on the shares underlying the ADSs are subject to Swiss Federal withholding tax (</w:t>
      </w:r>
      <w:r>
        <w:rPr>
          <w:rFonts w:ascii="Arial" w:cs="Arial" w:eastAsia="Arial" w:hAnsi="Arial"/>
          <w:sz w:val="18"/>
          <w:szCs w:val="18"/>
          <w:i w:val="1"/>
          <w:iCs w:val="1"/>
          <w:color w:val="auto"/>
        </w:rPr>
        <w:t>Verrechnungssteuer</w:t>
      </w:r>
      <w:r>
        <w:rPr>
          <w:rFonts w:ascii="Arial" w:cs="Arial" w:eastAsia="Arial" w:hAnsi="Arial"/>
          <w:sz w:val="18"/>
          <w:szCs w:val="18"/>
          <w:color w:val="auto"/>
        </w:rPr>
        <w:t>)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are not subject to Swiss federal withholding tax.</w:t>
      </w:r>
    </w:p>
    <w:p>
      <w:pPr>
        <w:spacing w:after="0" w:line="1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dealings in the ADSs, where a bank or another securities dealer in Switzerland, as defined in the Swiss Federal Stamp Tax Act, acts as intermediary or is a party to the transaction, are, subject to certain exemptions provided for in the Swiss Federal Stamp Tax Act, subject to Swiss securities turnover tax at an aggregate tax rate of up to 0.15% of the consideration paid for such ADSs.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Automatic Exchange of Information in Tax Matters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spacing w:after="0" w:line="10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 EU member state or in a treaty state.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 changing the current direct-notification-based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05"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We are offering the ADSs described in this prospectus through a number of underwriters. J.P. Morgan Securities LLC, SVB Leerink LLC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1002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Kempen &amp; Co U.S.A., Inc.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r>
    </w:tbl>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ADSs directly to the public at the initial public offering price set forth on the cover page of this prospectus and to</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certain dealers at that price less a concession not in excess of $ per ADS. After the initial offering of the ADSs to the public, if all of the ADSs are not sold at the initial public offering price, the underwriters may change the offering price and the other selling terms. Sales of any ADSs made outside of the United States may be made by affiliates of the underwriters. The offering of the ADSs by the underwriters is subject to receipt and acceptance and subject to the underwriters’ right to reject any order in whole or in part.</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underwriters have an option to buy up to 450,000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0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 per share. The following table shows the per share and total underwriting discounts and commissions to be paid to the underwriters assuming both no exercise and full exercise of the underwriters’ option to purchase additional ADSs.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Without option to purchase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With full option to purchase</w:t>
            </w:r>
          </w:p>
        </w:tc>
      </w:tr>
      <w:tr>
        <w:trPr>
          <w:trHeight w:val="213"/>
        </w:trPr>
        <w:tc>
          <w:tcPr>
            <w:tcW w:w="71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r>
      <w:tr>
        <w:trPr>
          <w:trHeight w:val="253"/>
        </w:trPr>
        <w:tc>
          <w:tcPr>
            <w:tcW w:w="71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Per ADS</w:t>
            </w:r>
          </w:p>
        </w:tc>
        <w:tc>
          <w:tcPr>
            <w:tcW w:w="2040" w:type="dxa"/>
            <w:vAlign w:val="bottom"/>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855"/>
              <w:spacing w:after="0"/>
              <w:rPr>
                <w:sz w:val="20"/>
                <w:szCs w:val="20"/>
                <w:color w:val="auto"/>
              </w:rPr>
            </w:pPr>
            <w:r>
              <w:rPr>
                <w:rFonts w:ascii="Arial" w:cs="Arial" w:eastAsia="Arial" w:hAnsi="Arial"/>
                <w:sz w:val="18"/>
                <w:szCs w:val="18"/>
                <w:color w:val="auto"/>
                <w:w w:val="99"/>
              </w:rPr>
              <w:t>$</w:t>
            </w:r>
          </w:p>
        </w:tc>
      </w:tr>
      <w:tr>
        <w:trPr>
          <w:trHeight w:val="257"/>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$3.35 million. We have agreed to reimburse the underwriters for expenses relating to the clearance of this offering with the Financial Industry Regulatory Authority in an amount up to $30,000.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common shares or ADSs or securities convertible into or exercisable or exchangeable for any common shares or ADSs, or publicly disclose the intention to undertake any of the foregoing, or (ii) enter into any swap or other arrangement that transfers all or a portion of the economic consequences associated with the ownership of any common shares or ADSs or any such other securities (regardless of whether any of these transactions are to be settled by the delivery of common shares, ADSs or such other securities, in cash or otherwise), in each case without the prior written consent of J.P. Morgan Securities LLC, SVB Leerink LLC and Cowen and Company, LLC for a period of 90 days after the date of this prospectus, other than the ADSs to be sold in this offering subject to certain exceptions, including:</w:t>
      </w:r>
    </w:p>
    <w:p>
      <w:pPr>
        <w:spacing w:after="0" w:line="98" w:lineRule="exact"/>
        <w:rPr>
          <w:sz w:val="20"/>
          <w:szCs w:val="20"/>
          <w:color w:val="auto"/>
        </w:rPr>
      </w:pPr>
    </w:p>
    <w:p>
      <w:pPr>
        <w:ind w:left="340" w:right="60" w:hanging="332"/>
        <w:spacing w:after="0" w:line="263"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issuance of common shares or securities convertible into or exercisable for common shares pursuant to the conversion or exchange of convertible or exchangeable securities or the exercise of warrants or options (including net exercise) or the settlement of PSUs or RSUs (including net settlement), in each case outstanding on the date of the underwriting agreement and described in this prospectus;</w:t>
      </w:r>
    </w:p>
    <w:p>
      <w:pPr>
        <w:spacing w:after="0" w:line="116"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grants of stock options, stock awards, restricted stock, PSUs, RSUs, or other equity awards and the issuance of common shares or securities convertible into or exercisable or exchangeable for common shares (whether upon the exercise of stock options or otherwise) to the Company’s employees, officers, directors, advisors, or consultants pursuant to the terms of an equity compensation plan in effect as of the closing date of this offering and described in this prospectus;</w:t>
      </w:r>
    </w:p>
    <w:p>
      <w:pPr>
        <w:spacing w:after="0" w:line="105" w:lineRule="exact"/>
        <w:rPr>
          <w:rFonts w:ascii="Arial" w:cs="Arial" w:eastAsia="Arial" w:hAnsi="Arial"/>
          <w:sz w:val="18"/>
          <w:szCs w:val="18"/>
          <w:color w:val="auto"/>
        </w:rPr>
      </w:pPr>
    </w:p>
    <w:p>
      <w:pPr>
        <w:ind w:left="340" w:right="140" w:hanging="332"/>
        <w:spacing w:after="0" w:line="257"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facilitation of the establishment of a trading plan on behalf of a shareholder, officer or director of the Company pursuant to Rule 10b5-1 under the Exchange Act for the transfer or disposition of common shares or ADSs, provided that (i) such plan does not provide for the transfer or disposition of common shares or ADSs during the restricted period and (ii) no filing by any party under the Exchange Act (or equivalent thereof in non-U.S. jurisdictions), notification of a management transaction pursuant to the regulations of the SIX Swiss Exchange or other public announcement shall be required or made voluntarily in connection with such trading plan;</w:t>
      </w:r>
    </w:p>
    <w:p>
      <w:pPr>
        <w:spacing w:after="0" w:line="120" w:lineRule="exact"/>
        <w:rPr>
          <w:rFonts w:ascii="Arial" w:cs="Arial" w:eastAsia="Arial" w:hAnsi="Arial"/>
          <w:sz w:val="18"/>
          <w:szCs w:val="18"/>
          <w:color w:val="auto"/>
        </w:rPr>
      </w:pPr>
    </w:p>
    <w:p>
      <w:pPr>
        <w:ind w:left="340" w:right="80" w:hanging="332"/>
        <w:spacing w:after="0" w:line="290" w:lineRule="auto"/>
        <w:tabs>
          <w:tab w:leader="none" w:pos="33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sale or issuance of or entry into an agreement to sell or issue lock-up securities in connection with one or more mergers; acquisitions of securities, businesses, property or other assets, products or technologies; joint ventures; commercial relationships or other strategic corporate transactions or alliances; provided that the aggregate amounts of common shares, ADSs or any securities convertible into or exercisable or exchangeable for common shares or ADSs (on an as-converted, as-exercised or as-exchanged basis) that the Company may sell or issue or agree to sell or issue pursuant to this paragraph shall not exceed 10% of the total number of common shares or ADSs of the Company issued and outstanding immediately following the completion of the offering determined on a fully-diluted basis, and provided further that each recipient of common shares, ADSs or any securities convertible into or exercisable or exchangeable for common shares or ADSs pursuant to this clause shall execute a lock-up agreement substantially in the form of the lock-up agreement executed by our directors and officers with respect to the remaining portion of the restricted period.</w:t>
      </w:r>
    </w:p>
    <w:p>
      <w:pPr>
        <w:spacing w:after="0" w:line="98"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Our directors and executive officers, or the lock-up parties, have entered into lock</w:t>
      </w:r>
      <w:r>
        <w:rPr>
          <w:rFonts w:ascii="MS PGothic" w:cs="MS PGothic" w:eastAsia="MS PGothic" w:hAnsi="MS PGothic"/>
          <w:sz w:val="18"/>
          <w:szCs w:val="18"/>
          <w:color w:val="auto"/>
        </w:rPr>
        <w:t>‑</w:t>
      </w:r>
      <w:r>
        <w:rPr>
          <w:rFonts w:ascii="Arial" w:cs="Arial" w:eastAsia="Arial" w:hAnsi="Arial"/>
          <w:sz w:val="18"/>
          <w:szCs w:val="18"/>
          <w:color w:val="auto"/>
        </w:rPr>
        <w:t>up agreements with the underwriters prior to the commencement of this offering pursuant to which each lock-up party, for a period of 90 days after the date of this prospectus (such period, the “restricted period”), may not (and may not cause any of their direct or indirect affiliates to), without the prior written consent of J.P. Morgan Securities LLC, SVB Leerink LLC and Cowen and Company, LLC, (1) offer, pledge, sell, contract to sell, sell any option or contract to purchase, purchase any option or contract to sell, grant any option, right or warrant to purchase, lend, grant instruction rights (Weisungsrechte) pursuant to article 25 of the Swiss Federal Intermediated Securities Act or otherwise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dispose of, directly or indirectly, any shares of our common shares, ADSs or any securities convertible into or exercisable or exchangeable for our common shares or ADSs (including, without limitation, common shares, ADSs or such other securities which may be deemed to be beneficially owned by such lock-up parties in accordance with the rules and regulations of the SEC and securities which may be issued upon exercise of a stock option or warrant (collectively with the common shares and ADSs, the “lock-up securities”)), (2) enter into any hedging, swap or other agreement or transaction that transfers, in whole or in part, any of the economic consequences of ownership of the lock-up securities, whether any such transaction described in clause</w:t>
      </w:r>
    </w:p>
    <w:p>
      <w:pPr>
        <w:spacing w:after="0" w:line="2" w:lineRule="exact"/>
        <w:rPr>
          <w:sz w:val="20"/>
          <w:szCs w:val="20"/>
          <w:color w:val="auto"/>
        </w:rPr>
      </w:pPr>
    </w:p>
    <w:p>
      <w:pPr>
        <w:ind w:right="120" w:firstLine="8"/>
        <w:spacing w:after="0" w:line="268" w:lineRule="auto"/>
        <w:tabs>
          <w:tab w:leader="none" w:pos="25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in each case, subject to certain exceptions, including:</w:t>
      </w:r>
    </w:p>
    <w:p>
      <w:pPr>
        <w:spacing w:after="0" w:line="102"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as a bona fide gift or gifts, or for bona fide estate planning purposes;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by will, other testamentary document or intestacy;</w:t>
      </w:r>
    </w:p>
    <w:p>
      <w:pPr>
        <w:spacing w:after="0" w:line="157" w:lineRule="exact"/>
        <w:rPr>
          <w:rFonts w:ascii="Arial" w:cs="Arial" w:eastAsia="Arial" w:hAnsi="Arial"/>
          <w:sz w:val="18"/>
          <w:szCs w:val="18"/>
          <w:color w:val="auto"/>
        </w:rPr>
      </w:pPr>
    </w:p>
    <w:p>
      <w:pPr>
        <w:jc w:val="both"/>
        <w:ind w:left="340" w:right="120" w:hanging="332"/>
        <w:spacing w:after="0" w:line="286" w:lineRule="auto"/>
        <w:tabs>
          <w:tab w:leader="none" w:pos="33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transfers or dispositions of the lock-up securities to any trust for the direct or indirect benefit of the lock-up party or the immediate family of the lock-up party, or if the lock-up party is a trust, to a trustor or beneficiary of the trust or to the estate of a beneficiary of such trust (“immediate family” shall mean any relationship by blood, current or former marriage, domestic partnership or adoption, not more remote than first cousin);</w:t>
      </w:r>
    </w:p>
    <w:p>
      <w:pPr>
        <w:spacing w:after="0" w:line="84" w:lineRule="exact"/>
        <w:rPr>
          <w:rFonts w:ascii="Arial" w:cs="Arial" w:eastAsia="Arial" w:hAnsi="Arial"/>
          <w:sz w:val="17"/>
          <w:szCs w:val="17"/>
          <w:color w:val="auto"/>
        </w:rPr>
      </w:pPr>
    </w:p>
    <w:p>
      <w:pPr>
        <w:ind w:left="340" w:hanging="332"/>
        <w:spacing w:after="0" w:line="263"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a corporation, partnership, limited liability company, trust or other entity of which the lock-up party and/or one or more members of the immediate family of the lock-up party are, directly or indirectly, the legal and beneficial owner of all of the outstanding equity securities or similar interests;</w:t>
      </w:r>
    </w:p>
    <w:p>
      <w:pPr>
        <w:spacing w:after="0" w:line="116" w:lineRule="exact"/>
        <w:rPr>
          <w:rFonts w:ascii="Arial" w:cs="Arial" w:eastAsia="Arial" w:hAnsi="Arial"/>
          <w:sz w:val="18"/>
          <w:szCs w:val="18"/>
          <w:color w:val="auto"/>
        </w:rPr>
      </w:pPr>
    </w:p>
    <w:p>
      <w:pPr>
        <w:ind w:left="340" w:right="88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a nominee or custodian of a person or entity to whom a disposition or transfer would be permissible under the first through fourth bullets above;</w:t>
      </w:r>
    </w:p>
    <w:p>
      <w:pPr>
        <w:spacing w:after="0" w:line="102" w:lineRule="exact"/>
        <w:rPr>
          <w:rFonts w:ascii="Arial" w:cs="Arial" w:eastAsia="Arial" w:hAnsi="Arial"/>
          <w:sz w:val="18"/>
          <w:szCs w:val="18"/>
          <w:color w:val="auto"/>
        </w:rPr>
      </w:pPr>
    </w:p>
    <w:p>
      <w:pPr>
        <w:ind w:left="340" w:hanging="332"/>
        <w:spacing w:after="0" w:line="293"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transfers or dispositions of the lock-up securities if the lock-up party is a corporation, partnership, limited liability company, trust or other business entity, (i)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(ii) as part of a distribution or other transfer to general or limited partners, members or shareholders of, or other holders of equity in the lock-up party;</w:t>
      </w:r>
    </w:p>
    <w:p>
      <w:pPr>
        <w:spacing w:after="0" w:line="83" w:lineRule="exact"/>
        <w:rPr>
          <w:rFonts w:ascii="Arial" w:cs="Arial" w:eastAsia="Arial" w:hAnsi="Arial"/>
          <w:sz w:val="16"/>
          <w:szCs w:val="16"/>
          <w:color w:val="auto"/>
        </w:rPr>
      </w:pPr>
    </w:p>
    <w:p>
      <w:pPr>
        <w:ind w:left="340" w:right="4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by operation of law, such as pursuant to a qualified domestic order, divorce settlement, divorce decree or separation agreement;</w:t>
      </w:r>
    </w:p>
    <w:p>
      <w:pPr>
        <w:spacing w:after="0" w:line="102" w:lineRule="exact"/>
        <w:rPr>
          <w:rFonts w:ascii="Arial" w:cs="Arial" w:eastAsia="Arial" w:hAnsi="Arial"/>
          <w:sz w:val="18"/>
          <w:szCs w:val="18"/>
          <w:color w:val="auto"/>
        </w:rPr>
      </w:pPr>
    </w:p>
    <w:p>
      <w:pPr>
        <w:ind w:left="340" w:right="80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the Company from an employee of the Company upon death, disability or termination of employment, in each case, of such employee;</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as part of a sale of the lock-up party’s lock-up securities acquired in open market transactions after the closing date for this offering;</w:t>
      </w:r>
    </w:p>
    <w:p>
      <w:pPr>
        <w:spacing w:after="0" w:line="89"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or dispositions of the lock-up securities to the Company in connection with the vesting, settlement, or exercise of restricted share units, options, warrants or other rights to purchase shares of common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30"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ADSs (including, in each case, by way of “net” or “cashless” exercise), including for the payment of exercise price, nominal value, social security and tax and remittance payments due as a result of the vesting, settlement, or exercise of such restricted share units, options, warrants or rights, provided that any such shares of common shares or ADSs received upon such exercise, vesting or settlement shall be subject to the terms of the lock-up agreement, and provided further that any such restricted share units, options, warrants or rights are held by the lock-up party pursuant to an agreement or equity awards granted under a share incentive plan or other equity award plan or other arrangement, each such agreement, plan or other arrangement which is described in the registration statement, the pricing information set forth on Annex A of the underwriting agreement and this prospectus;</w:t>
      </w:r>
    </w:p>
    <w:p>
      <w:pPr>
        <w:spacing w:after="0" w:line="83" w:lineRule="exact"/>
        <w:rPr>
          <w:sz w:val="20"/>
          <w:szCs w:val="20"/>
          <w:color w:val="auto"/>
        </w:rPr>
      </w:pPr>
    </w:p>
    <w:p>
      <w:pPr>
        <w:ind w:left="340" w:right="40" w:hanging="332"/>
        <w:spacing w:after="0" w:line="272" w:lineRule="auto"/>
        <w:tabs>
          <w:tab w:leader="none" w:pos="33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transfers or dispositions of the lock-up securities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w:t>
      </w:r>
    </w:p>
    <w:p>
      <w:pPr>
        <w:spacing w:after="0" w:line="109" w:lineRule="exact"/>
        <w:rPr>
          <w:rFonts w:ascii="Arial" w:cs="Arial" w:eastAsia="Arial" w:hAnsi="Arial"/>
          <w:sz w:val="17"/>
          <w:szCs w:val="17"/>
          <w:color w:val="auto"/>
        </w:rPr>
      </w:pPr>
    </w:p>
    <w:p>
      <w:pPr>
        <w:ind w:left="340" w:right="100" w:hanging="332"/>
        <w:spacing w:after="0" w:line="257"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exercise of outstanding options, settlement of restricted share units or other equity awards or the exercise of warrants granted pursuant to plans or other equity compensation arrangements or exercise warrants, in each case described in the registration statement, the pricing information set forth on Annex A of the underwriting agreement and this prospectus; provided that any lock-up securities received upon such exercise, vesting or settlement shall be subject to the terms of the lock-up agreement and the respective transaction does not trigger a notification of a management transaction pursuant to the regulations of the SIX;</w:t>
      </w:r>
    </w:p>
    <w:p>
      <w:pPr>
        <w:spacing w:after="0" w:line="120" w:lineRule="exact"/>
        <w:rPr>
          <w:rFonts w:ascii="Arial" w:cs="Arial" w:eastAsia="Arial" w:hAnsi="Arial"/>
          <w:sz w:val="18"/>
          <w:szCs w:val="18"/>
          <w:color w:val="auto"/>
        </w:rPr>
      </w:pPr>
    </w:p>
    <w:p>
      <w:pPr>
        <w:jc w:val="both"/>
        <w:ind w:left="340" w:right="120" w:hanging="332"/>
        <w:spacing w:after="0" w:line="263"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deposit of common shares with the depositary, in exchange for the issuance of ADSs, or the cancellation of ADSs in exchange for the issuance of common shares; provided that such ADSs or common shares issued pursuant to this clause held by the lock-up party shall remain subject to the terms of the lock-up agreement;</w:t>
      </w:r>
    </w:p>
    <w:p>
      <w:pPr>
        <w:spacing w:after="0" w:line="102"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conversion of outstanding preferred stock, warrants to acquire preferred stock or convertible securities into common shares or ADSs or warrants to acquire common shares or ADSs; provided that any common shares or ADSs or warrants received upon such conversion shall be subject to the terms of the lock-up agreement and the respective transaction does not trigger a notification of a management transaction pursuant to the regulations of the SIX; and</w:t>
      </w:r>
    </w:p>
    <w:p>
      <w:pPr>
        <w:spacing w:after="0" w:line="119" w:lineRule="exact"/>
        <w:rPr>
          <w:rFonts w:ascii="Arial" w:cs="Arial" w:eastAsia="Arial" w:hAnsi="Arial"/>
          <w:sz w:val="18"/>
          <w:szCs w:val="18"/>
          <w:color w:val="auto"/>
        </w:rPr>
      </w:pPr>
    </w:p>
    <w:p>
      <w:pPr>
        <w:ind w:left="340" w:right="80" w:hanging="332"/>
        <w:spacing w:after="0" w:line="301"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establishment of trading plans pursuant to Rule 10b5-1 under the Exchange Act for the transfer or disposition of shares of lock-up securities; provided that (1) such plans do not provide for the transfer or disposition of lock-up securities during the restricted period and (2) no filing by any party under the Exchange Act (or equivalent thereof in non-U.S. jurisdictions), notification of a management transaction pursuant to the regulations of the SIX Swiss Exchange or other public announcement shall be required or made voluntarily in connection with such trading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in the case of any transfer, disposition or distribution:</w:t>
      </w:r>
    </w:p>
    <w:p>
      <w:pPr>
        <w:spacing w:after="0" w:line="144" w:lineRule="exact"/>
        <w:rPr>
          <w:sz w:val="20"/>
          <w:szCs w:val="20"/>
          <w:color w:val="auto"/>
        </w:rPr>
      </w:pPr>
    </w:p>
    <w:p>
      <w:pPr>
        <w:ind w:left="340" w:right="600" w:hanging="332"/>
        <w:spacing w:after="0" w:line="342" w:lineRule="auto"/>
        <w:tabs>
          <w:tab w:leader="none" w:pos="33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pursuant to the first through seventh bullets above, such transfer shall not involve a disposition for value and each donee, devisee, transferee or distributee shall execute and deliver to the representatives of the underwriters a lock-up letter in the form of the lock-up agreement;</w:t>
      </w:r>
    </w:p>
    <w:p>
      <w:pPr>
        <w:spacing w:after="0" w:line="56" w:lineRule="exact"/>
        <w:rPr>
          <w:rFonts w:ascii="Arial" w:cs="Arial" w:eastAsia="Arial" w:hAnsi="Arial"/>
          <w:sz w:val="16"/>
          <w:szCs w:val="16"/>
          <w:color w:val="auto"/>
        </w:rPr>
      </w:pPr>
    </w:p>
    <w:p>
      <w:pPr>
        <w:jc w:val="both"/>
        <w:ind w:left="340" w:right="120" w:hanging="332"/>
        <w:spacing w:after="0" w:line="311" w:lineRule="auto"/>
        <w:tabs>
          <w:tab w:leader="none" w:pos="33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made pursuant to the first, second, third, fourth, fifth, sixth or ninth bullets above, no filing by any party (donor, donee, devisee, transferor, transferee, distributer or distributee) under the Exchange Act (or equivalent thereof in non-U.S. jurisdictions), notification of a management transaction pursuant to the regulations of the SIX Swiss Exchange or other public announcement shall be required or shall be made voluntarily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20"/>
          </w:cols>
          <w:pgMar w:left="320" w:top="1440" w:right="359" w:bottom="1440" w:gutter="0" w:footer="0" w:header="0"/>
        </w:sectPr>
      </w:pPr>
    </w:p>
    <w:bookmarkStart w:id="245" w:name="page246"/>
    <w:bookmarkEnd w:id="245"/>
    <w:p>
      <w:pPr>
        <w:spacing w:after="0" w:line="130" w:lineRule="exact"/>
        <w:rPr>
          <w:sz w:val="20"/>
          <w:szCs w:val="20"/>
          <w:color w:val="auto"/>
        </w:rPr>
      </w:pPr>
    </w:p>
    <w:p>
      <w:pPr>
        <w:ind w:left="340" w:right="640"/>
        <w:spacing w:after="0" w:line="277" w:lineRule="auto"/>
        <w:rPr>
          <w:sz w:val="20"/>
          <w:szCs w:val="20"/>
          <w:color w:val="auto"/>
        </w:rPr>
      </w:pPr>
      <w:r>
        <w:rPr>
          <w:rFonts w:ascii="Arial" w:cs="Arial" w:eastAsia="Arial" w:hAnsi="Arial"/>
          <w:sz w:val="18"/>
          <w:szCs w:val="18"/>
          <w:color w:val="auto"/>
        </w:rPr>
        <w:t>transfer or distribution (other than a filing on a Form 5 under the Exchange Act (or equivalent thereof in non-U.S. jurisdictions) made after the expiration of the restricted period referred to above); and</w:t>
      </w:r>
    </w:p>
    <w:p>
      <w:pPr>
        <w:spacing w:after="0" w:line="89" w:lineRule="exact"/>
        <w:rPr>
          <w:sz w:val="20"/>
          <w:szCs w:val="20"/>
          <w:color w:val="auto"/>
        </w:rPr>
      </w:pPr>
    </w:p>
    <w:p>
      <w:pPr>
        <w:ind w:left="340" w:right="60" w:hanging="332"/>
        <w:spacing w:after="0" w:line="257" w:lineRule="auto"/>
        <w:tabs>
          <w:tab w:leader="none" w:pos="3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the seventh, eighth and tenth bullets above, it shall be a condition to such transfer that no public filing, report or announcement shall be voluntarily made and if any filing under Section 16(a) of the Exchange Act (or equivalent thereof in non-U.S. jurisdictions), or other public filing, report or announcement reporting a reduction in beneficial ownership of common shares or ADSs in connection with such transfer or distribution shall be legally required during the restricted period, such filing, report or announcement shall clearly indicate in the footnotes thereto the nature and conditions of such transfer.</w:t>
      </w:r>
    </w:p>
    <w:p>
      <w:pPr>
        <w:spacing w:after="0" w:line="1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J.P. Morgan Securities LLC, SVB Leerink LLC and Cowen and Company, LLC, in their sole discretion, may release the securities subject to any of the lock-up agreements with the underwriters described above, in whole or in part at any time.</w:t>
      </w:r>
    </w:p>
    <w:p>
      <w:pPr>
        <w:spacing w:after="0" w:line="103" w:lineRule="exact"/>
        <w:rPr>
          <w:sz w:val="20"/>
          <w:szCs w:val="20"/>
          <w:color w:val="auto"/>
        </w:rPr>
      </w:pPr>
    </w:p>
    <w:p>
      <w:pPr>
        <w:ind w:right="2180"/>
        <w:spacing w:after="0" w:line="439"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We have applied to have our ADSs approved for listing on Nasdaq Global Market under the symbol “MOLN.”</w:t>
      </w:r>
    </w:p>
    <w:p>
      <w:pPr>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ADSs in the open market to cover the position.</w:t>
      </w:r>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ADSs as part of this offering to repay the underwriting discount received by them.</w:t>
      </w:r>
    </w:p>
    <w:p>
      <w:pPr>
        <w:spacing w:after="0" w:line="90"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Market, in the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market or otherwise. Prior to this offering, there was no public market for our ADSs. In determining the offering price, we and the representatives of the underwriters expect to consider a number of factors including:</w:t>
      </w:r>
    </w:p>
    <w:p>
      <w:pPr>
        <w:spacing w:after="0" w:line="137"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price of our common shares in connection with our existing listing on SIX Swiss Exchange;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30" w:lineRule="exact"/>
        <w:rPr>
          <w:sz w:val="20"/>
          <w:szCs w:val="20"/>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ordinary shares and ADSs of generally comparable companies;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ADSs, or that the ADSs will trade in the public market at or above the initial public offering price.</w:t>
      </w:r>
    </w:p>
    <w:p>
      <w:pPr>
        <w:spacing w:after="0" w:line="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addition, an affiliate of Kempen &amp; Co U.S.A., Inc., an underwriter in this offering, provides us from time to time with market making services to facilitate liquidity for our securities traded on the SIX Swiss Exchange.</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European Economic Area</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20"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ADSs shall require the Issuer or any underwriter to publish a prospectus pursuant to Article 3 of the Prospectus Regulation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Prospectus Regulation and each person who initially acquires any ADSs or to whom any offer is made will be deemed to have represented, acknowledged and agreed to and with each of the underwriters and the Issuer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13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resale in a Relevant State to qualified investors as so defined or in circumstances in which the prior consent of the underwriters has been obtained to each such proposed offer or resale.</w:t>
      </w:r>
    </w:p>
    <w:p>
      <w:pPr>
        <w:spacing w:after="0" w:line="8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15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103"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ADSs shall require the Issuer or any underwriter to publish a prospectus pursuant to Section 85 of the FSMA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ADSs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ADSs are not being publicly offered in Switzerland and will not be listed on any trading venue (i.e., exchange or multilateral trading facility) in Switzerland.</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common shares underlying the ADSs will be listed on the SIX Swiss Exchange. In connection with this listing, this document constitutes a foreign prospectus within the meaning of article 54 paras. 2 and 3 of the Swiss Financial Services Act of June 15, 2018 (“FinSA”) and article 70 paras. 2-4 of the Swiss Financial Services Ordinance of November 6, 2019 (“FinSO”).</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94" w:lineRule="exact"/>
        <w:rPr>
          <w:sz w:val="20"/>
          <w:szCs w:val="20"/>
          <w:color w:val="auto"/>
        </w:rPr>
      </w:pPr>
    </w:p>
    <w:p>
      <w:pPr>
        <w:ind w:left="340" w:right="100" w:hanging="332"/>
        <w:spacing w:after="0" w:line="277" w:lineRule="auto"/>
        <w:tabs>
          <w:tab w:leader="none" w:pos="3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02"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58" w:lineRule="exact"/>
        <w:rPr>
          <w:sz w:val="20"/>
          <w:szCs w:val="20"/>
          <w:color w:val="auto"/>
        </w:rPr>
      </w:pPr>
    </w:p>
    <w:p>
      <w:pPr>
        <w:ind w:left="340" w:right="380" w:hanging="332"/>
        <w:spacing w:after="0" w:line="277" w:lineRule="auto"/>
        <w:tabs>
          <w:tab w:leader="none" w:pos="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00"/>
          </w:cols>
          <w:pgMar w:left="320" w:top="1440" w:right="379" w:bottom="1440" w:gutter="0" w:footer="0" w:header="0"/>
        </w:sectPr>
      </w:pPr>
    </w:p>
    <w:bookmarkStart w:id="249" w:name="page250"/>
    <w:bookmarkEnd w:id="249"/>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six months after that corporation or that trust has acquired the ADSs pursuant to an offer made under Section 275 of the SFA except:</w:t>
      </w:r>
    </w:p>
    <w:p>
      <w:pPr>
        <w:spacing w:after="0" w:line="144" w:lineRule="exact"/>
        <w:rPr>
          <w:sz w:val="20"/>
          <w:szCs w:val="20"/>
          <w:color w:val="auto"/>
        </w:rPr>
      </w:pPr>
    </w:p>
    <w:p>
      <w:pPr>
        <w:ind w:left="340" w:right="180" w:hanging="332"/>
        <w:spacing w:after="0" w:line="277" w:lineRule="auto"/>
        <w:tabs>
          <w:tab w:leader="none" w:pos="3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840" w:hanging="332"/>
        <w:spacing w:after="0" w:line="277" w:lineRule="auto"/>
        <w:tabs>
          <w:tab w:leader="none" w:pos="3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ADSs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ADSs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00"/>
          </w:cols>
          <w:pgMar w:left="320" w:top="1440" w:right="379" w:bottom="1440" w:gutter="0" w:footer="0" w:header="0"/>
        </w:sectPr>
      </w:pPr>
    </w:p>
    <w:bookmarkStart w:id="251" w:name="page252"/>
    <w:bookmarkEnd w:id="25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validity of the common shares and ADSs and certain other matters of Swiss law, including matters of Swiss income tax law, will be passed upon for us by Homburger AG, Zurich, Switzerland. Certain matters of U.S. federal law will be passed upon for us by Cooley LLP, New York, New York. The underwriters are being represented by Advestra AG, Zurich, Switzerland, with respect to Swiss law and Davis Polk &amp; Wardwell LLP, New York, New York, with respect to U.S.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80"/>
          </w:cols>
          <w:pgMar w:left="320" w:top="1440" w:right="399" w:bottom="1440" w:gutter="0" w:footer="0" w:header="0"/>
        </w:sectPr>
      </w:pPr>
    </w:p>
    <w:bookmarkStart w:id="252" w:name="page253"/>
    <w:bookmarkEnd w:id="25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Molecular Partners AG and its subsidiary as of December 31, 2020 and 2019 and for each of the years in the two-year period ended December 31, 2020 have been included herein in reliance upon the report of KPMG AG,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1440" w:right="439" w:bottom="1440" w:gutter="0" w:footer="0" w:header="0"/>
        </w:sectPr>
      </w:pPr>
    </w:p>
    <w:bookmarkStart w:id="253" w:name="page254"/>
    <w:bookmarkEnd w:id="25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ENFORCEMENT OF CIVIL LIABILITIES</w:t>
      </w:r>
    </w:p>
    <w:p>
      <w:pPr>
        <w:spacing w:after="0" w:line="3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a corporation organized and incorporated under the laws of Switzerland with registered office and domicile in Schlieren, Switzerland, and the majority of our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w:t>
      </w:r>
    </w:p>
    <w:p>
      <w:pPr>
        <w:spacing w:after="0" w:line="1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However, if a person has obtained a final and conclusive judgment rendered by a U.S. court that is enforceable in the United States and files a claim with the competent Swiss court, such final judgment by a U.S. court may be recognized in Switzerland in an action before a court of competent jurisdiction in accordance with the proceedings set forth by the Swiss Federal Act on International Private Law (</w:t>
      </w:r>
      <w:r>
        <w:rPr>
          <w:rFonts w:ascii="Arial" w:cs="Arial" w:eastAsia="Arial" w:hAnsi="Arial"/>
          <w:sz w:val="16"/>
          <w:szCs w:val="16"/>
          <w:i w:val="1"/>
          <w:iCs w:val="1"/>
          <w:color w:val="auto"/>
        </w:rPr>
        <w:t>Bundesgesetz über das internationale Privatrecht</w:t>
      </w:r>
      <w:r>
        <w:rPr>
          <w:rFonts w:ascii="Arial" w:cs="Arial" w:eastAsia="Arial" w:hAnsi="Arial"/>
          <w:sz w:val="16"/>
          <w:szCs w:val="16"/>
          <w:color w:val="auto"/>
        </w:rPr>
        <w:t>) and the Swiss Federal Act on Civil Procedure (</w:t>
      </w:r>
      <w:r>
        <w:rPr>
          <w:rFonts w:ascii="Arial" w:cs="Arial" w:eastAsia="Arial" w:hAnsi="Arial"/>
          <w:sz w:val="16"/>
          <w:szCs w:val="16"/>
          <w:i w:val="1"/>
          <w:iCs w:val="1"/>
          <w:color w:val="auto"/>
        </w:rPr>
        <w:t>Schweizerische Zivilprozessordnung</w:t>
      </w:r>
      <w:r>
        <w:rPr>
          <w:rFonts w:ascii="Arial" w:cs="Arial" w:eastAsia="Arial" w:hAnsi="Arial"/>
          <w:sz w:val="16"/>
          <w:szCs w:val="16"/>
          <w:color w:val="auto"/>
        </w:rPr>
        <w:t>) and, in certain circumstances, the Swiss Federal Act on Debt Collection and Bankruptcy (</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In such an action, a Swiss court generally would not reinvestigate the merits of the original matter decided by a U.S. court. The recognition and enforcement of a U.S. judgment by a Swiss court would be conditional upon a number of conditions including those set out in articles 25 et seqq. of the Swiss Federal Act on International Private Law, which include, among others:</w:t>
      </w:r>
    </w:p>
    <w:p>
      <w:pPr>
        <w:spacing w:after="0" w:line="99" w:lineRule="exact"/>
        <w:rPr>
          <w:sz w:val="20"/>
          <w:szCs w:val="20"/>
          <w:color w:val="auto"/>
        </w:rPr>
      </w:pPr>
    </w:p>
    <w:p>
      <w:pPr>
        <w:ind w:left="320" w:hanging="31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U.S. court having had jurisdiction over the original proceedings from a Swiss perspective;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judgment of such U.S. court being final and non-appealable under U.S. federal or state law;</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service of process to the defendant having been completed in accordance with the relevant legal requirements at the defendant’s domicile or permanent residence (including requirements resulting from applicable international treaties), or the defendant having unconditionally participated in the foreign proceedings;</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original proceeding not having been conducted under a violation of material principles of Swiss civil proceedings law, in particular the right to be heard;</w:t>
      </w:r>
    </w:p>
    <w:p>
      <w:pPr>
        <w:spacing w:after="0" w:line="89" w:lineRule="exact"/>
        <w:rPr>
          <w:rFonts w:ascii="Arial" w:cs="Arial" w:eastAsia="Arial" w:hAnsi="Arial"/>
          <w:sz w:val="18"/>
          <w:szCs w:val="18"/>
          <w:color w:val="auto"/>
        </w:rPr>
      </w:pPr>
    </w:p>
    <w:p>
      <w:pPr>
        <w:ind w:left="340" w:hanging="332"/>
        <w:spacing w:after="0" w:line="279" w:lineRule="auto"/>
        <w:tabs>
          <w:tab w:leader="none" w:pos="33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matter (</w:t>
      </w:r>
      <w:r>
        <w:rPr>
          <w:rFonts w:ascii="Arial" w:cs="Arial" w:eastAsia="Arial" w:hAnsi="Arial"/>
          <w:sz w:val="17"/>
          <w:szCs w:val="17"/>
          <w:i w:val="1"/>
          <w:iCs w:val="1"/>
          <w:color w:val="auto"/>
        </w:rPr>
        <w:t>Verfahren</w:t>
      </w:r>
      <w:r>
        <w:rPr>
          <w:rFonts w:ascii="Arial" w:cs="Arial" w:eastAsia="Arial" w:hAnsi="Arial"/>
          <w:sz w:val="17"/>
          <w:szCs w:val="17"/>
          <w:color w:val="auto"/>
        </w:rPr>
        <w:t>) between the same parties and on the same subject resulting in the judgment of the U.S. court not having been (i)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enforcement of the judgment by the U.S. court not being manifestly incompatible with Swiss public policy (</w:t>
      </w:r>
      <w:r>
        <w:rPr>
          <w:rFonts w:ascii="Arial" w:cs="Arial" w:eastAsia="Arial" w:hAnsi="Arial"/>
          <w:sz w:val="17"/>
          <w:szCs w:val="17"/>
          <w:i w:val="1"/>
          <w:iCs w:val="1"/>
          <w:color w:val="auto"/>
        </w:rPr>
        <w:t>schweizerischer Ordre public</w:t>
      </w:r>
      <w:r>
        <w:rPr>
          <w:rFonts w:ascii="Arial" w:cs="Arial" w:eastAsia="Arial" w:hAnsi="Arial"/>
          <w:sz w:val="17"/>
          <w:szCs w:val="17"/>
          <w:color w:val="auto"/>
        </w:rPr>
        <w:t>).</w:t>
      </w:r>
    </w:p>
    <w:p>
      <w:pPr>
        <w:spacing w:after="0" w:line="16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Original actions against persons in Switzerland based solely upon the U.S. federal or state securities laws are governed, among other things, by the principles set forth in the Swiss Federal Act on International Private Law.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3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Arial" w:cs="Arial" w:eastAsia="Arial" w:hAnsi="Arial"/>
          <w:sz w:val="18"/>
          <w:szCs w:val="18"/>
          <w:i w:val="1"/>
          <w:iCs w:val="1"/>
          <w:color w:val="auto"/>
        </w:rPr>
        <w:t>vorsorgliche Beweisführung</w:t>
      </w:r>
      <w:r>
        <w:rPr>
          <w:rFonts w:ascii="Arial" w:cs="Arial" w:eastAsia="Arial" w:hAnsi="Arial"/>
          <w:sz w:val="18"/>
          <w:szCs w:val="18"/>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agent for service of process in the United States is Molecular Partners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60"/>
          </w:cols>
          <w:pgMar w:left="320" w:top="1440" w:right="419" w:bottom="1440" w:gutter="0" w:footer="0" w:header="0"/>
        </w:sectPr>
      </w:pPr>
    </w:p>
    <w:bookmarkStart w:id="255" w:name="page256"/>
    <w:bookmarkEnd w:id="25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EXPENSES RELATED TO THIS OFFERING</w:t>
      </w: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ADSs in this offering. With the exception of the registration fee payable to the SEC and the filing fee payable to FINRA, all amounts are estimates.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38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 to be paid</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145,000</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3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280,240</w:t>
            </w:r>
          </w:p>
        </w:tc>
      </w:tr>
      <w:tr>
        <w:trPr>
          <w:trHeight w:val="234"/>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filed with the SEC a registration statement on Form F-1 under the Securities Act with respect to the ADSs offered hereby. This prospectus, which constitutes a part of the registration statement, does not contain all of the information set forth in the registration statement or the exhibits and schedules filed therewith. For further information with respect to us and the ADSs offered hereby, please refer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completion of this offering, we will be subject to periodic reporting and other informational requirements of the Exchange Act as applicable to foreign private issuers. Accordingly, we are required to file reports, including annual reports on Form 20-F, and other information with the SEC. We are not required to prepare and issue quarterly reports as a foreign private issuer. As a foreign private issuer, we are exempt from the rules of the Exchange Act prescribing the furnishing and content of proxy statements to shareholders and Section 16 short-swing profit reporting for our officers, directors and holders of more than 10% of our common shares. In addition, we will not be required under the Exchange Act to file periodic reports and financial statements with the SEC as frequently or as promptly as U.S. companies whose securities are registered under the Exchange Act.</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a corporate website at www.molecularpartners.com. Information contained on, or that can be accessed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13" w:lineRule="exact"/>
        <w:rPr>
          <w:sz w:val="20"/>
          <w:szCs w:val="20"/>
          <w:color w:val="auto"/>
        </w:rPr>
      </w:pPr>
    </w:p>
    <w:p>
      <w:pPr>
        <w:ind w:right="2200"/>
        <w:spacing w:after="0" w:line="520" w:lineRule="auto"/>
        <w:rPr>
          <w:sz w:val="20"/>
          <w:szCs w:val="20"/>
          <w:color w:val="auto"/>
        </w:rPr>
      </w:pPr>
      <w:r>
        <w:rPr>
          <w:rFonts w:ascii="Arial" w:cs="Arial" w:eastAsia="Arial" w:hAnsi="Arial"/>
          <w:sz w:val="26"/>
          <w:szCs w:val="26"/>
          <w:b w:val="1"/>
          <w:bCs w:val="1"/>
          <w:color w:val="auto"/>
        </w:rPr>
        <w:t>Index to the Consolidated Financial Statements and the Condensed Consolidated Interim Financial Statements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2020 and December 31, 2019</w:t>
      </w:r>
    </w:p>
    <w:p>
      <w:pPr>
        <w:spacing w:after="0" w:line="270" w:lineRule="exact"/>
        <w:rPr>
          <w:sz w:val="20"/>
          <w:szCs w:val="20"/>
          <w:color w:val="auto"/>
        </w:rPr>
      </w:pPr>
    </w:p>
    <w:p>
      <w:pPr>
        <w:ind w:left="20"/>
        <w:spacing w:after="0"/>
        <w:rPr>
          <w:rFonts w:ascii="Arial" w:cs="Arial" w:eastAsia="Arial" w:hAnsi="Arial"/>
          <w:sz w:val="18"/>
          <w:szCs w:val="18"/>
          <w:u w:val="single" w:color="auto"/>
          <w:color w:val="0000FF"/>
        </w:rPr>
      </w:pPr>
      <w:hyperlink w:anchor="page259">
        <w:r>
          <w:rPr>
            <w:rFonts w:ascii="Arial" w:cs="Arial" w:eastAsia="Arial" w:hAnsi="Arial"/>
            <w:sz w:val="18"/>
            <w:szCs w:val="18"/>
            <w:u w:val="single" w:color="auto"/>
            <w:color w:val="0000FF"/>
          </w:rPr>
          <w:t>Report of Independent Registered Public Accounting Firm</w:t>
        </w:r>
      </w:hyperlink>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260">
        <w:r>
          <w:rPr>
            <w:rFonts w:ascii="Arial" w:cs="Arial" w:eastAsia="Arial" w:hAnsi="Arial"/>
            <w:sz w:val="18"/>
            <w:szCs w:val="18"/>
            <w:u w:val="single" w:color="auto"/>
            <w:color w:val="0000FF"/>
          </w:rPr>
          <w:t>Consolidated Statement of Financial Position as of December 31, 2020 and 2019</w:t>
        </w:r>
      </w:hyperlink>
    </w:p>
    <w:p>
      <w:pPr>
        <w:spacing w:after="0" w:line="50" w:lineRule="exact"/>
        <w:rPr>
          <w:sz w:val="20"/>
          <w:szCs w:val="20"/>
          <w:color w:val="auto"/>
        </w:rPr>
      </w:pPr>
    </w:p>
    <w:p>
      <w:pPr>
        <w:ind w:left="20" w:right="3360"/>
        <w:spacing w:after="0" w:line="334" w:lineRule="auto"/>
        <w:rPr>
          <w:rFonts w:ascii="Arial" w:cs="Arial" w:eastAsia="Arial" w:hAnsi="Arial"/>
          <w:sz w:val="16"/>
          <w:szCs w:val="16"/>
          <w:u w:val="single" w:color="auto"/>
          <w:color w:val="0000FF"/>
        </w:rPr>
      </w:pPr>
      <w:hyperlink w:anchor="page261">
        <w:r>
          <w:rPr>
            <w:rFonts w:ascii="Arial" w:cs="Arial" w:eastAsia="Arial" w:hAnsi="Arial"/>
            <w:sz w:val="16"/>
            <w:szCs w:val="16"/>
            <w:u w:val="single" w:color="auto"/>
            <w:color w:val="0000FF"/>
          </w:rPr>
          <w:t>Consolidated Statement of Comprehensive Loss for the years ended December 31, 2020 and 2019</w:t>
        </w:r>
      </w:hyperlink>
      <w:r>
        <w:rPr>
          <w:rFonts w:ascii="Arial" w:cs="Arial" w:eastAsia="Arial" w:hAnsi="Arial"/>
          <w:sz w:val="16"/>
          <w:szCs w:val="16"/>
          <w:u w:val="single" w:color="auto"/>
          <w:color w:val="0000FF"/>
        </w:rPr>
        <w:t xml:space="preserve"> </w:t>
      </w:r>
      <w:hyperlink w:anchor="page262">
        <w:r>
          <w:rPr>
            <w:rFonts w:ascii="Arial" w:cs="Arial" w:eastAsia="Arial" w:hAnsi="Arial"/>
            <w:sz w:val="16"/>
            <w:szCs w:val="16"/>
            <w:u w:val="single" w:color="auto"/>
            <w:color w:val="0000FF"/>
          </w:rPr>
          <w:t>Consolidated Statement of Cash Flows for the years ended December 31, 2020 and 2019</w:t>
        </w:r>
      </w:hyperlink>
    </w:p>
    <w:p>
      <w:pPr>
        <w:spacing w:after="0" w:line="1" w:lineRule="exact"/>
        <w:rPr>
          <w:sz w:val="20"/>
          <w:szCs w:val="20"/>
          <w:color w:val="auto"/>
        </w:rPr>
      </w:pPr>
    </w:p>
    <w:p>
      <w:pPr>
        <w:ind w:left="20" w:right="3540"/>
        <w:spacing w:after="0" w:line="324" w:lineRule="auto"/>
        <w:rPr>
          <w:rFonts w:ascii="Arial" w:cs="Arial" w:eastAsia="Arial" w:hAnsi="Arial"/>
          <w:sz w:val="18"/>
          <w:szCs w:val="18"/>
          <w:u w:val="single" w:color="auto"/>
          <w:color w:val="0000FF"/>
        </w:rPr>
      </w:pPr>
      <w:hyperlink w:anchor="page263">
        <w:r>
          <w:rPr>
            <w:rFonts w:ascii="Arial" w:cs="Arial" w:eastAsia="Arial" w:hAnsi="Arial"/>
            <w:sz w:val="18"/>
            <w:szCs w:val="18"/>
            <w:u w:val="single" w:color="auto"/>
            <w:color w:val="0000FF"/>
          </w:rPr>
          <w:t>Consolidated Statement of Changes in Equity for the years ended December 31, 2020 and 2019</w:t>
        </w:r>
      </w:hyperlink>
      <w:r>
        <w:rPr>
          <w:rFonts w:ascii="Arial" w:cs="Arial" w:eastAsia="Arial" w:hAnsi="Arial"/>
          <w:sz w:val="18"/>
          <w:szCs w:val="18"/>
          <w:u w:val="single" w:color="auto"/>
          <w:color w:val="0000FF"/>
        </w:rPr>
        <w:t xml:space="preserve"> </w:t>
      </w:r>
      <w:hyperlink w:anchor="page264">
        <w:r>
          <w:rPr>
            <w:rFonts w:ascii="Arial" w:cs="Arial" w:eastAsia="Arial" w:hAnsi="Arial"/>
            <w:sz w:val="18"/>
            <w:szCs w:val="18"/>
            <w:u w:val="single" w:color="auto"/>
            <w:color w:val="0000FF"/>
          </w:rPr>
          <w:t>Notes to the Consolidated Financial Statements</w:t>
        </w:r>
      </w:hyperlink>
    </w:p>
    <w:p>
      <w:pPr>
        <w:spacing w:after="0" w:line="193"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Condensed Consolidated Interim Financial Statements as of and for the three month periods ended March 31, 2021 and March 31, 2020 (unaudited)</w:t>
      </w:r>
    </w:p>
    <w:p>
      <w:pPr>
        <w:spacing w:after="0" w:line="243" w:lineRule="exact"/>
        <w:rPr>
          <w:sz w:val="20"/>
          <w:szCs w:val="20"/>
          <w:color w:val="auto"/>
        </w:rPr>
      </w:pPr>
    </w:p>
    <w:p>
      <w:pPr>
        <w:ind w:left="20" w:right="1660"/>
        <w:spacing w:after="0" w:line="342" w:lineRule="auto"/>
        <w:rPr>
          <w:rFonts w:ascii="Arial" w:cs="Arial" w:eastAsia="Arial" w:hAnsi="Arial"/>
          <w:sz w:val="17"/>
          <w:szCs w:val="17"/>
          <w:u w:val="single" w:color="auto"/>
          <w:color w:val="0000FF"/>
        </w:rPr>
      </w:pPr>
      <w:hyperlink w:anchor="page301">
        <w:r>
          <w:rPr>
            <w:rFonts w:ascii="Arial" w:cs="Arial" w:eastAsia="Arial" w:hAnsi="Arial"/>
            <w:sz w:val="17"/>
            <w:szCs w:val="17"/>
            <w:u w:val="single" w:color="auto"/>
            <w:color w:val="0000FF"/>
          </w:rPr>
          <w:t>Condensed Consolidated Interim Statement of Financial Position as of March 31, 2021 and December 31, 2020</w:t>
        </w:r>
      </w:hyperlink>
      <w:r>
        <w:rPr>
          <w:rFonts w:ascii="Arial" w:cs="Arial" w:eastAsia="Arial" w:hAnsi="Arial"/>
          <w:sz w:val="17"/>
          <w:szCs w:val="17"/>
          <w:u w:val="single" w:color="auto"/>
          <w:color w:val="0000FF"/>
        </w:rPr>
        <w:t xml:space="preserve"> </w:t>
      </w:r>
      <w:hyperlink w:anchor="page301">
        <w:r>
          <w:rPr>
            <w:rFonts w:ascii="Arial" w:cs="Arial" w:eastAsia="Arial" w:hAnsi="Arial"/>
            <w:sz w:val="17"/>
            <w:szCs w:val="17"/>
            <w:u w:val="single" w:color="auto"/>
            <w:color w:val="0000FF"/>
          </w:rPr>
          <w:t>Condensed Consolidated Interim Statement of Comprehensive Loss for the three months ended March 31, 2021 and 2020</w:t>
        </w:r>
      </w:hyperlink>
      <w:r>
        <w:rPr>
          <w:rFonts w:ascii="Arial" w:cs="Arial" w:eastAsia="Arial" w:hAnsi="Arial"/>
          <w:sz w:val="17"/>
          <w:szCs w:val="17"/>
          <w:u w:val="single" w:color="auto"/>
          <w:color w:val="0000FF"/>
        </w:rPr>
        <w:t xml:space="preserve"> </w:t>
      </w:r>
      <w:hyperlink w:anchor="page302">
        <w:r>
          <w:rPr>
            <w:rFonts w:ascii="Arial" w:cs="Arial" w:eastAsia="Arial" w:hAnsi="Arial"/>
            <w:sz w:val="17"/>
            <w:szCs w:val="17"/>
            <w:u w:val="single" w:color="auto"/>
            <w:color w:val="0000FF"/>
          </w:rPr>
          <w:t>Condensed Consolidated Interim Statement of Cash Flows for the three months ended March 31, 2021 and 2020</w:t>
        </w:r>
      </w:hyperlink>
      <w:r>
        <w:rPr>
          <w:rFonts w:ascii="Arial" w:cs="Arial" w:eastAsia="Arial" w:hAnsi="Arial"/>
          <w:sz w:val="17"/>
          <w:szCs w:val="17"/>
          <w:u w:val="single" w:color="auto"/>
          <w:color w:val="0000FF"/>
        </w:rPr>
        <w:t xml:space="preserve"> </w:t>
      </w:r>
      <w:hyperlink w:anchor="page303">
        <w:r>
          <w:rPr>
            <w:rFonts w:ascii="Arial" w:cs="Arial" w:eastAsia="Arial" w:hAnsi="Arial"/>
            <w:sz w:val="17"/>
            <w:szCs w:val="17"/>
            <w:u w:val="single" w:color="auto"/>
            <w:color w:val="0000FF"/>
          </w:rPr>
          <w:t>Condensed Consolidated Interim Statement of Changes in Equity for the three months ended March 31, 2021 and 2020</w:t>
        </w:r>
      </w:hyperlink>
      <w:r>
        <w:rPr>
          <w:rFonts w:ascii="Arial" w:cs="Arial" w:eastAsia="Arial" w:hAnsi="Arial"/>
          <w:sz w:val="17"/>
          <w:szCs w:val="17"/>
          <w:u w:val="single" w:color="auto"/>
          <w:color w:val="0000FF"/>
        </w:rPr>
        <w:t xml:space="preserve"> </w:t>
      </w:r>
      <w:hyperlink w:anchor="page304">
        <w:r>
          <w:rPr>
            <w:rFonts w:ascii="Arial" w:cs="Arial" w:eastAsia="Arial" w:hAnsi="Arial"/>
            <w:sz w:val="17"/>
            <w:szCs w:val="17"/>
            <w:u w:val="single" w:color="auto"/>
            <w:color w:val="0000FF"/>
          </w:rPr>
          <w:t>Explanatory Notes to the Condensed Consolidated Interim Financial Statements</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0" w:lineRule="exact"/>
        <w:rPr>
          <w:rFonts w:ascii="Arial" w:cs="Arial" w:eastAsia="Arial" w:hAnsi="Arial"/>
          <w:sz w:val="17"/>
          <w:szCs w:val="17"/>
          <w:u w:val="single" w:color="auto"/>
          <w:color w:val="0000FF"/>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8"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59">
        <w:r>
          <w:rPr>
            <w:rFonts w:ascii="Arial" w:cs="Arial" w:eastAsia="Arial" w:hAnsi="Arial"/>
            <w:sz w:val="18"/>
            <w:szCs w:val="18"/>
            <w:u w:val="single" w:color="auto"/>
            <w:color w:val="auto"/>
          </w:rPr>
          <w:t>2</w:t>
        </w:r>
      </w:hyperlink>
    </w:p>
    <w:p>
      <w:pPr>
        <w:spacing w:after="0" w:line="6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60">
        <w:r>
          <w:rPr>
            <w:rFonts w:ascii="Arial" w:cs="Arial" w:eastAsia="Arial" w:hAnsi="Arial"/>
            <w:sz w:val="18"/>
            <w:szCs w:val="18"/>
            <w:u w:val="single" w:color="auto"/>
            <w:color w:val="auto"/>
          </w:rPr>
          <w:t>4</w:t>
        </w:r>
      </w:hyperlink>
    </w:p>
    <w:p>
      <w:pPr>
        <w:spacing w:after="0" w:line="2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61">
        <w:r>
          <w:rPr>
            <w:rFonts w:ascii="Arial" w:cs="Arial" w:eastAsia="Arial" w:hAnsi="Arial"/>
            <w:sz w:val="18"/>
            <w:szCs w:val="18"/>
            <w:u w:val="single" w:color="auto"/>
            <w:color w:val="auto"/>
          </w:rPr>
          <w:t>5</w:t>
        </w:r>
      </w:hyperlink>
    </w:p>
    <w:p>
      <w:pPr>
        <w:spacing w:after="0" w:line="62"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62">
        <w:r>
          <w:rPr>
            <w:rFonts w:ascii="Arial" w:cs="Arial" w:eastAsia="Arial" w:hAnsi="Arial"/>
            <w:sz w:val="18"/>
            <w:szCs w:val="18"/>
            <w:u w:val="single" w:color="auto"/>
            <w:color w:val="auto"/>
          </w:rPr>
          <w:t>6</w:t>
        </w:r>
      </w:hyperlink>
    </w:p>
    <w:p>
      <w:pPr>
        <w:spacing w:after="0" w:line="6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63">
        <w:r>
          <w:rPr>
            <w:rFonts w:ascii="Arial" w:cs="Arial" w:eastAsia="Arial" w:hAnsi="Arial"/>
            <w:sz w:val="18"/>
            <w:szCs w:val="18"/>
            <w:u w:val="single" w:color="auto"/>
            <w:color w:val="auto"/>
          </w:rPr>
          <w:t>7</w:t>
        </w:r>
      </w:hyperlink>
    </w:p>
    <w:p>
      <w:pPr>
        <w:spacing w:after="0" w:line="23" w:lineRule="exact"/>
        <w:rPr>
          <w:rFonts w:ascii="Arial" w:cs="Arial" w:eastAsia="Arial" w:hAnsi="Arial"/>
          <w:sz w:val="17"/>
          <w:szCs w:val="17"/>
          <w:u w:val="single" w:color="auto"/>
          <w:color w:val="0000FF"/>
        </w:rPr>
      </w:pPr>
    </w:p>
    <w:p>
      <w:pPr>
        <w:jc w:val="right"/>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F-</w:t>
      </w:r>
      <w:hyperlink w:anchor="page264">
        <w:r>
          <w:rPr>
            <w:rFonts w:ascii="Arial" w:cs="Arial" w:eastAsia="Arial" w:hAnsi="Arial"/>
            <w:sz w:val="18"/>
            <w:szCs w:val="18"/>
            <w:u w:val="single" w:color="auto"/>
            <w:color w:val="auto"/>
          </w:rPr>
          <w:t>8</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93"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47"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auto"/>
        </w:rPr>
      </w:pPr>
      <w:r>
        <w:rPr>
          <w:rFonts w:ascii="Arial" w:cs="Arial" w:eastAsia="Arial" w:hAnsi="Arial"/>
          <w:sz w:val="16"/>
          <w:szCs w:val="16"/>
          <w:u w:val="single" w:color="auto"/>
          <w:color w:val="auto"/>
        </w:rPr>
        <w:t>F-</w:t>
      </w:r>
      <w:hyperlink w:anchor="page301">
        <w:r>
          <w:rPr>
            <w:rFonts w:ascii="Arial" w:cs="Arial" w:eastAsia="Arial" w:hAnsi="Arial"/>
            <w:sz w:val="16"/>
            <w:szCs w:val="16"/>
            <w:u w:val="single" w:color="auto"/>
            <w:color w:val="auto"/>
          </w:rPr>
          <w:t>44</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auto"/>
        </w:rPr>
      </w:pPr>
      <w:r>
        <w:rPr>
          <w:rFonts w:ascii="Arial" w:cs="Arial" w:eastAsia="Arial" w:hAnsi="Arial"/>
          <w:sz w:val="16"/>
          <w:szCs w:val="16"/>
          <w:u w:val="single" w:color="auto"/>
          <w:color w:val="auto"/>
        </w:rPr>
        <w:t>F-</w:t>
      </w:r>
      <w:hyperlink w:anchor="page301">
        <w:r>
          <w:rPr>
            <w:rFonts w:ascii="Arial" w:cs="Arial" w:eastAsia="Arial" w:hAnsi="Arial"/>
            <w:sz w:val="16"/>
            <w:szCs w:val="16"/>
            <w:u w:val="single" w:color="auto"/>
            <w:color w:val="auto"/>
          </w:rPr>
          <w:t>45</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auto"/>
        </w:rPr>
      </w:pPr>
      <w:r>
        <w:rPr>
          <w:rFonts w:ascii="Arial" w:cs="Arial" w:eastAsia="Arial" w:hAnsi="Arial"/>
          <w:sz w:val="16"/>
          <w:szCs w:val="16"/>
          <w:u w:val="single" w:color="auto"/>
          <w:color w:val="auto"/>
        </w:rPr>
        <w:t>F-</w:t>
      </w:r>
      <w:hyperlink w:anchor="page302">
        <w:r>
          <w:rPr>
            <w:rFonts w:ascii="Arial" w:cs="Arial" w:eastAsia="Arial" w:hAnsi="Arial"/>
            <w:sz w:val="16"/>
            <w:szCs w:val="16"/>
            <w:u w:val="single" w:color="auto"/>
            <w:color w:val="auto"/>
          </w:rPr>
          <w:t>46</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auto"/>
        </w:rPr>
      </w:pPr>
      <w:r>
        <w:rPr>
          <w:rFonts w:ascii="Arial" w:cs="Arial" w:eastAsia="Arial" w:hAnsi="Arial"/>
          <w:sz w:val="16"/>
          <w:szCs w:val="16"/>
          <w:u w:val="single" w:color="auto"/>
          <w:color w:val="auto"/>
        </w:rPr>
        <w:t>F-</w:t>
      </w:r>
      <w:hyperlink w:anchor="page303">
        <w:r>
          <w:rPr>
            <w:rFonts w:ascii="Arial" w:cs="Arial" w:eastAsia="Arial" w:hAnsi="Arial"/>
            <w:sz w:val="16"/>
            <w:szCs w:val="16"/>
            <w:u w:val="single" w:color="auto"/>
            <w:color w:val="auto"/>
          </w:rPr>
          <w:t>47</w:t>
        </w:r>
      </w:hyperlink>
    </w:p>
    <w:p>
      <w:pPr>
        <w:spacing w:after="0" w:line="86" w:lineRule="exact"/>
        <w:rPr>
          <w:rFonts w:ascii="Arial" w:cs="Arial" w:eastAsia="Arial" w:hAnsi="Arial"/>
          <w:sz w:val="17"/>
          <w:szCs w:val="17"/>
          <w:u w:val="single" w:color="auto"/>
          <w:color w:val="0000FF"/>
        </w:rPr>
      </w:pPr>
    </w:p>
    <w:p>
      <w:pPr>
        <w:ind w:left="240"/>
        <w:spacing w:after="0"/>
        <w:rPr>
          <w:rFonts w:ascii="Arial" w:cs="Arial" w:eastAsia="Arial" w:hAnsi="Arial"/>
          <w:sz w:val="16"/>
          <w:szCs w:val="16"/>
          <w:u w:val="single" w:color="auto"/>
          <w:color w:val="auto"/>
        </w:rPr>
      </w:pPr>
      <w:hyperlink w:anchor="page304">
        <w:r>
          <w:rPr>
            <w:rFonts w:ascii="Arial" w:cs="Arial" w:eastAsia="Arial" w:hAnsi="Arial"/>
            <w:sz w:val="16"/>
            <w:szCs w:val="16"/>
            <w:u w:val="single" w:color="auto"/>
            <w:color w:val="auto"/>
          </w:rPr>
          <w:t>F-48</w:t>
        </w:r>
      </w:hyperlink>
    </w:p>
    <w:p>
      <w:pPr>
        <w:sectPr>
          <w:pgSz w:w="11900" w:h="16838" w:orient="portrait"/>
          <w:cols w:equalWidth="0" w:num="2">
            <w:col w:w="10440" w:space="200"/>
            <w:col w:w="580"/>
          </w:cols>
          <w:pgMar w:left="320" w:top="1440" w:right="359" w:bottom="1440" w:gutter="0" w:footer="0" w:header="0"/>
        </w:sectPr>
      </w:pPr>
    </w:p>
    <w:bookmarkStart w:id="258" w:name="page259"/>
    <w:bookmarkEnd w:id="258"/>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have audited the accompanying consolidated statements of financial position of Molecular Partners AG and subsidiary (the Group) as of December 31, 2020 and 2019, the related consolidated statements of comprehensive loss, changes in equity, and cash flows for each of the years in the two-year period ended December 31, 2020, and the related notes to the consolidated financial statements (collectively, the consolidated financial statements). In our opinion, the consolidated financial statements present fairly, in all material respects, the financial position of the Group as of December 31, 2020 and 2019,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International Financial Reporting Standards (IFRS) as issued by the International Accounting Standards Board.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license and collaboration agreement with Amgen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in Notes 2 and 5 to the consolidated financial statements, the Group recognized revenue for the year ended December 31, 2020 of CHF 9,344 thousand related to the license and collaboration agreement with Amgen. In December 2018, the Group entered into a license and collaboration agreement with Amgen Inc. and received an upfront payment of $50 million. The Group recognizes revenue for the license and collaboration agreement with Amgen in relation to progress made towards completion of the performance obligation.</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identified the assessment of the progress made towards completion of the performance obligation, including the assessment of the estimated future costs to be incurred, as a critical audit matter. Specifically, the assessment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operational and/or technical collaboration and project requirements that could lead to a change in the amount of estimated project costs, required a high degree of complex auditor judgement.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the critical audit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assessed the Group’s estimated project costs by:</w:t>
      </w:r>
    </w:p>
    <w:p>
      <w:pPr>
        <w:spacing w:after="0" w:line="158" w:lineRule="exact"/>
        <w:rPr>
          <w:sz w:val="20"/>
          <w:szCs w:val="20"/>
          <w:color w:val="auto"/>
        </w:rPr>
      </w:pPr>
    </w:p>
    <w:p>
      <w:pPr>
        <w:ind w:left="340" w:hanging="324"/>
        <w:spacing w:after="0" w:line="277" w:lineRule="auto"/>
        <w:rPr>
          <w:sz w:val="20"/>
          <w:szCs w:val="20"/>
          <w:color w:val="auto"/>
        </w:rPr>
      </w:pPr>
      <w:r>
        <w:rPr>
          <w:rFonts w:ascii="Arial" w:cs="Arial" w:eastAsia="Arial" w:hAnsi="Arial"/>
          <w:sz w:val="18"/>
          <w:szCs w:val="18"/>
          <w:color w:val="auto"/>
        </w:rPr>
        <w:t>– Performing inquiry of collaboration project leaders to assess the Group’s assertions made in the accounting analysis, collaboration project plan, and the estimated project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Performing a retrospective assessment of historical forecasts of project costs by comparing prior period forecasts to actual results.</w:t>
      </w:r>
    </w:p>
    <w:p>
      <w:pPr>
        <w:spacing w:after="0" w:line="157" w:lineRule="exact"/>
        <w:rPr>
          <w:sz w:val="20"/>
          <w:szCs w:val="20"/>
          <w:color w:val="auto"/>
        </w:rPr>
      </w:pPr>
    </w:p>
    <w:p>
      <w:pPr>
        <w:ind w:left="340" w:right="20" w:hanging="324"/>
        <w:spacing w:after="0" w:line="263" w:lineRule="auto"/>
        <w:rPr>
          <w:sz w:val="20"/>
          <w:szCs w:val="20"/>
          <w:color w:val="auto"/>
        </w:rPr>
      </w:pPr>
      <w:r>
        <w:rPr>
          <w:rFonts w:ascii="Arial" w:cs="Arial" w:eastAsia="Arial" w:hAnsi="Arial"/>
          <w:sz w:val="18"/>
          <w:szCs w:val="18"/>
          <w:color w:val="auto"/>
        </w:rPr>
        <w:t>– Assessing management’s process for estimating total project costs to complete by selecting certain vendor contracts and obtaining underlying evidence including but not limited to actual invoices, email correspondence, clinical development progress, and collaboration project committee meeting minutes to evaluate the estimated project costs.</w:t>
      </w:r>
    </w:p>
    <w:p>
      <w:pPr>
        <w:spacing w:after="0" w:line="116" w:lineRule="exact"/>
        <w:rPr>
          <w:sz w:val="20"/>
          <w:szCs w:val="20"/>
          <w:color w:val="auto"/>
        </w:rPr>
      </w:pPr>
    </w:p>
    <w:p>
      <w:pPr>
        <w:ind w:left="340" w:right="60" w:hanging="324"/>
        <w:spacing w:after="0" w:line="277" w:lineRule="auto"/>
        <w:rPr>
          <w:sz w:val="20"/>
          <w:szCs w:val="20"/>
          <w:color w:val="auto"/>
        </w:rPr>
      </w:pPr>
      <w:r>
        <w:rPr>
          <w:rFonts w:ascii="Arial" w:cs="Arial" w:eastAsia="Arial" w:hAnsi="Arial"/>
          <w:sz w:val="18"/>
          <w:szCs w:val="18"/>
          <w:color w:val="auto"/>
        </w:rPr>
        <w:t>– Obtaining the minutes of the collaboration project committees and comparing with other evidence obtained regarding clinical development progress to assess that any changes are properly reflected in the estimated project costs.</w:t>
      </w:r>
    </w:p>
    <w:p>
      <w:pPr>
        <w:spacing w:after="0" w:line="89" w:lineRule="exact"/>
        <w:rPr>
          <w:sz w:val="20"/>
          <w:szCs w:val="20"/>
          <w:color w:val="auto"/>
        </w:rPr>
      </w:pPr>
    </w:p>
    <w:p>
      <w:pPr>
        <w:ind w:left="340" w:right="260" w:hanging="324"/>
        <w:spacing w:after="0" w:line="277" w:lineRule="auto"/>
        <w:rPr>
          <w:sz w:val="20"/>
          <w:szCs w:val="20"/>
          <w:color w:val="auto"/>
        </w:rPr>
      </w:pPr>
      <w:r>
        <w:rPr>
          <w:rFonts w:ascii="Arial" w:cs="Arial" w:eastAsia="Arial" w:hAnsi="Arial"/>
          <w:sz w:val="18"/>
          <w:szCs w:val="18"/>
          <w:color w:val="auto"/>
        </w:rPr>
        <w:t>– Evaluating the Group’s assessment of project costs incurred to date relative to the Group’s estimated project costs. For a sample of costs incurred to date, we compared such costs to underlying invoices, certain vendor contracts and other records obtained.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2009.</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Financial Position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w:t>
            </w:r>
          </w:p>
        </w:tc>
        <w:tc>
          <w:tcPr>
            <w:tcW w:w="26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6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5,014</w:t>
            </w:r>
          </w:p>
        </w:tc>
      </w:tr>
      <w:tr>
        <w:trPr>
          <w:trHeight w:val="270"/>
        </w:trPr>
        <w:tc>
          <w:tcPr>
            <w:tcW w:w="530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58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99,921</w:t>
            </w:r>
          </w:p>
        </w:tc>
      </w:tr>
      <w:tr>
        <w:trPr>
          <w:trHeight w:val="257"/>
        </w:trPr>
        <w:tc>
          <w:tcPr>
            <w:tcW w:w="530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2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299,479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182,849</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(130,870)</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268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22,191</w:t>
            </w:r>
          </w:p>
        </w:tc>
      </w:tr>
      <w:tr>
        <w:trPr>
          <w:trHeight w:val="270"/>
        </w:trPr>
        <w:tc>
          <w:tcPr>
            <w:tcW w:w="53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7,718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28,605</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50,796</w:t>
            </w:r>
          </w:p>
        </w:tc>
      </w:tr>
      <w:tr>
        <w:trPr>
          <w:trHeight w:val="237"/>
        </w:trPr>
        <w:tc>
          <w:tcPr>
            <w:tcW w:w="53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2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Comprehensive Loss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7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9"/>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20,383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r>
      <w:tr>
        <w:trPr>
          <w:trHeight w:val="257"/>
        </w:trPr>
        <w:tc>
          <w:tcPr>
            <w:tcW w:w="62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(36,660)</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expenses</w:t>
            </w:r>
          </w:p>
        </w:tc>
        <w:tc>
          <w:tcPr>
            <w:tcW w:w="17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finance result</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r>
      <w:tr>
        <w:trPr>
          <w:trHeight w:val="237"/>
        </w:trPr>
        <w:tc>
          <w:tcPr>
            <w:tcW w:w="6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r>
      <w:tr>
        <w:trPr>
          <w:trHeight w:val="270"/>
        </w:trPr>
        <w:tc>
          <w:tcPr>
            <w:tcW w:w="6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(36,288)</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result</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are or may be reclassified subsequently to profit or loss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result, net of tax</w:t>
            </w:r>
          </w:p>
        </w:tc>
        <w:tc>
          <w:tcPr>
            <w:tcW w:w="17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w:t>
            </w:r>
          </w:p>
        </w:tc>
      </w:tr>
      <w:tr>
        <w:trPr>
          <w:trHeight w:val="236"/>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(41,013)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and diluted net result per share</w:t>
            </w:r>
          </w:p>
        </w:tc>
        <w:tc>
          <w:tcPr>
            <w:tcW w:w="1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439"/>
        </w:trPr>
        <w:tc>
          <w:tcPr>
            <w:tcW w:w="9680" w:type="dxa"/>
            <w:vAlign w:val="bottom"/>
            <w:gridSpan w:val="4"/>
          </w:tcPr>
          <w:p>
            <w:pPr>
              <w:ind w:left="2140"/>
              <w:spacing w:after="0"/>
              <w:rPr>
                <w:sz w:val="20"/>
                <w:szCs w:val="20"/>
                <w:color w:val="auto"/>
              </w:rPr>
            </w:pPr>
            <w:r>
              <w:rPr>
                <w:rFonts w:ascii="Arial" w:cs="Arial" w:eastAsia="Arial" w:hAnsi="Arial"/>
                <w:sz w:val="18"/>
                <w:szCs w:val="18"/>
                <w:i w:val="1"/>
                <w:iCs w:val="1"/>
                <w:color w:val="auto"/>
                <w:w w:val="97"/>
              </w:rPr>
              <w:t>See accompanying notes, which form an integral part of these consolidated financial statements.</w:t>
            </w: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9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Note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199"/>
        </w:trPr>
        <w:tc>
          <w:tcPr>
            <w:tcW w:w="6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Adjustments for:</w:t>
            </w: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 / 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Share-based compensation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56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employee benefits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Income tax</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income</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Financial expenses</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56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working capital:</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prepaid expenses and accrued income</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trade and other receivables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trade and other payables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contract liability</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Change in accrued expenses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gain/(loss) on working capital positions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 term time deposits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Investments in short term time deposits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(73,397)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(75,998)</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cash from (used in) investing activities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(21,746)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(19,836)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Proceeds from issuance of new shares, net of transaction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(used in) financing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113,202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gain/(loss) on cash positions</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(23,246)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98,958</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December 31</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133,721</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75,712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1440" w:gutter="0" w:footer="0" w:header="0"/>
          <w:type w:val="continuous"/>
        </w:sectPr>
      </w:pPr>
    </w:p>
    <w:bookmarkStart w:id="263" w:name="page264"/>
    <w:bookmarkEnd w:id="26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66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Share capital</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Additional paid-in</w:t>
            </w:r>
          </w:p>
        </w:tc>
        <w:tc>
          <w:tcPr>
            <w:tcW w:w="16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w w:val="95"/>
              </w:rPr>
              <w:t>Cumulative losses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Total shareholders'</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66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 on translation foreign costs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Issuance of new shares, net of transaction costs</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112,886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See note 18</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See note 12</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See note 1 and note 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the Consolidated Financial Statements</w:t>
      </w:r>
    </w:p>
    <w:p>
      <w:pPr>
        <w:spacing w:after="0" w:line="306" w:lineRule="exact"/>
        <w:rPr>
          <w:sz w:val="20"/>
          <w:szCs w:val="20"/>
          <w:color w:val="auto"/>
        </w:rPr>
      </w:pPr>
    </w:p>
    <w:p>
      <w:pPr>
        <w:ind w:left="380" w:hanging="372"/>
        <w:spacing w:after="0"/>
        <w:tabs>
          <w:tab w:leader="none" w:pos="3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Molecular Partners AG, or the Company, and its subsidiary, or, collectively, Molecular Partners, Group, is a clinical stage biopharmaceutical company focusing on the discovery, development and commercialization of DARPin®, a novel class of therapeutic proteins. DARPin® combine the specificity and selectivity of monoclonal antibodies, or mAbs, with many properties of small molecules, enabling new therapeutic approaches.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w:t>
      </w:r>
      <w:r>
        <w:rPr>
          <w:rFonts w:ascii="Arial" w:cs="Arial" w:eastAsia="Arial" w:hAnsi="Arial"/>
          <w:sz w:val="16"/>
          <w:szCs w:val="16"/>
          <w:i w:val="1"/>
          <w:iCs w:val="1"/>
          <w:color w:val="auto"/>
        </w:rPr>
        <w:t>Aktiengesellschaften</w:t>
      </w:r>
      <w:r>
        <w:rPr>
          <w:rFonts w:ascii="Arial" w:cs="Arial" w:eastAsia="Arial" w:hAnsi="Arial"/>
          <w:sz w:val="16"/>
          <w:szCs w:val="16"/>
          <w:color w:val="auto"/>
        </w:rPr>
        <w:t>).</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audited consolidated financial statements as of and for the twelve-month period ended December 31, 2020 comprise Molecular Partners AG and Molecular Partners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reporting period</w:t>
      </w:r>
    </w:p>
    <w:p>
      <w:pPr>
        <w:spacing w:after="0" w:line="16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Group announced on July 7, 2020 a placement of 5,528,089 new registered shares, corresponding to approximately 25% of the Group's registered share capital, by way of an accelerated bookbuilding process, at an offering price of CHF 14.50 per share. The gross proceeds, before deducting commissions and offering expenses, amounted to CHF 80.2 million. The offering included participation by new and existing institutional investors in Switzerland, the United States and the European Union. Please also see note 12.</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11, 2020 the Group announced the reservation by the Swiss Federal Office of Public Health: Bundesamt für Gesundheit (FOPH-BAG) of a defined number of initial doses of the Group's anti-COVID-19 candidate, MP0420. Under the terms of the agreement, the Group has received a reservation fee of CHF 7,0 million. This will secure priority access for the FOPH-BAG to purchase reserved doses of MP0420, if clinical trials are successful and MP0420 is approved in Switzerland. Clinical studies were initiated in Q4 2020. See also note 5.</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28, 2020 the Group announced an Option and Equity Rights agreement with Novartis. Novartis has been granted an option to in-license global rights of MP0420 and MP0423 – multi-targeted direct-acting antiviral therapeutic candidates demonstrating potential efficacy against COVID-19. Under the terms of the agreement, Molecular Partners has received a non-refundable cash payment of CHF 20 million for development activities relating to tech transfer and manufacturing for the commercial supply of MP0420. As part of the transaction, Novartis also agreed to acquire CHF 40 million worth of common shares, at a price of CHF 23 per share. As a result, Novartis holds approximately 6% of the outstanding shares of the Company as of December 31, 2020. Molecular Partners is eligible to receive a future payment of CHF 150 million, upon Novartis exercising the option for an exclusive license to both therapeutic candidates, two milestone payments of CHF 2.5 million each related to Phase 1 activities for MP0423 plus a 22% royalty on future commercial sales. Molecular Partners has agreed to forgo royalties in lower income countries, and is aligned with Novartis’ plans to ensure affordability based on countries’ needs and capabilities. Please also see note 5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1440" w:right="399" w:bottom="1440" w:gutter="0" w:footer="0" w:header="0"/>
        </w:sectPr>
      </w:pPr>
    </w:p>
    <w:bookmarkStart w:id="265" w:name="page266"/>
    <w:bookmarkEnd w:id="265"/>
    <w:p>
      <w:pPr>
        <w:spacing w:after="0" w:line="131" w:lineRule="exact"/>
        <w:rPr>
          <w:sz w:val="20"/>
          <w:szCs w:val="20"/>
          <w:color w:val="auto"/>
        </w:rPr>
      </w:pPr>
    </w:p>
    <w:p>
      <w:pPr>
        <w:ind w:right="6780" w:firstLine="8"/>
        <w:spacing w:after="0" w:line="377" w:lineRule="auto"/>
        <w:tabs>
          <w:tab w:leader="none" w:pos="378"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Basis of Preparation</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the International Financial Reporting Standards, or IFRS, as issued by the IASB. The accounting policies set forth below have been consistently applied to all years presented. Unless stated otherwise, all financial statements are presented in thousands of Swiss Francs, or TCHF.</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 period ended December 31, 2020 as well as of the reporting date there are no, nor were there any, major disruptions to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Group continues to comply with all local and federal instructions as it relates to the safety of our employees, patients, and citizens.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Group's cash position at December 31, 2020 and supported by the above, the Group deemed there to be no material uncertainties that would cast doubt on the Group's ability to operate on a going concern basis.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as of and for the period ended December 31, 2020 were approved for issuance by the Company's Board of Directors on February 24,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those included in the accompanying notes.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consolidation</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Subsidiaries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(ii) Transactions eliminated on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Intra-group balances and transactions, and any unrealized income and expenses arising from intra-group transactions, are eliminated.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new or revised standards that became effective during 2020 did not have a material effect on these consolidated financial statements:</w:t>
      </w:r>
    </w:p>
    <w:p>
      <w:pPr>
        <w:spacing w:after="0" w:line="169"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Definition of Material (Amendments to IAS 1 and IAS 8)</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Definition of a Business (Amendments to IFRS 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Interest Rate Benchmark Reform (Amendments to IFRS 9, IAS 39 and IFRS 7)</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COVID-19-Related Rent Concessions (Amendment to IFRS 16)</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Several new or revised standards have been published that are not yet effective and that have not been early adopted. No significant impacts on the Group's consolidated financial statements are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Group operates in one segment, focusing on the discovery, development and prospective commercialization of a new class of biopharmaceutical products. The executive management, acting together as the chief operating decision makers,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 Transactions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results and financial position of foreign operations that have a functional currency different from the presentation currency are translated into the presentation currency as follows:</w:t>
      </w:r>
    </w:p>
    <w:p>
      <w:pPr>
        <w:spacing w:after="0" w:line="103"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assets and liabilities are translated at the closing rate at the date of the respective balance sheet;</w:t>
      </w:r>
    </w:p>
    <w:p>
      <w:pPr>
        <w:spacing w:after="0" w:line="157" w:lineRule="exact"/>
        <w:rPr>
          <w:rFonts w:ascii="Arial" w:cs="Arial" w:eastAsia="Arial" w:hAnsi="Arial"/>
          <w:sz w:val="18"/>
          <w:szCs w:val="18"/>
          <w:color w:val="auto"/>
        </w:rPr>
      </w:pPr>
    </w:p>
    <w:p>
      <w:pPr>
        <w:ind w:left="340" w:right="280" w:hanging="332"/>
        <w:spacing w:after="0" w:line="263" w:lineRule="auto"/>
        <w:tabs>
          <w:tab w:leader="none" w:pos="3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income and expenses for each consolidated statement of comprehensive loss are translated at average exchange rates (unless this is not a reasonable approximation of the cumulative effect of the rates prevailing on the transaction dates, in which case income and expenses are translated at the exchange rates at the dates of the transactions);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1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5040" w:type="dxa"/>
            <w:vAlign w:val="bottom"/>
            <w:tcBorders>
              <w:top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5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5040" w:type="dxa"/>
            <w:vAlign w:val="bottom"/>
          </w:tcPr>
          <w:p>
            <w:pPr>
              <w:ind w:left="4500"/>
              <w:spacing w:after="0"/>
              <w:rPr>
                <w:sz w:val="20"/>
                <w:szCs w:val="20"/>
                <w:color w:val="auto"/>
              </w:rPr>
            </w:pPr>
            <w:r>
              <w:rPr>
                <w:rFonts w:ascii="Arial" w:cs="Arial" w:eastAsia="Arial" w:hAnsi="Arial"/>
                <w:sz w:val="18"/>
                <w:szCs w:val="18"/>
                <w:color w:val="auto"/>
                <w:w w:val="88"/>
              </w:rPr>
              <w:t>3 years</w:t>
            </w:r>
          </w:p>
        </w:tc>
      </w:tr>
      <w:tr>
        <w:trPr>
          <w:trHeight w:val="229"/>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 hardware:</w:t>
            </w:r>
          </w:p>
        </w:tc>
        <w:tc>
          <w:tcPr>
            <w:tcW w:w="5040" w:type="dxa"/>
            <w:vAlign w:val="bottom"/>
            <w:tcBorders>
              <w:bottom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2 years</w:t>
            </w: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Leasehold improvements and right-of-use assets are depreciated using the straight line method over the shorter of their estimated useful life and the lease term.</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Subsequent costs are included in each asset’s carrying amount or recognized as a separate asset, as appropriate, only when it is probable that future economic benefits associated with the item will flow to the Group and the cost of the item can be measured reliably. Repairs and maintenance are charged to profit or loss during the financial period in which they are incurred.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reporting date. An asset’s carrying amount is written down to its recoverable amount, if the asset's carrying amount exceeds its estimated recoverable amount.</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and accumulated depreciation related to assets retired or otherwise disposed are derecognized at the time of retirement or disposal and any resulting gain or loss is included in profit or loss in the period of retirement or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Intangible assets currently solely comprise of IT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(threshold of CHF 5,000) and short-term leases. Short-term leases are leases with a lease term of 12 months or less that do not contain a purchase option. For all other leases the Group recognizes a right-of-use asset and a lease liability at the lease commencement date.</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Subsequently the right-of-use asset is depreciated using the straight-line method over the shorter of the asset's useful life and the lease term.</w:t>
      </w:r>
    </w:p>
    <w:p>
      <w:pPr>
        <w:spacing w:after="0" w:line="1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lease liability is initially measured at the present value of the lease payments required over the lease term that are not paid at the commencement date, discounted using the Group’s incremental borrowing rate, as the interest rate implicit in the lease generally cannot be readily determined. Lease payments that are included in the measurement of the lease liability include fixed payments or in-substance fixed payments and variable payments that depend on an index.</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Subsequently, the lease liability is measured at amortized cost using the effective interest method. The Group remeasures the lease liability when there is a change in future lease payments arising from a change in index, or if the group changes its assessment of whether it will exercise an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Each lease payment is allocated between the liability and finance cost. The finance cost is charged to profit or loss over the lease period so as to produce a constant periodic rate of interest on the remaining balance of the lease liability for each period. 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non-financial Assets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Non-financial assets that are subject to depreciation or amortization are reviewed for impairment whenever events or changes in circumstances indicate that the carrying amount exceeds their recoverable amount. An impairment loss is recognized for this difference. The recoverable amount is the higher of an asset’s fair value less costs of disposal and value in use. For the purpose of assessing impairment, assets are grouped at the lowest levels for which there are separately identifiable cash flows.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at Amortized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 short-term deposits / trade and other receivables (except for VAT and withholding taxes) (and when applicable accrued interest income) are all considered held-to-collect items and are labeled under financial assets measured at amortized costs, with the following definition /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268" w:name="page269"/>
    <w:bookmarkEnd w:id="268"/>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They arise when the Group provides money, goods or services directly to a debtor with no intention of trading the receivable. They are included in current assets, except for maturities longer than 12 months after the balance sheet date. These are classified as non-current assets. Interest income on the short-term deposit is accounted for on the statement of comprehensive loss as financial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measurement for the financial assets mentioned above which are classified as measured at amortized cost, is based on the effective interest method, reduced by any impairment loss.</w:t>
      </w:r>
    </w:p>
    <w:p>
      <w:pPr>
        <w:spacing w:after="0" w:line="103"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For financial assets measured at amortized cost, a loss allowance for expected credit losses on the financial assets is recognized. Measurement of any impairment loss is based on the ‘expected credit loss’ (ECL) model, which is based on a predictive model. The loss allowance for a financial asset is measured at an amount equal to the lifetime expected credit losses if the credit risk on that financial asset has increased significantly since initial recognition. If the credit risk on a financial asset has not increased significantly since initial recognition, the Group measures the loss allowance / impairment loss for that financial asset at an amount equal to 12-month expected credit losses.</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takes into consideration the specific circumstances of the customer (e.g. credit rating etc.), and other relevant factors such as the economic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assets at amortized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generally arise from transactions outside the usual operating activities of the Group.</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Liabilities at Amortized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non-employee related accrued expense are measured at amortized costs and classified as financial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 / Additional Paid-in Capital</w:t>
      </w:r>
    </w:p>
    <w:p>
      <w:pPr>
        <w:spacing w:after="0" w:line="1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269" w:name="page270"/>
    <w:bookmarkEnd w:id="26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current and deferred taxes. Current income taxes are recognized on taxable profits at applicable tax rates.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spacing w:after="0" w:line="9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did not have to pay income taxes in Switzerland in the presented reporting periods for 2020 and 2019. The Company’s accumulated taxable losses may be used as tax loss carry forwards to offset future taxable income over a period of seven years in Switzerland. No deferred tax assets have been established for these losses, because the Company does not have a history of sustainable taxable profits, increasing research costs are expected to be incurred in the foreseeable future and future revenues are highly volatile and uncertain. No deferred tax assets were recognized on deductible temporary differences on pension liabilities for the same reasons.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Inc, the group's US subsidiary is liable for US federal and Massachusetts and California state tax.</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(pension plans)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provides retirement, death and disability benefits to its Swiss employees in line with local customs and requirements through two separate plans, which are both accounted for as defined benefit plans.</w:t>
      </w:r>
    </w:p>
    <w:p>
      <w:pPr>
        <w:spacing w:after="0" w:line="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first plan is the compulsory defined benefit plan which is funded through employer (60%) and employee (40%) contributions to VSAO, a Switzerland based plan. This Company-wide plan has been in place since inception of the Company and all employees of the Company are eligible to its benefits. On retirement, the plan participant will receive his or her accumulated savings, which consist of all contributions paid in by the employer and the employee (net of any withdrawals) and the interest granted on those savings at the discretion of the pension foundation.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that time, the plan participant has the right to choose between a lump-sum payment and an annuity, or a combination thereof. The annuity is calculated using a fixed conversion rate determined by the pension foundation. The VSAO’s plan assets are pooled and the Company’s share is calculated based on its share of retirement savings. Additional funding requirements may be determined by the pension foundation in case of a severe underfunding. Should the Company withdraw from the plan, the withdrawal may qualify as a partial liquidation under Swiss law.</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second plan is a voluntary complementary defined management benefit scheme established as of January 1, 2014, in which only employees with an annual base salary exceeding CHF 150,000 are eligible to participate. 29 of the 31 eligible employees participated in this plan as of December 31, 2020 (30 out of 32 eligible employees as of December 2019). This plan is set up as a collective foundation with Swiss Life, a Switzerland-based insurance company, for which contributions are 30% funded by the employee and 70% funded by the Company.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1440" w:right="379" w:bottom="1440" w:gutter="0" w:footer="0" w:header="0"/>
        </w:sectPr>
      </w:pPr>
    </w:p>
    <w:bookmarkStart w:id="270" w:name="page271"/>
    <w:bookmarkEnd w:id="270"/>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this voluntary plan is to allow higher savings opportunity in a tax effective manner and risk benefits for senior management. In addition, plan participants are entitled to a lump sum payment of five times their annual base salary in case of death. This is a fully insured Swiss pension plan that covers all investment and actuarial risks, including invalidity and death.</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VSAO pension plan accounts for over 90% of both the Company’s defined benefit obligation and plan assets. The liability recognized in the statement of financial position in respect of defined benefit pension plans is the present value of the defined benefit obligations at the balance sheet date less the fair value of plan assets.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defined benefit obligation is calculated annually by independent actuaries using the projected unit credit method. The present value of the defined benefit obligation is determined by discounting the estimated future cash outflows. Pension liabilities are determined on an actuarial basis using a number of assumptions, such as the discount rate and expected salary increases applied to determine the defined benefit obligation and an estimate of the fair value of plan assets attributable to the Company. In determining the appropriate discount rate, for example, the Company considers the interest rates of high-quality corporate bonds that are denominated in the currency in which the benefits will be paid, and that have terms to maturity approximating the terms of the related pension liability. In determining the fair value of plan assets, the Company adds to the participants’ savings a share of the pension plan’s technical and fluctuation reserves. Additional information is disclosed in note 18.1.</w:t>
      </w:r>
    </w:p>
    <w:p>
      <w:pPr>
        <w:spacing w:after="0" w:line="11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has set up a 401k plan for its US based employees. Under the plan the US entity matches the employee's contribution and provides a true-up in matched contributions at year end. The 401k plan qualifies as a defined contribution scheme and the associated expenses are presented under operating expenses in the statement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any proceeds received net of any directly attributable transaction costs are credited to share capital (nominal value) and additional paid-in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recognizes an accrual where contractually obliged or where there is a past practice that has created a constructive obligation. Bonuses are based on a formula that takes into consideration the achievement of the Company’s goals.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for upfront payments or at a point in time for milestone payments and development option payments. Payments received in excess of revenue recognized are recorded as contract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271" w:name="page272"/>
    <w:bookmarkEnd w:id="271"/>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Revenues include fees such as upfront payments received in connection with out-licensing of products and/or access the knowledge without transfer of a license as well as in connection with discovery alliances, as well as fees for maintenance of patents,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 cost-based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 remaining performance obligations for the Group. Consequently, the related revenues are typically recognized at a point in time, either when the milestone is met or the option is exercised by the customer.</w:t>
      </w:r>
    </w:p>
    <w:p>
      <w:pPr>
        <w:spacing w:after="0" w:line="1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spacing w:after="0" w:line="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w w:val="96"/>
              </w:rPr>
              <w:t>Type of payments received</w:t>
            </w:r>
          </w:p>
        </w:tc>
        <w:tc>
          <w:tcPr>
            <w:tcW w:w="8840" w:type="dxa"/>
            <w:vAlign w:val="bottom"/>
            <w:tcBorders>
              <w:top w:val="single" w:sz="8" w:color="auto"/>
              <w:bottom w:val="single" w:sz="8" w:color="auto"/>
            </w:tcBorders>
          </w:tcPr>
          <w:p>
            <w:pPr>
              <w:ind w:left="3440"/>
              <w:spacing w:after="0"/>
              <w:rPr>
                <w:sz w:val="20"/>
                <w:szCs w:val="20"/>
                <w:color w:val="auto"/>
              </w:rPr>
            </w:pPr>
            <w:r>
              <w:rPr>
                <w:rFonts w:ascii="Arial" w:cs="Arial" w:eastAsia="Arial" w:hAnsi="Arial"/>
                <w:sz w:val="16"/>
                <w:szCs w:val="16"/>
                <w:b w:val="1"/>
                <w:bCs w:val="1"/>
                <w:color w:val="auto"/>
              </w:rPr>
              <w:t>Timing of revenue recognition</w:t>
            </w:r>
          </w:p>
        </w:tc>
      </w:tr>
      <w:tr>
        <w:trPr>
          <w:trHeight w:val="172"/>
        </w:trPr>
        <w:tc>
          <w:tcPr>
            <w:tcW w:w="2200" w:type="dxa"/>
            <w:vAlign w:val="bottom"/>
          </w:tcPr>
          <w:p>
            <w:pPr>
              <w:ind w:left="20"/>
              <w:spacing w:after="0" w:line="172" w:lineRule="exact"/>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line="172" w:lineRule="exact"/>
              <w:rPr>
                <w:sz w:val="20"/>
                <w:szCs w:val="20"/>
                <w:color w:val="auto"/>
              </w:rPr>
            </w:pPr>
            <w:r>
              <w:rPr>
                <w:rFonts w:ascii="Arial" w:cs="Arial" w:eastAsia="Arial" w:hAnsi="Arial"/>
                <w:sz w:val="18"/>
                <w:szCs w:val="18"/>
                <w:color w:val="auto"/>
                <w:w w:val="93"/>
              </w:rPr>
              <w:t>Upfront payments received in connection with out-licensing arrangements are typically non-refundable fees for which</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upfront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the Group does not transfer a good or a service to the customer, rather the upfront payments consists of an advance</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payment for future services and/or an acquisition of the right to the current or future access to the underlying intellectual</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property of the Group. For such arrangements, the Group has determined that the promised goods and services are not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distinct and are accounted for as one performance obligation. The Group recognizes revenue for this performance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rPr>
              <w:t>obligation over time using a cost-based method to measure its progress towards complete satisfaction of the</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performance obligation.</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2"/>
              </w:rPr>
              <w:t>Milestone payments received in connection with out-licensing or other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milestone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7"/>
              </w:rPr>
              <w:t>entitling the Group to a right to payment upon such milestone being met. At that time, the customer has typically</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acquired the right to use the underlying intellectual property or additional knowledge about drug candidate(s), without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6"/>
              </w:rPr>
              <w:t>any remaining performance obligation of the Group. Considering the uncertainty surrounding the outcome of such</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0"/>
              </w:rPr>
              <w:t>development activities, the revenue is consequently recognized at a point in time, when the milestone is reached. At this</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stage it is highly 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1"/>
              </w:rPr>
              <w:t>Development option payments received in connection with out-licensing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payments received for</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entitling the Group to a right to payment upon such option being exercised. At that time, the customer has typically</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development options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acquired the right to use the underlying intellectual property, without any remaining performance obligations of the</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exercises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Group. Considering the fact that the exercise of any option is outside the control of the Group, revenue for options that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4"/>
              </w:rPr>
              <w:t>provide the right to use is recognized at a point in time at the effective exercise of the option. At this stage it is highly</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4"/>
              </w:rPr>
              <w:t>Reservation fees received are typically non-refundable fees. The timing of revenue recognition depends on whether</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reservation fees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development of the final drug is successful. If development is successful, revenue will be recognized when the related</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reservation right is exercised or lapses (as the exercise of any reservation right is outside the control of the Group).</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Alternatively, revenue will be recognized at the point in time when the results from the research will not justify further</w:t>
            </w:r>
          </w:p>
        </w:tc>
      </w:tr>
      <w:tr>
        <w:trPr>
          <w:trHeight w:val="229"/>
        </w:trPr>
        <w:tc>
          <w:tcPr>
            <w:tcW w:w="220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development of the drug. At this stage it is highly probable that a reversal of the cumulative revenue will not occur.</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as disclosed in note 16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preclinical studies and clinical trials of the Group's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and services performed under collaboration agreements;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and development services outsourced to research institutions;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attributable facility expenses, including depreciation of equipment and amortization.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to its internal research and development activities, the Group is also party to in-licensing and similar arrangements with its partners. The Group may also acquire in-process research and development assets, either through business combinations or through purchases of specific assets. Intangible assets are initially recorded at cost. Intangible assets are amortized over their useful lives on a straight-line basis beginning from the point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320" w:top="1440" w:right="419" w:bottom="1440" w:gutter="0" w:footer="0" w:header="0"/>
        </w:sectPr>
      </w:pPr>
    </w:p>
    <w:bookmarkStart w:id="273" w:name="page274"/>
    <w:bookmarkEnd w:id="273"/>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are available for use. The estimated useful life of intangible assets is regularly reviewed. The Group does not currently have any such externally acquired in-process research and development assets.</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charges all research and development expenses, including internal patent filing and patent maintenance costs, to profit or loss when incurred, as the criteria for recognition as an asset are not currently met.</w:t>
      </w:r>
    </w:p>
    <w:p>
      <w:pPr>
        <w:spacing w:after="0" w:line="103" w:lineRule="exact"/>
        <w:rPr>
          <w:sz w:val="20"/>
          <w:szCs w:val="20"/>
          <w:color w:val="auto"/>
        </w:rPr>
      </w:pPr>
    </w:p>
    <w:p>
      <w:pPr>
        <w:ind w:right="8240" w:firstLine="8"/>
        <w:spacing w:after="0" w:line="437" w:lineRule="auto"/>
        <w:tabs>
          <w:tab w:leader="none" w:pos="378"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Financial Risk Factors</w:t>
      </w:r>
    </w:p>
    <w:p>
      <w:pPr>
        <w:ind w:right="40"/>
        <w:spacing w:after="0" w:line="270" w:lineRule="auto"/>
        <w:rPr>
          <w:sz w:val="20"/>
          <w:szCs w:val="20"/>
          <w:color w:val="auto"/>
        </w:rPr>
      </w:pPr>
      <w:r>
        <w:rPr>
          <w:rFonts w:ascii="Arial" w:cs="Arial" w:eastAsia="Arial" w:hAnsi="Arial"/>
          <w:sz w:val="17"/>
          <w:szCs w:val="17"/>
          <w:color w:val="auto"/>
        </w:rPr>
        <w:t>The Group is subject to risks common to companies in the biotechnology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Group is developing several products currently not generating constant revenue streams which results in volatile cash flow from operating activities. Currently,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See note 4, “Critical accounting estimates and judgments.” Furthermore, management has taken actions to manage financial risks, such as foreign exchange risk and liquidity risk.</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minimize potential adverse effects on the financial performance of the Group. Further details are disclosed under note 25.</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Management</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2020 and 2019.</w:t>
      </w:r>
    </w:p>
    <w:p>
      <w:pPr>
        <w:spacing w:after="0" w:line="119" w:lineRule="exact"/>
        <w:rPr>
          <w:sz w:val="20"/>
          <w:szCs w:val="20"/>
          <w:color w:val="auto"/>
        </w:rPr>
      </w:pPr>
    </w:p>
    <w:p>
      <w:pPr>
        <w:ind w:left="380" w:hanging="372"/>
        <w:spacing w:after="0"/>
        <w:tabs>
          <w:tab w:leader="none" w:pos="38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Judgments</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circumstances include also the possible impacts of the COVID-19 pandemic.</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estimates are subject to risks and uncertainties. The actual results can deviate from these estimates. The estimates and assumptions identified by the Group, which have a significant risk of causing a material adjustment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assets and liabilities in a future period or have a significant effect on reported results,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1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the Group’s estimate of total estimated costs to complete satisfaction of the underlying performance obligations) is required to reflect the substance of the arrangement in the recognition of revenues. Under the cost-based method, the Group’s estimate of total costs to be incurred under certain agreements is for example, based on actual project-related contracts and history of similar contracts of other collaborations as well as industry experience. The Group is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 More information on revenue recognition is provided in the respective accounting policy. Additional information related to the Group’s significant revenue agreements is disclosed in note 5.</w:t>
      </w:r>
    </w:p>
    <w:p>
      <w:pPr>
        <w:spacing w:after="0" w:line="105"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Revenues and entity-wide Disclosures</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When the cost-based / input method is applied, the Group recognizes revenue based on the ratio of the associated costs incurred to date and the total forecasted costs to satisfy the performance obligation.</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second half of 2020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revenue recognized for the twelve month period ended December 31, 2020, as compared to the comparable prior year period. The increase in total future costs is primarily related to continued development of various dosing schedules under Phase 1a of the collaboration. The remaining unrecognized transaction price at December 31, 2020 of TCHF 18,983 for Amgen will be recognized in line with the recognition of estimated expenses to satisfy the performance obligation.</w:t>
      </w:r>
    </w:p>
    <w:p>
      <w:pPr>
        <w:spacing w:after="0" w:line="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2020, the Group entered into a contract with Novartis, granting Novartis the exclusive option to in-license global rights in relation to drug candidates MP0420 and MP0423. Under the terms of the agreement, the Group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(see below, as well as note 15).</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reporting period, costs paid to the Novartis Group for the manufacturing of the drug product to establish the commercial supply of MP0420 in the amount of TCHF 96 have been offset against the upfront non refundable fee (see note 15).</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twelve month periods ended December 31, 2020 and 2019, the Group recognized revenues as disclosed in the table below. Revenues in the table below are attributable to individual countries and are based on the location of the Group’s alliance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Revenues by country</w:t>
            </w: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3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r>
        <w:trPr>
          <w:trHeight w:val="500"/>
        </w:trPr>
        <w:tc>
          <w:tcPr>
            <w:tcW w:w="6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Analysis of revenue by major alliance partner</w:t>
            </w:r>
          </w:p>
        </w:tc>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3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28, 2020 the Group announced entering into an Option and Equity Rights agreement with Novartis. Novartis has been granted an option to in-license global rights of MP0420 and MP0423 – multi-targeted direct-acting antiviral therapeutic candidates demonstrating potential efficacy against COVID-19. Please see note 12 for the related acquisition of shares by Novartis.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agreement, during the option period, Molecular Partners will conduct Phase 1 clinical trials for MP0420 and, if agreed between the parties, perform all remaining preclinical work for MP0423 and conduct the MP0423 Phase 1 trial for which two milestone payments of CHF 2.5 million each will be due in case of initiation and completion. Novartis will conduct Phase 2/3 clinical trials, with Molecular Partners as legal sponsor of these trials. The contract foresees the sharing of knowledge of the results of Phase 1 and Phase 2 activities with Novartis, though these do not result in a transfer of a license until the exercise of the option for an exclusive license. Upon exercise of such option, Novartis would be responsible for all further development and commercialization activities. During the clinical development stage, Molecular Partners will provide clinical supply.</w:t>
      </w:r>
    </w:p>
    <w:p>
      <w:pPr>
        <w:spacing w:after="0" w:line="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Group is eligible to receive a future payment of CHF 150 million, upon Novartis exercising the option for exclusive license to the therapeutic candidates, in addition to a 22% royalty on future commercial sales. Molecular Partners has agreed to forgo royalties in lower income countries, and is aligned with Novartis’ plans to ensure affordability based on countries’ needs and capabilities.</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Molecular Partners is required to spend up to the full amount of the non-refundable fee of CHF 20 million for the commercial supply of MP0420, which is to be manufactured by Sandoz, a division of the Novartis Group. The full amount of the upfront fee is therefore allocated to the performance obligation for the tech transfer and manufacturing in relation to the required commercial supply of MP0420.</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Given the urgency of finding a therapeutic solution for COVID-19, such production is already on-going, and anticipated to occur in parallel to Phase 1 and Phase 2/3 activities. The commercial supply manufacturing with Sandoz will provide Molecular Partners a supply of the drug candidate MP0420, which will be able to be commercialized only upon receiving regulatory approval. Should Novartis exercise the option for the exclusive license for drug candidates MP0420 and MP0423, such supply will be purchased by Novartis by reference to the costs incurred by the Group.</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Molecular Partners’ performance obligation in relation to the tech transfer and manufacturing is highly inter-dependent with the actual manufacturing of the drug candidate MP0420 by the Novartis Group, the amount paid by Molecular Partners to the Novartis Group for the manufacturing and purchase of materials for the drug product is considered to be consideration payable to a customer. The related manufacturing costs paid to the Novartis Group are therefore offset against the non-refundable upfront fee (see note 15). The Group determined using an over time cost-based method to measure its progress in relation to the related tech transfer and manufacturing activity performed by third parties, most faithfully depicts the progress of the Group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reservation agreement announced on August 11, 2020,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the Group. In case a final product will become available, the initial 200,000 doses, and any additional doses are to be subject to a separate sales contract to be agreed amongst the parties. Certain pricing provisions have been pre-negotiated, but remain subject to final therapeutic dose and while there is preferential pricing for the initial doses, which results in a performance obligation, the pricing for any further doses is expected to be at market prices and therefore not considered to result in a separate performance obligation.</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period, the Group has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2018, the Group entered into a License and Collaboration Agreement with Amgen for the clinical development and commercialization of MP0310 / AMG 506. Under the terms of the agreement, the Group granted to Amgen an exclusive worldwide, royalty-bearing, sublicensable license under the Group’s patents and know-how relating to MP0310 / AMG506 to develop and commercialize MP0310 / AMG 506. The parties will jointly evaluate MP0310 / AMG 506 in combination with Amgen`s oncology pipeline products, including its investigational bispecific T-cell engager, or TCE, or BiTE, molecules. Under the collaboration, Molecular Partners retains certain rights to develop and commercialize its proprietary DARPin pipeline products in combination with MP0310 / AMG 506.</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agreement the Group received a non-refundable upfront payment of $50 million. The Group has the lead on performing certain clinical development, manufacturing and regulatory activities in the first clinical phase and the Group assigned the full $50 million upfront as the transaction price to this performance obligation, based on the Group's development plan and the contractual agreement. The Group has considered if the contract contains a significant financing component and has concluded this was not the case. The Group is recognizing the related revenue using the cost-based method to measure it progress by reference to actual costs incurred in relation to the Group's best estimate of total expected costs to satisfy the performance obligation. This cost-based method is subject to the assessment of the management of the Group. The Group determined using an over-time cost-based method to measure its progress most faithfully depicts the inputs it will take the Group to satisfy the performance obligation. Please see also note 15 for the amount that has not yet been recognized as revenue.</w:t>
      </w:r>
    </w:p>
    <w:p>
      <w:pPr>
        <w:spacing w:after="0" w:line="1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the Group is eligible to receive up to $497 million in development, regulatory and commercial milestone payments, as well as double-digit, tiered royalties up to the high teens. The Group considers these various milestones to be variable consideration as they are contingent upon achieving uncertain, future development stages and net sales. For this reason the Group considers the achievement of the various milestones as binary events that will be recognized into revenue upon occurrence. Furthermore, the parties will share the clinical development costs in defined percentages for the first three indications subject to certain conditions. For all additional clinical trials, Amgen is responsible for all development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2011, the Group entered into a license and collaboration agreement with Allergan. Under the agreement, the Group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Allergan is responsible, at its expense, for developing and commercializing abicipar, and must use commercially reasonable efforts to develop, seek regulatory approval for, and commercialize abicipar in certain key countries, including the United States,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1440" w:right="379" w:bottom="1440" w:gutter="0" w:footer="0" w:header="0"/>
        </w:sectPr>
      </w:pPr>
    </w:p>
    <w:bookmarkStart w:id="277" w:name="page278"/>
    <w:bookmarkEnd w:id="277"/>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major European markets and Japan. Allergan paid the Group an upfront license fee of $45 million in May 2011 and a regulatory milestone fee of $15 million upon the initiation of its Phase 3 clinical trials for nAMD in July 2015. These non-refundable upfront fees have all been recognized into revenue in prior years. The Group is also eligible to receive up to an additional $210 million upon the achievement of certain development and regulatory milestone events and $150 million upon the achievement of certain sales milestone events. In addition, the Group will receive a tiered royalty percentage ranging from the low to mid-teens on worldwide annual net sales of abicipar.</w:t>
      </w:r>
    </w:p>
    <w:p>
      <w:pPr>
        <w:spacing w:after="0" w:line="10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August 2012, the Group strategically expanded its existing relationship with Allergan by entering into an exclusive discovery alliance agreement under which the parties will collaborate to design and develop DARPin products against selected targets that are implicated in causing diseases of the eye. The Group received an upfront payment of $40 million and a further $1.5 million upfront payment in connection with a 2014 amendment to the agreement, and Allergan agreed to pay us an option exercise fee of $10 million upon its exercise of further options. In July 2015, Allergan agreed to make an accelerated payment of $30 million for the exercise of these options. In February 2018 Allergan exercised its last of the three options resulting in a recognized revenue of CHF 9.4 million. All revenue from these non refundable fees has been recognized in prior years. The Group is also eligible to receive additional success-based payments, including up to $960 million in development, regulatory and sales milestones, and tiered royalties ranging from a mid-single digit to low double digit percentage for future product sales by Allergan.</w:t>
      </w:r>
    </w:p>
    <w:p>
      <w:pPr>
        <w:spacing w:after="0" w:line="98"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Leasehold</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improvements</w:t>
            </w: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5,984</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9,616</w:t>
            </w: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20,049</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8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(10,662)</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1,735</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7,203</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9,387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right-of-use assets relate to the facilities the Group is leasing in Schlieren, Switzerland. The additions to the the right-of-use assets during 2020 were TCHF 5,984 and related to the remeasurement of the lease liability following the exercise by the Group of an option for the extension of the lease by 5 years (until December 31, 2026) with a new earliest contractual termination date for both the lessor and the Group on the major real estate lease of December 31, 2025. Disposals under the right-of-use assets related to the return of certain assets to the lessor. Please also see note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Leasehold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improvements</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175"/>
        </w:trPr>
        <w:tc>
          <w:tcPr>
            <w:tcW w:w="2780" w:type="dxa"/>
            <w:vAlign w:val="bottom"/>
          </w:tcPr>
          <w:p>
            <w:pPr>
              <w:ind w:left="180"/>
              <w:spacing w:after="0" w:line="176" w:lineRule="exact"/>
              <w:rPr>
                <w:sz w:val="20"/>
                <w:szCs w:val="20"/>
                <w:color w:val="auto"/>
              </w:rPr>
            </w:pPr>
            <w:r>
              <w:rPr>
                <w:rFonts w:ascii="Arial" w:cs="Arial" w:eastAsia="Arial" w:hAnsi="Arial"/>
                <w:sz w:val="18"/>
                <w:szCs w:val="18"/>
                <w:color w:val="auto"/>
                <w:w w:val="93"/>
              </w:rPr>
              <w:t>Adoption of IFRS 16 as of January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1, 2019</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8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8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156"/>
        </w:trPr>
        <w:tc>
          <w:tcPr>
            <w:tcW w:w="2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2,535</w:t>
            </w:r>
          </w:p>
        </w:tc>
        <w:tc>
          <w:tcPr>
            <w:tcW w:w="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Intangible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500" w:type="dxa"/>
            <w:vAlign w:val="bottom"/>
            <w:tcBorders>
              <w:top w:val="single" w:sz="8" w:color="auto"/>
            </w:tcBorders>
          </w:tcPr>
          <w:p>
            <w:pPr>
              <w:spacing w:after="0"/>
              <w:rPr>
                <w:sz w:val="20"/>
                <w:szCs w:val="20"/>
                <w:color w:val="auto"/>
              </w:rPr>
            </w:pPr>
          </w:p>
        </w:tc>
      </w:tr>
      <w:tr>
        <w:trPr>
          <w:trHeight w:val="26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450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45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45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2020</w:t>
            </w:r>
          </w:p>
        </w:tc>
        <w:tc>
          <w:tcPr>
            <w:tcW w:w="4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320" w:type="dxa"/>
            <w:vAlign w:val="bottom"/>
            <w:tcBorders>
              <w:top w:val="single" w:sz="8" w:color="auto"/>
            </w:tcBorders>
          </w:tcPr>
          <w:p>
            <w:pPr>
              <w:spacing w:after="0"/>
              <w:rPr>
                <w:sz w:val="20"/>
                <w:szCs w:val="20"/>
                <w:color w:val="auto"/>
              </w:rPr>
            </w:pPr>
          </w:p>
        </w:tc>
      </w:tr>
      <w:tr>
        <w:trPr>
          <w:trHeight w:val="262"/>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shd w:val="clear" w:color="auto" w:fill="CCEEFF"/>
          </w:tcPr>
          <w:p>
            <w:pPr>
              <w:spacing w:after="0"/>
              <w:rPr>
                <w:sz w:val="19"/>
                <w:szCs w:val="19"/>
                <w:color w:val="auto"/>
              </w:rPr>
            </w:pP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r>
      <w:tr>
        <w:trPr>
          <w:trHeight w:val="210"/>
        </w:trPr>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320" w:type="dxa"/>
            <w:vAlign w:val="bottom"/>
          </w:tcPr>
          <w:p>
            <w:pPr>
              <w:spacing w:after="0"/>
              <w:rPr>
                <w:sz w:val="18"/>
                <w:szCs w:val="18"/>
                <w:color w:val="auto"/>
              </w:rPr>
            </w:pP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23"/>
        </w:trPr>
        <w:tc>
          <w:tcPr>
            <w:tcW w:w="9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r>
    </w:tbl>
    <w:p>
      <w:pPr>
        <w:spacing w:after="0" w:line="216" w:lineRule="exact"/>
        <w:rPr>
          <w:sz w:val="20"/>
          <w:szCs w:val="20"/>
          <w:color w:val="auto"/>
        </w:rPr>
      </w:pPr>
    </w:p>
    <w:p>
      <w:pPr>
        <w:ind w:left="380" w:hanging="372"/>
        <w:spacing w:after="0"/>
        <w:tabs>
          <w:tab w:leader="none" w:pos="3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Financial assets at</w:t>
            </w:r>
          </w:p>
        </w:tc>
        <w:tc>
          <w:tcPr>
            <w:tcW w:w="0" w:type="dxa"/>
            <w:vAlign w:val="bottom"/>
          </w:tcPr>
          <w:p>
            <w:pPr>
              <w:spacing w:after="0"/>
              <w:rPr>
                <w:sz w:val="1"/>
                <w:szCs w:val="1"/>
                <w:color w:val="auto"/>
              </w:rPr>
            </w:pPr>
          </w:p>
        </w:tc>
      </w:tr>
      <w:tr>
        <w:trPr>
          <w:trHeight w:val="46"/>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costs</w:t>
            </w:r>
          </w:p>
        </w:tc>
        <w:tc>
          <w:tcPr>
            <w:tcW w:w="0" w:type="dxa"/>
            <w:vAlign w:val="bottom"/>
          </w:tcPr>
          <w:p>
            <w:pPr>
              <w:spacing w:after="0"/>
              <w:rPr>
                <w:sz w:val="1"/>
                <w:szCs w:val="1"/>
                <w:color w:val="auto"/>
              </w:rPr>
            </w:pPr>
          </w:p>
        </w:tc>
      </w:tr>
      <w:tr>
        <w:trPr>
          <w:trHeight w:val="26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173,882</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mentioned amounts were neither past due nor impaired at the end of the respective reporting period and were of highly rated quality. Please also see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Financial liabilities at</w:t>
            </w:r>
          </w:p>
        </w:tc>
        <w:tc>
          <w:tcPr>
            <w:tcW w:w="0" w:type="dxa"/>
            <w:vAlign w:val="bottom"/>
          </w:tcPr>
          <w:p>
            <w:pPr>
              <w:spacing w:after="0"/>
              <w:rPr>
                <w:sz w:val="1"/>
                <w:szCs w:val="1"/>
                <w:color w:val="auto"/>
              </w:rPr>
            </w:pPr>
          </w:p>
        </w:tc>
      </w:tr>
      <w:tr>
        <w:trPr>
          <w:trHeight w:val="47"/>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12,765</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440" w:right="339" w:bottom="277" w:gutter="0" w:footer="0" w:header="0"/>
          <w:type w:val="continuous"/>
        </w:sectPr>
      </w:pPr>
    </w:p>
    <w:bookmarkStart w:id="280" w:name="page281"/>
    <w:bookmarkEnd w:id="280"/>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 of financial assets and financial liabilities not measured at fair value (except for lease liabilities) is a reasonable approximation of fair value.</w:t>
      </w:r>
    </w:p>
    <w:p>
      <w:pPr>
        <w:spacing w:after="0" w:line="9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Prepaid Expenses and Accrued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6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Prepayments</w:t>
            </w:r>
          </w:p>
        </w:tc>
        <w:tc>
          <w:tcPr>
            <w:tcW w:w="46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Accrued income</w:t>
            </w:r>
          </w:p>
        </w:tc>
        <w:tc>
          <w:tcPr>
            <w:tcW w:w="466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4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1,254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Trade and Other Receivables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Value added tax</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1,376</w:t>
            </w: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1,103</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2,837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r>
      <w:tr>
        <w:trPr>
          <w:trHeight w:val="682"/>
        </w:trPr>
        <w:tc>
          <w:tcPr>
            <w:tcW w:w="6880" w:type="dxa"/>
            <w:vAlign w:val="bottom"/>
          </w:tcPr>
          <w:p>
            <w:pPr>
              <w:spacing w:after="0"/>
              <w:rPr>
                <w:sz w:val="20"/>
                <w:szCs w:val="20"/>
                <w:color w:val="auto"/>
              </w:rPr>
            </w:pPr>
            <w:r>
              <w:rPr>
                <w:rFonts w:ascii="Arial" w:cs="Arial" w:eastAsia="Arial" w:hAnsi="Arial"/>
                <w:sz w:val="18"/>
                <w:szCs w:val="18"/>
                <w:color w:val="auto"/>
              </w:rPr>
              <w:t>Trade receivables are denominated in the following currencies: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68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1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USD</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200" w:lineRule="exact"/>
        <w:rPr>
          <w:sz w:val="20"/>
          <w:szCs w:val="20"/>
          <w:color w:val="auto"/>
        </w:rPr>
      </w:pPr>
    </w:p>
    <w:p>
      <w:pPr>
        <w:spacing w:after="0" w:line="259" w:lineRule="exact"/>
        <w:rPr>
          <w:sz w:val="20"/>
          <w:szCs w:val="20"/>
          <w:color w:val="auto"/>
        </w:rPr>
      </w:pPr>
    </w:p>
    <w:p>
      <w:pPr>
        <w:ind w:left="480" w:hanging="472"/>
        <w:spacing w:after="0"/>
        <w:tabs>
          <w:tab w:leader="none" w:pos="48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Cash, Cash Equivalents and Short-term Time Deposits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EUR</w:t>
            </w:r>
          </w:p>
        </w:tc>
        <w:tc>
          <w:tcPr>
            <w:tcW w:w="1460" w:type="dxa"/>
            <w:vAlign w:val="bottom"/>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USD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GBP</w:t>
            </w:r>
          </w:p>
        </w:tc>
        <w:tc>
          <w:tcPr>
            <w:tcW w:w="14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at bank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75,712</w:t>
            </w:r>
          </w:p>
        </w:tc>
      </w:tr>
      <w:tr>
        <w:trPr>
          <w:trHeight w:val="250"/>
        </w:trPr>
        <w:tc>
          <w:tcPr>
            <w:tcW w:w="8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time deposits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Short-term time deposits USD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short-term time deposits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19,368</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short-term time deposits in CHF at December 31, 2020 contain three positions with two major Swiss banks. The short-term time deposits in USD at December 31, 2019 contain one position with a major Swiss bank. Please also refer to note 25.</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increase in Cash, Cash equivalents and Short-term time deposits during 2020 was the result of the placement of new shares in July 2020, the reservation agreement with the Swiss Federal Office of Public Health: Bundesamt für Gesundheit (FOPH-BAG) in August 2020 and the Option and Equity Rights agreement with Novartis in October 2020, as also described in notes 1, 5 and 12.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1440" w:right="339" w:bottom="1440" w:gutter="0" w:footer="0" w:header="0"/>
          <w:type w:val="continuous"/>
        </w:sectPr>
      </w:pPr>
    </w:p>
    <w:bookmarkStart w:id="281" w:name="page282"/>
    <w:bookmarkEnd w:id="281"/>
    <w:p>
      <w:pPr>
        <w:spacing w:after="0" w:line="131" w:lineRule="exact"/>
        <w:rPr>
          <w:sz w:val="20"/>
          <w:szCs w:val="20"/>
          <w:color w:val="auto"/>
        </w:rPr>
      </w:pPr>
    </w:p>
    <w:p>
      <w:pPr>
        <w:ind w:left="500" w:hanging="492"/>
        <w:spacing w:after="0"/>
        <w:tabs>
          <w:tab w:leader="none" w:pos="50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Shareholders’ Equity</w:t>
      </w:r>
    </w:p>
    <w:p>
      <w:pPr>
        <w:spacing w:after="0" w:line="13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Group announced on July 7, 2020 a placement of 5,528,089 new registered shares, corresponding to approximately 25% of the Group's registered share capital, by way of an accelerated bookbuilding process, at an offering price of CHF 14.50 per share. The new shares were issued from existing authorized share capital of the company under exclusion of the existing shareholders' pre-emptive rights. The new shares were listed and admitted to trading on SIX Swiss Exchange as of July 9, 2020. Payment and settlement took place on the same date.</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Presented under the caption of additional paid-in capital on the statement of financial position, the Group accounted for a deduction of 6,043 TCHF for transaction costs. This deduction represents the costs that were incremental and directly attributable to the issuance of the new shares. The Group invested part of the net proceeds from the capital increase into short-term time deposits and the remaining part into cash and cash equivalents.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28, 2020 the Group announced an Option and Equity Rights Agreement with Novartis. As part of the transaction, Novartis agreed to acquire 1,739,130 new common shares for CHF 40 million, out of the conditional capital, at a price of CHF 23 per share. As a result, Novartis holds approximately 6% of the outstanding shares of the Company.</w:t>
      </w:r>
    </w:p>
    <w:p>
      <w:pPr>
        <w:spacing w:after="0" w:line="10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Presented under the caption of additional paid-in capital on the statement of financial position, the Group accounted for a deduction of TCHF 501 for transaction costs. This deduction represents the costs that were incremental and directly attributable to the issuance of the new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Group invested part of the net proceeds from the capital increases into short-term time deposits and the remaining part into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Classes of Share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capital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31, 2020, the Company’s issued share capital amounted to CHF 2,914,699.20 divided into 29,146,992 fully paid registered shares with a nominal value of CHF 0.10 each. As of December 31, 2019, the Company’s issued share capital consisted of 21,601,192 fully paid registered shares with a nominal value of CHF 0.10 each. Common shares are entitled to one vote per share and rank equally with regards to the Company's residual assets and dividends (if any should be declared in the future).</w:t>
      </w:r>
    </w:p>
    <w:p>
      <w:pPr>
        <w:spacing w:after="0" w:line="1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share capital registered with the Swiss Commercial Register on December 31, 2020, amounted to CHF 2,886,841.10 divided into 28,868,411 fully paid up registered shares with a nominal value of CHF 0.10 per share.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7,545,800 new registered shares were issued in 2020 as a result of the placement of new shares following the capital raise in July 2020 and the Novartis agreement in October 2020 plus the option exercises and the vesting of Performance Share Units, or PSU, and Restricted Share Units (RSU), from the PSU and RSU plans 2017. The corresponding capital increases were registered with the commercial register in three steps on July 20, 2020, and November 9, 2020 for the transactions in July and October and on January 29, 2021 for the option exercises and the vesting of the PSU and RSU Plans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58"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Board of Directors is authorized to increase the share capital at any time until April 19, 2022 by a maximum amount of CHF 13,177 by issuing a maximum of 131,771 fully paid up shares with a nominal value of CHF 0.10 each. An increase of the share capital in partial amounts is permissible.</w:t>
      </w:r>
    </w:p>
    <w:p>
      <w:pPr>
        <w:spacing w:after="0" w:line="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2020, the share capital was increased out of authorized share capital for the private placement performed in July 2020. As a result, the available authorized share capital was reduced by CHF 552,809 from CHF 565,986 to CHF 13,177.</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is authorized to determine the issue price, type of payment, time of the issuance, conditions for the exercise of the preemptive rights and the date from which the shares carry the right to dividends.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Directors can issue new shares by means of an underwriting arrangement by a bank or another third party with a subsequent offer of these shares to the existing shareholders or third parties (if the preemptive rights of the existing shareholders have been denied or not been duly exercised). The Board of Directors is authorized to permit, to restrict or to deny the trade of preemptive rights. 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Group.</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Board of Directors is further authorized to restrict or deny the preemptive rights of shareholders and to allocate them to third parties: (a) for the acquisition of companies, parts of companies or participations, for the acquisition of products, intellectual property or licenses, for investment projects or for the financing or refinancing of such transactions through a placement of shares, (b) for the purpose of broadening the shareholder constituency or in connection with a listing of shares on domestic or foreign stock exchanges, (c) if the issue price of the new shares is determined by reference to the market price, (d) for purposes of granting an over-allotment option (Greenshoe) of up to 20% of the total number of shares in a placement or sale of shares to the respective initial purchasers or underwriters, (e) following a shareholder or a group of shareholders acting in concert having accumulated shareholdings in excess of 15% of the share capital registered with the commercial register of the Canton of Zurich, without having submitted to the other shareholders a take-over offer recommended by the Board of Directors, or (f) for the defense of an actual, threatened or potential takeover bid, in relation to which the Board of Directors has not recommended to the shareholders acceptance on the basis that the Board of Directors has not found the takeover bid to be financially fair to the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share capital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2020 the Company’s share capital was allowed to be increased by an amount not to exceed CHF 176,068 through the issuance of up to 1,760,677 fully paid up shares with a nominal value of CHF 0.10 per share through the direct or indirect issuance of shares, options or preemptive rights granted to employees, members of the Board of Directors or members of any advisory boards. During 2020, the share capital was increased out of this conditional capital for employee participation (Article 3b of the Articles of Association). As a result, the available conditional capital for employee participation was reduced by CHF 27,858 from CHF 203,926 to CHF 176,068.</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share capital may be increased by an amount not to exceed CHF 226,087 through the issuance of up to 2,260,870 fully paid up shares with a nominal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2020, the share capital was increased out of this conditional capital for financing transactions and other purposes (Article 3c of the Articles of Association). As a result, the available conditional capital for financing transactions and other purposes was reduced by CHF 173,913 from CHF 400,000 to CHF 226,087.</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2020, the cash proceeds from the exercise of share options and the vesting of PSUs amounted to TCHF 848 and was all serviced from the issuance of new shares (conditional share capital).</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2019, the cash proceeds from the exercise of share options and the early vesting of PSUs amounted to TCHF 1,020 and all was serviced from the issuance of new shares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1440" w:right="399" w:bottom="1440" w:gutter="0" w:footer="0" w:header="0"/>
        </w:sectPr>
      </w:pPr>
    </w:p>
    <w:bookmarkStart w:id="283" w:name="page284"/>
    <w:bookmarkEnd w:id="28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largest shareholders in the Company disclosed to the Company based on the published notifications to SIX, as applicable, 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Shareholders with over 3% of share capital registered with the</w:t>
            </w:r>
          </w:p>
        </w:tc>
        <w:tc>
          <w:tcPr>
            <w:tcW w:w="346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Commercial Register</w:t>
            </w:r>
          </w:p>
        </w:tc>
        <w:tc>
          <w:tcPr>
            <w:tcW w:w="34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 N. Lampert (Biotechnology Value Funds)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7.56 %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Hansjoerg Wyss</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7.07 %</w:t>
            </w:r>
          </w:p>
        </w:tc>
        <w:tc>
          <w:tcPr>
            <w:tcW w:w="1060" w:type="dxa"/>
            <w:vAlign w:val="bottom"/>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Suvretta Capital Management, LLC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6.06 %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Novartis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6.02 %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Federated Hermes, Inc.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5.81 %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Essex Woodlands Health Ventures VIII, LLC</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5.61 %</w:t>
            </w:r>
          </w:p>
        </w:tc>
        <w:tc>
          <w:tcPr>
            <w:tcW w:w="1060" w:type="dxa"/>
            <w:vAlign w:val="bottom"/>
          </w:tcPr>
          <w:p>
            <w:pPr>
              <w:jc w:val="right"/>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UBS Fund Management (Switzerland) AG</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3.72 %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Michael Tobias Stumpp</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Patrick Amstutz</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Andreas Plückthun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Pictet Asset Management (Direction de Fonds)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Johnson &amp;Johnson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Patrik Forrer</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GAM Holding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percentages above are based on (i) the number of shares held by such shareholders, excluding any options, PSUs and RSUs held by such shareholders and (ii) for the year ended December 31, 2020, 28,868,411 common shares, which is the share capital registered with the commercial registry on December 31, 2020 (December 31, 2019, 21,228,593 common shares</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Trade and Other Payables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2,800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Social security</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1,715</w:t>
            </w: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added tax</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5,825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2,410</w:t>
            </w:r>
          </w:p>
        </w:tc>
      </w:tr>
      <w:tr>
        <w:trPr>
          <w:trHeight w:val="439"/>
        </w:trPr>
        <w:tc>
          <w:tcPr>
            <w:tcW w:w="6720" w:type="dxa"/>
            <w:vAlign w:val="bottom"/>
          </w:tcPr>
          <w:p>
            <w:pPr>
              <w:spacing w:after="0"/>
              <w:rPr>
                <w:sz w:val="20"/>
                <w:szCs w:val="20"/>
                <w:color w:val="auto"/>
              </w:rPr>
            </w:pPr>
            <w:r>
              <w:rPr>
                <w:rFonts w:ascii="Arial" w:cs="Arial" w:eastAsia="Arial" w:hAnsi="Arial"/>
                <w:sz w:val="18"/>
                <w:szCs w:val="18"/>
                <w:color w:val="auto"/>
              </w:rPr>
              <w:t>Trade payables are denominated in the following currencies:</w:t>
            </w:r>
          </w:p>
        </w:tc>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7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EUR</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2,043</w:t>
            </w: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GBP</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184</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2,800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Accrued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 CHF thousands</w:t>
            </w:r>
          </w:p>
        </w:tc>
        <w:tc>
          <w:tcPr>
            <w:tcW w:w="43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20" w:type="dxa"/>
            <w:vAlign w:val="bottom"/>
          </w:tcPr>
          <w:p>
            <w:pPr>
              <w:spacing w:after="0"/>
              <w:rPr>
                <w:sz w:val="19"/>
                <w:szCs w:val="19"/>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project costs and royalties</w:t>
            </w:r>
          </w:p>
        </w:tc>
        <w:tc>
          <w:tcPr>
            <w:tcW w:w="43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1,972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payroll and bonuses</w:t>
            </w:r>
          </w:p>
        </w:tc>
        <w:tc>
          <w:tcPr>
            <w:tcW w:w="4360" w:type="dxa"/>
            <w:vAlign w:val="bottom"/>
          </w:tcPr>
          <w:p>
            <w:pPr>
              <w:jc w:val="right"/>
              <w:ind w:right="572"/>
              <w:spacing w:after="0"/>
              <w:rPr>
                <w:sz w:val="20"/>
                <w:szCs w:val="20"/>
                <w:color w:val="auto"/>
              </w:rPr>
            </w:pPr>
            <w:r>
              <w:rPr>
                <w:rFonts w:ascii="Arial" w:cs="Arial" w:eastAsia="Arial" w:hAnsi="Arial"/>
                <w:sz w:val="18"/>
                <w:szCs w:val="18"/>
                <w:color w:val="auto"/>
              </w:rPr>
              <w:t>4,967</w:t>
            </w: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w:t>
            </w:r>
          </w:p>
        </w:tc>
        <w:tc>
          <w:tcPr>
            <w:tcW w:w="43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7,718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60"/>
          </w:cols>
          <w:pgMar w:left="220" w:top="1440" w:right="419" w:bottom="1440" w:gutter="0" w:footer="0" w:header="0"/>
        </w:sectPr>
      </w:pPr>
    </w:p>
    <w:bookmarkStart w:id="285" w:name="page286"/>
    <w:bookmarkEnd w:id="285"/>
    <w:p>
      <w:pPr>
        <w:spacing w:after="0" w:line="131" w:lineRule="exact"/>
        <w:rPr>
          <w:sz w:val="20"/>
          <w:szCs w:val="20"/>
          <w:color w:val="auto"/>
        </w:rPr>
      </w:pPr>
    </w:p>
    <w:p>
      <w:pPr>
        <w:ind w:left="500" w:hanging="492"/>
        <w:spacing w:after="0"/>
        <w:tabs>
          <w:tab w:leader="none" w:pos="5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Contract Liability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Group expects the contract liability to be recognized as revenue or (in case of consideration payable to a customer) reduction of costs,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 cost reduction in year one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r>
        <w:trPr>
          <w:trHeight w:val="257"/>
        </w:trPr>
        <w:tc>
          <w:tcPr>
            <w:tcW w:w="810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r>
      <w:tr>
        <w:trPr>
          <w:trHeight w:val="21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one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during 2020 on the contract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302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Contract liability at</w:t>
            </w:r>
          </w:p>
        </w:tc>
        <w:tc>
          <w:tcPr>
            <w:tcW w:w="13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Additions</w:t>
            </w:r>
          </w:p>
        </w:tc>
        <w:tc>
          <w:tcPr>
            <w:tcW w:w="154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Recognized as</w:t>
            </w:r>
          </w:p>
        </w:tc>
        <w:tc>
          <w:tcPr>
            <w:tcW w:w="132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w w:val="91"/>
              </w:rPr>
              <w:t>Offset of costs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Contract liability at</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January 1, 2020</w:t>
            </w:r>
          </w:p>
        </w:tc>
        <w:tc>
          <w:tcPr>
            <w:tcW w:w="13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Revenue</w:t>
            </w:r>
          </w:p>
        </w:tc>
        <w:tc>
          <w:tcPr>
            <w:tcW w:w="13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26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(9,344)</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18,983</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Novartis</w:t>
            </w: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20,000</w:t>
            </w:r>
          </w:p>
        </w:tc>
        <w:tc>
          <w:tcPr>
            <w:tcW w:w="154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772"/>
              <w:spacing w:after="0"/>
              <w:rPr>
                <w:sz w:val="20"/>
                <w:szCs w:val="20"/>
                <w:color w:val="auto"/>
              </w:rPr>
            </w:pPr>
            <w:r>
              <w:rPr>
                <w:rFonts w:ascii="Arial" w:cs="Arial" w:eastAsia="Arial" w:hAnsi="Arial"/>
                <w:sz w:val="18"/>
                <w:szCs w:val="18"/>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19,904</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7,000</w:t>
            </w:r>
          </w:p>
        </w:tc>
        <w:tc>
          <w:tcPr>
            <w:tcW w:w="1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tcPr>
          <w:p>
            <w:pPr>
              <w:jc w:val="right"/>
              <w:ind w:right="252"/>
              <w:spacing w:after="0"/>
              <w:rPr>
                <w:sz w:val="20"/>
                <w:szCs w:val="20"/>
                <w:color w:val="auto"/>
              </w:rPr>
            </w:pPr>
            <w:r>
              <w:rPr>
                <w:rFonts w:ascii="Arial" w:cs="Arial" w:eastAsia="Arial" w:hAnsi="Arial"/>
                <w:sz w:val="18"/>
                <w:szCs w:val="18"/>
                <w:b w:val="1"/>
                <w:bCs w:val="1"/>
                <w:color w:val="auto"/>
              </w:rPr>
              <w:t>27,000</w:t>
            </w:r>
          </w:p>
        </w:tc>
        <w:tc>
          <w:tcPr>
            <w:tcW w:w="1540" w:type="dxa"/>
            <w:vAlign w:val="bottom"/>
          </w:tcPr>
          <w:p>
            <w:pPr>
              <w:jc w:val="right"/>
              <w:ind w:right="213"/>
              <w:spacing w:after="0"/>
              <w:rPr>
                <w:sz w:val="20"/>
                <w:szCs w:val="20"/>
                <w:color w:val="auto"/>
              </w:rPr>
            </w:pPr>
            <w:r>
              <w:rPr>
                <w:rFonts w:ascii="Arial" w:cs="Arial" w:eastAsia="Arial" w:hAnsi="Arial"/>
                <w:sz w:val="18"/>
                <w:szCs w:val="18"/>
                <w:b w:val="1"/>
                <w:bCs w:val="1"/>
                <w:color w:val="auto"/>
              </w:rPr>
              <w:t>(9,344)</w:t>
            </w:r>
          </w:p>
        </w:tc>
        <w:tc>
          <w:tcPr>
            <w:tcW w:w="1320" w:type="dxa"/>
            <w:vAlign w:val="bottom"/>
          </w:tcPr>
          <w:p>
            <w:pPr>
              <w:jc w:val="center"/>
              <w:ind w:left="772"/>
              <w:spacing w:after="0"/>
              <w:rPr>
                <w:sz w:val="20"/>
                <w:szCs w:val="20"/>
                <w:color w:val="auto"/>
              </w:rPr>
            </w:pPr>
            <w:r>
              <w:rPr>
                <w:rFonts w:ascii="Arial" w:cs="Arial" w:eastAsia="Arial" w:hAnsi="Arial"/>
                <w:sz w:val="18"/>
                <w:szCs w:val="18"/>
                <w:b w:val="1"/>
                <w:bCs w:val="1"/>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45,887</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amount of TCHF 96 has been released to offset a corresponding amount of costs paid to the Novartis Group for the manufacturing of the drug product to establish the commercial supply of MP0420 (see note 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Current</w:t>
            </w:r>
          </w:p>
        </w:tc>
        <w:tc>
          <w:tcPr>
            <w:tcW w:w="15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Non-Current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16,044</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Novartis</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19,904</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19,904</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FOPG-BAG</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7,000</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42,948</w:t>
            </w: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2,939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Additional Information on the Nature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Research and development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consumables and external research and development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325"/>
        </w:trPr>
        <w:tc>
          <w:tcPr>
            <w:tcW w:w="8220" w:type="dxa"/>
            <w:vAlign w:val="bottom"/>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(1)</w:t>
            </w:r>
            <w:r>
              <w:rPr>
                <w:rFonts w:ascii="Arial" w:cs="Arial" w:eastAsia="Arial" w:hAnsi="Arial"/>
                <w:sz w:val="18"/>
                <w:szCs w:val="18"/>
                <w:color w:val="auto"/>
              </w:rPr>
              <w:t>, see also note 18</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(25,251)</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80"/>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Royalties and license fees, see also note 17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(56,075)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(43,498)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25"/>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(2)</w:t>
            </w:r>
            <w:r>
              <w:rPr>
                <w:rFonts w:ascii="Arial" w:cs="Arial" w:eastAsia="Arial" w:hAnsi="Arial"/>
                <w:sz w:val="18"/>
                <w:szCs w:val="18"/>
                <w:color w:val="auto"/>
              </w:rPr>
              <w:t>, see also note 18</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87"/>
        </w:trPr>
        <w:tc>
          <w:tcPr>
            <w:tcW w:w="82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administrative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0" w:type="dxa"/>
            <w:vAlign w:val="bottom"/>
          </w:tcPr>
          <w:p>
            <w:pPr>
              <w:spacing w:after="0"/>
              <w:rPr>
                <w:sz w:val="1"/>
                <w:szCs w:val="1"/>
                <w:color w:val="auto"/>
              </w:rPr>
            </w:pPr>
          </w:p>
        </w:tc>
      </w:tr>
      <w:tr>
        <w:trPr>
          <w:trHeight w:val="20"/>
        </w:trPr>
        <w:tc>
          <w:tcPr>
            <w:tcW w:w="8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Research and development non-cash effective pension and share-based compensation costs were TCHF 2,612 in 2020 and TCHF 1,549 in 2019.</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Selling, general and administrative non-cash effective pension and share based compensation costs were TCHF 1,573 in 2020 and TCHF 1,351 in 2019.</w:t>
      </w:r>
    </w:p>
    <w:p>
      <w:pPr>
        <w:spacing w:after="0" w:line="134" w:lineRule="exact"/>
        <w:rPr>
          <w:sz w:val="20"/>
          <w:szCs w:val="20"/>
          <w:color w:val="auto"/>
        </w:rPr>
      </w:pPr>
    </w:p>
    <w:p>
      <w:pPr>
        <w:ind w:left="500" w:hanging="492"/>
        <w:spacing w:after="0"/>
        <w:tabs>
          <w:tab w:leader="none" w:pos="50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Group holds an exclusive perpetual license from the University of Zurich on patent applications and patents relating to the DARPin® base technology. Under this license agreement, the Group is required to pay the University of Zurich flat royalties of a low single digit percentage on net sales of licensed products, which vary based on the field in which the licensed product is commercialized. In addition, the Group is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Finally, the Group is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 teens. The Group has the right to terminate the license at any time with six months’ prior written notice. The minimum amount the Group is required to pay is CHF 60,000 per annum (including CHF 10,000 for another separate license). The minimum amount payable for 2019 was CHF 50,000. For both 2020 and 2019 the minimum amounts were payable. Royalties to the University of Zurich are due annually based on a full calendar year and payable until the end of February in the following calendar year.</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May 2020, the Group entered into a research collaboration agreement with the University of Utrecht regarding the development of the Group's COVID-19 program. Under this agreement, the Group paid a fee of CHF 250,000 to the University of Utrecht. An additional fee of CHF 250,000 is payable under this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440" w:right="339" w:bottom="1440" w:gutter="0" w:footer="0" w:header="0"/>
          <w:type w:val="continuous"/>
        </w:sectPr>
      </w:pPr>
    </w:p>
    <w:bookmarkStart w:id="287" w:name="page288"/>
    <w:bookmarkEnd w:id="287"/>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8"/>
          <w:szCs w:val="18"/>
          <w:b w:val="1"/>
          <w:bCs w:val="1"/>
          <w:color w:val="auto"/>
        </w:rPr>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Share-based compensation (non-cash effective)</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costs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Social security costs</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personnel expenses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(33,634)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(27,592)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equivalents and head count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number of full-time equivalents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Full-time equivalents at year end</w:t>
            </w:r>
          </w:p>
        </w:tc>
        <w:tc>
          <w:tcPr>
            <w:tcW w:w="15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Headcount at year end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503"/>
        </w:trPr>
        <w:tc>
          <w:tcPr>
            <w:tcW w:w="79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18.1  Pension Costs and Liabilities</w:t>
            </w: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9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Actuarial assumptions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at January 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Discount rate at December 31 </w:t>
            </w:r>
            <w:r>
              <w:rPr>
                <w:rFonts w:ascii="Arial" w:cs="Arial" w:eastAsia="Arial" w:hAnsi="Arial"/>
                <w:sz w:val="23"/>
                <w:szCs w:val="23"/>
                <w:color w:val="auto"/>
                <w:vertAlign w:val="superscript"/>
              </w:rPr>
              <w:t>(1)</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salary increases at December 31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Mortality tables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BVG2015 GT</w:t>
            </w:r>
          </w:p>
        </w:tc>
        <w:tc>
          <w:tcPr>
            <w:tcW w:w="1560" w:type="dxa"/>
            <w:vAlign w:val="bottom"/>
          </w:tcPr>
          <w:p>
            <w:pPr>
              <w:jc w:val="right"/>
              <w:spacing w:after="0"/>
              <w:rPr>
                <w:sz w:val="20"/>
                <w:szCs w:val="20"/>
                <w:color w:val="auto"/>
              </w:rPr>
            </w:pPr>
            <w:r>
              <w:rPr>
                <w:rFonts w:ascii="Arial" w:cs="Arial" w:eastAsia="Arial" w:hAnsi="Arial"/>
                <w:sz w:val="18"/>
                <w:szCs w:val="18"/>
                <w:color w:val="auto"/>
              </w:rPr>
              <w:t>BVG2015 GT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last actuarial valuation</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31.12.2020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31.12.2019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Reconciliation of the amount recognized in the statement of financial position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54,512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48,455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Fair value of plan assets at December 31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41,089</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13,423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10,656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Components of defined benefit cost in profit or loss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service cost (employer)</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Past service cost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on defined benefit obligation</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Interest (income) on plan assets</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Defined benefit cost recognized in profit or loss</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3,080</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service cost and administrative cost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thereof net interest expense on the net defined benefit liability</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Reconciliation of net defined benefit liability</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defined benefit liability at January 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1440" w:right="339" w:bottom="1440" w:gutter="0" w:footer="0" w:header="0"/>
          <w:type w:val="continuous"/>
        </w:sectPr>
      </w:pPr>
    </w:p>
    <w:bookmarkStart w:id="288" w:name="page289"/>
    <w:bookmarkEnd w:id="288"/>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20" w:type="dxa"/>
            <w:vAlign w:val="bottom"/>
            <w:shd w:val="clear" w:color="auto" w:fill="CCEEFF"/>
          </w:tcPr>
          <w:p>
            <w:pPr>
              <w:ind w:left="360"/>
              <w:spacing w:after="0" w:line="225" w:lineRule="exact"/>
              <w:rPr>
                <w:sz w:val="20"/>
                <w:szCs w:val="20"/>
                <w:color w:val="auto"/>
              </w:rPr>
            </w:pPr>
            <w:r>
              <w:rPr>
                <w:rFonts w:ascii="Arial" w:cs="Arial" w:eastAsia="Arial" w:hAnsi="Arial"/>
                <w:sz w:val="18"/>
                <w:szCs w:val="18"/>
                <w:color w:val="auto"/>
              </w:rPr>
              <w:t xml:space="preserve">Defined benefit cost recognized in profit or loss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29"/>
        </w:trPr>
        <w:tc>
          <w:tcPr>
            <w:tcW w:w="68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Contributions by the employer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30"/>
        </w:trPr>
        <w:tc>
          <w:tcPr>
            <w:tcW w:w="6820" w:type="dxa"/>
            <w:vAlign w:val="bottom"/>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13,423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10,656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defined benefit obligation</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Defined benefit obligation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48,455</w:t>
            </w:r>
          </w:p>
        </w:tc>
        <w:tc>
          <w:tcPr>
            <w:tcW w:w="1140" w:type="dxa"/>
            <w:vAlign w:val="bottom"/>
          </w:tcPr>
          <w:p>
            <w:pPr>
              <w:jc w:val="right"/>
              <w:spacing w:after="0"/>
              <w:rPr>
                <w:sz w:val="20"/>
                <w:szCs w:val="20"/>
                <w:color w:val="auto"/>
              </w:rPr>
            </w:pPr>
            <w:r>
              <w:rPr>
                <w:rFonts w:ascii="Arial" w:cs="Arial" w:eastAsia="Arial" w:hAnsi="Arial"/>
                <w:sz w:val="18"/>
                <w:szCs w:val="18"/>
                <w:color w:val="auto"/>
              </w:rPr>
              <w:t>36,609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Current service cost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3,033</w:t>
            </w:r>
          </w:p>
        </w:tc>
        <w:tc>
          <w:tcPr>
            <w:tcW w:w="11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Past service cost</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(gain)/loss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Defined benefit obligation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54,512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48,455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 recognized in OCI</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Actuarial (gain) / loss on changes in financial assumptions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 / loss arising from experience adjustments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Actuarial (gain)/loss on defined benefit obligation</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335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5,737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excluding interest income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fair value of plan assets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Fair value of plan assets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37,799</w:t>
            </w:r>
          </w:p>
        </w:tc>
        <w:tc>
          <w:tcPr>
            <w:tcW w:w="114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on plan assets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1,827</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 interest income</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Fair value of plan assets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Best estimate of contributions of next year</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1,834</w:t>
            </w:r>
          </w:p>
        </w:tc>
        <w:tc>
          <w:tcPr>
            <w:tcW w:w="114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 asset classes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8,118</w:t>
            </w: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16,791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Debt instruments (e.g. bonds)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5,671</w:t>
            </w:r>
          </w:p>
        </w:tc>
        <w:tc>
          <w:tcPr>
            <w:tcW w:w="114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funds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1,483</w:t>
            </w: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33,138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7,951</w:t>
            </w:r>
          </w:p>
        </w:tc>
        <w:tc>
          <w:tcPr>
            <w:tcW w:w="114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(non-quoted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7,951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Total plan assets at fair value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entity's own transferable financial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tcPr>
          <w:p>
            <w:pPr>
              <w:ind w:left="360"/>
              <w:spacing w:after="0"/>
              <w:rPr>
                <w:sz w:val="20"/>
                <w:szCs w:val="20"/>
                <w:color w:val="auto"/>
              </w:rPr>
            </w:pPr>
            <w:r>
              <w:rPr>
                <w:rFonts w:ascii="Arial" w:cs="Arial" w:eastAsia="Arial" w:hAnsi="Arial"/>
                <w:sz w:val="18"/>
                <w:szCs w:val="18"/>
                <w:color w:val="auto"/>
              </w:rPr>
              <w:t>thereof property occupied or other assets used by the entity</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Sensitivity </w:t>
            </w:r>
            <w:r>
              <w:rPr>
                <w:rFonts w:ascii="Arial" w:cs="Arial" w:eastAsia="Arial" w:hAnsi="Arial"/>
                <w:sz w:val="23"/>
                <w:szCs w:val="23"/>
                <w:b w:val="1"/>
                <w:bCs w:val="1"/>
                <w:color w:val="auto"/>
                <w:vertAlign w:val="superscript"/>
              </w:rPr>
              <w:t>(4)</w:t>
            </w:r>
          </w:p>
        </w:tc>
        <w:tc>
          <w:tcPr>
            <w:tcW w:w="2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57,383</w:t>
            </w:r>
          </w:p>
        </w:tc>
        <w:tc>
          <w:tcPr>
            <w:tcW w:w="1140" w:type="dxa"/>
            <w:vAlign w:val="bottom"/>
          </w:tcPr>
          <w:p>
            <w:pPr>
              <w:jc w:val="right"/>
              <w:spacing w:after="0"/>
              <w:rPr>
                <w:sz w:val="20"/>
                <w:szCs w:val="20"/>
                <w:color w:val="auto"/>
              </w:rPr>
            </w:pPr>
            <w:r>
              <w:rPr>
                <w:rFonts w:ascii="Arial" w:cs="Arial" w:eastAsia="Arial" w:hAnsi="Arial"/>
                <w:sz w:val="18"/>
                <w:szCs w:val="18"/>
                <w:color w:val="auto"/>
              </w:rPr>
              <w:t>51,038</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51,871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46,077</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54,033</w:t>
            </w:r>
          </w:p>
        </w:tc>
        <w:tc>
          <w:tcPr>
            <w:tcW w:w="114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55,417</w:t>
            </w:r>
          </w:p>
        </w:tc>
        <w:tc>
          <w:tcPr>
            <w:tcW w:w="1140" w:type="dxa"/>
            <w:vAlign w:val="bottom"/>
          </w:tcPr>
          <w:p>
            <w:pPr>
              <w:jc w:val="right"/>
              <w:spacing w:after="0"/>
              <w:rPr>
                <w:sz w:val="20"/>
                <w:szCs w:val="20"/>
                <w:color w:val="auto"/>
              </w:rPr>
            </w:pPr>
            <w:r>
              <w:rPr>
                <w:rFonts w:ascii="Arial" w:cs="Arial" w:eastAsia="Arial" w:hAnsi="Arial"/>
                <w:sz w:val="18"/>
                <w:szCs w:val="18"/>
                <w:color w:val="auto"/>
              </w:rPr>
              <w:t>47,691</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53,611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Maturity profile of defined benefit obligation</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active members</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pensioners</w:t>
            </w:r>
          </w:p>
        </w:tc>
        <w:tc>
          <w:tcPr>
            <w:tcW w:w="20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20.3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bl>
    <w:p>
      <w:pPr>
        <w:spacing w:after="0" w:line="219"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Discount rates are based on industry benchmarks related to benefits with a 20 year duration</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In liabilities for employee benefits, as presented in the statement of financial position included are also TCHF 255 (2019: TCHF 240) for accrued sabbatical cost.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 sum of these two positions represent the non-cash effective pension costs recognized in the income statement, of which TCHF 1,039 are research and development costs (2019: TCHF 358) and</w:t>
      </w:r>
    </w:p>
    <w:p>
      <w:pPr>
        <w:spacing w:after="0" w:line="24"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TCHF 214 are selling, general and administrative costs (2019: TCHF 104).</w:t>
      </w:r>
    </w:p>
    <w:p>
      <w:pPr>
        <w:spacing w:after="0" w:line="12" w:lineRule="exact"/>
        <w:rPr>
          <w:rFonts w:ascii="Arial" w:cs="Arial" w:eastAsia="Arial" w:hAnsi="Arial"/>
          <w:sz w:val="12"/>
          <w:szCs w:val="12"/>
          <w:color w:val="auto"/>
        </w:rPr>
      </w:pPr>
    </w:p>
    <w:p>
      <w:pPr>
        <w:ind w:left="340" w:right="40" w:hanging="332"/>
        <w:spacing w:after="0" w:line="270" w:lineRule="auto"/>
        <w:tabs>
          <w:tab w:leader="none" w:pos="335" w:val="left"/>
        </w:tabs>
        <w:numPr>
          <w:ilvl w:val="0"/>
          <w:numId w:val="162"/>
        </w:numPr>
        <w:rPr>
          <w:rFonts w:ascii="Arial" w:cs="Arial" w:eastAsia="Arial" w:hAnsi="Arial"/>
          <w:sz w:val="13"/>
          <w:szCs w:val="13"/>
          <w:color w:val="auto"/>
        </w:rPr>
      </w:pPr>
      <w:r>
        <w:rPr>
          <w:rFonts w:ascii="Arial" w:cs="Arial" w:eastAsia="Arial" w:hAnsi="Arial"/>
          <w:sz w:val="13"/>
          <w:szCs w:val="13"/>
          <w:color w:val="auto"/>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we could change the longevity for most of the age categories by one year longer or shorter than the baseline value.</w:t>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Share-based Compensation Plan</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18.2.1</w:t>
      </w:r>
      <w:r>
        <w:rPr>
          <w:sz w:val="20"/>
          <w:szCs w:val="20"/>
          <w:color w:val="auto"/>
        </w:rPr>
        <w:tab/>
      </w:r>
      <w:r>
        <w:rPr>
          <w:rFonts w:ascii="Arial" w:cs="Arial" w:eastAsia="Arial" w:hAnsi="Arial"/>
          <w:sz w:val="19"/>
          <w:szCs w:val="19"/>
          <w:b w:val="1"/>
          <w:bCs w:val="1"/>
          <w:color w:val="auto"/>
        </w:rPr>
        <w:t>Employee Share Option Plans, or ESOP</w:t>
      </w:r>
    </w:p>
    <w:p>
      <w:pPr>
        <w:spacing w:after="0" w:line="138"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ESOP 2009 established in December 2009</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ESOP 2014 established in July 2014</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ESOP is an incentive tool that fosters the entrepreneurial spirit and performance by way of financial participation in the Group’s long term success. It gives employees, members of the Board of Directors and selected advisors a beneficial opportunity to purchase shares of the Company. Each option entitles its holder to purchase one share of the Company at a pre-defined exercise price. The number of options granted to each participant was determined by the Board of Directors based on a participant’s position and level of responsibility. The options generally vest quarterly over four years, with cliff vesting of 25% after one year. At the end of the option term, unexercised options expire without value The expenses are recognized pro rata as per the graded vesting schedule starting generally from grant date until vesting date.</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an aggregate of 382,059 options were outstanding under the ESOP 2009 and ESOP 2014. All these options are fully vested at the reporting date.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2019, an aggregate of 560,250 options were outstanding under the ESOP 2009 and ESOP 2014. All these options are fully vested at the reporting date.</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the initial public offering of the Company on the SIX Swiss Exchange on November 5, 2014, no further option grants have been made under any of these two share option plans.</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18.2.2</w:t>
      </w:r>
      <w:r>
        <w:rPr>
          <w:sz w:val="20"/>
          <w:szCs w:val="20"/>
          <w:color w:val="auto"/>
        </w:rPr>
        <w:tab/>
      </w:r>
      <w:r>
        <w:rPr>
          <w:rFonts w:ascii="Arial" w:cs="Arial" w:eastAsia="Arial" w:hAnsi="Arial"/>
          <w:sz w:val="19"/>
          <w:szCs w:val="19"/>
          <w:b w:val="1"/>
          <w:bCs w:val="1"/>
          <w:color w:val="auto"/>
        </w:rPr>
        <w:t>Long term Incentive, or LTI, Plans: Restricted Share Units, or RSU, and PSU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LTI plans 2016 established in March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2017 established in March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LTI plans 2018 established in March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LTI plans 2019 established in March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2020 established in March 2020</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LTI plans, members of the Board of Directors are eligible to be granted RSUs, whereas members of the Management Board and other employees are eligible to be granted PSUs.</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PSUs are contingent rights to receive a variable number of shares of the Company at the end of a three-year cliff-vesting period. 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certain corporate goals for the respective year. Accordingly,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LTI plans are rolled out annually, which allows the Board of Directors to review and adjust the terms and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w:t>
      </w:r>
    </w:p>
    <w:p>
      <w:pPr>
        <w:spacing w:after="0" w:line="10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December 31, 2020, 445,198 PSUs and 87,906 RSUs were outstanding. As of December 31, 2019, 363,165 PSUs and 81,840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440" w:right="359" w:bottom="1440" w:gutter="0" w:footer="0" w:header="0"/>
        </w:sectPr>
      </w:pPr>
    </w:p>
    <w:bookmarkStart w:id="291" w:name="page292"/>
    <w:bookmarkEnd w:id="291"/>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18.2.3</w:t>
      </w:r>
      <w:r>
        <w:rPr>
          <w:sz w:val="20"/>
          <w:szCs w:val="20"/>
          <w:color w:val="auto"/>
        </w:rPr>
        <w:tab/>
      </w:r>
      <w:r>
        <w:rPr>
          <w:rFonts w:ascii="Arial" w:cs="Arial" w:eastAsia="Arial" w:hAnsi="Arial"/>
          <w:sz w:val="19"/>
          <w:szCs w:val="19"/>
          <w:b w:val="1"/>
          <w:bCs w:val="1"/>
          <w:color w:val="auto"/>
        </w:rPr>
        <w:t>Conditions Attached to and Measurement of Fair Values of Equity-settled Share-based Payment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conditions as well as the inputs used in the measurement of the fair values at grant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RSU/PSU, conditions and assumptions</w:t>
            </w:r>
          </w:p>
        </w:tc>
        <w:tc>
          <w:tcPr>
            <w:tcW w:w="3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Nature of arrangement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 of PSU/RSU</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Grant of PSU/RSU</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Grant date RSU</w:t>
            </w:r>
          </w:p>
        </w:tc>
        <w:tc>
          <w:tcPr>
            <w:tcW w:w="3280" w:type="dxa"/>
            <w:vAlign w:val="bottom"/>
          </w:tcPr>
          <w:p>
            <w:pPr>
              <w:jc w:val="right"/>
              <w:spacing w:after="0"/>
              <w:rPr>
                <w:sz w:val="20"/>
                <w:szCs w:val="20"/>
                <w:color w:val="auto"/>
              </w:rPr>
            </w:pPr>
            <w:r>
              <w:rPr>
                <w:rFonts w:ascii="Arial" w:cs="Arial" w:eastAsia="Arial" w:hAnsi="Arial"/>
                <w:sz w:val="18"/>
                <w:szCs w:val="18"/>
                <w:color w:val="auto"/>
              </w:rPr>
              <w:t>April 29, 2020</w:t>
            </w:r>
          </w:p>
        </w:tc>
        <w:tc>
          <w:tcPr>
            <w:tcW w:w="1500" w:type="dxa"/>
            <w:vAlign w:val="bottom"/>
          </w:tcPr>
          <w:p>
            <w:pPr>
              <w:jc w:val="right"/>
              <w:spacing w:after="0"/>
              <w:rPr>
                <w:sz w:val="20"/>
                <w:szCs w:val="20"/>
                <w:color w:val="auto"/>
              </w:rPr>
            </w:pPr>
            <w:r>
              <w:rPr>
                <w:rFonts w:ascii="Arial" w:cs="Arial" w:eastAsia="Arial" w:hAnsi="Arial"/>
                <w:sz w:val="18"/>
                <w:szCs w:val="18"/>
                <w:color w:val="auto"/>
              </w:rPr>
              <w:t>April 16, 2019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dates PSU</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Number of RSU granted</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33,467</w:t>
            </w:r>
          </w:p>
        </w:tc>
        <w:tc>
          <w:tcPr>
            <w:tcW w:w="1500" w:type="dxa"/>
            <w:vAlign w:val="bottom"/>
          </w:tcPr>
          <w:p>
            <w:pPr>
              <w:jc w:val="right"/>
              <w:spacing w:after="0"/>
              <w:rPr>
                <w:sz w:val="20"/>
                <w:szCs w:val="20"/>
                <w:color w:val="auto"/>
              </w:rPr>
            </w:pPr>
            <w:r>
              <w:rPr>
                <w:rFonts w:ascii="Arial" w:cs="Arial" w:eastAsia="Arial" w:hAnsi="Arial"/>
                <w:sz w:val="18"/>
                <w:szCs w:val="18"/>
                <w:color w:val="auto"/>
              </w:rPr>
              <w:t>32,649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PSU granted</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267,657.00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258,445.00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exercise price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(CHF)</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14.50 - 21.50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14.56 - 19.06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Full contractual life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 contractual life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Vesting period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period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280" w:type="dxa"/>
            <w:vAlign w:val="bottom"/>
          </w:tcPr>
          <w:p>
            <w:pPr>
              <w:jc w:val="right"/>
              <w:spacing w:after="0"/>
              <w:rPr>
                <w:sz w:val="20"/>
                <w:szCs w:val="20"/>
                <w:color w:val="auto"/>
              </w:rPr>
            </w:pPr>
            <w:r>
              <w:rPr>
                <w:rFonts w:ascii="Arial" w:cs="Arial" w:eastAsia="Arial" w:hAnsi="Arial"/>
                <w:sz w:val="18"/>
                <w:szCs w:val="18"/>
                <w:color w:val="auto"/>
              </w:rPr>
              <w:t>Common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Common Shares</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Common shares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42.73 - 56.26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42.24 - 42.98</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Common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NBI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21.20 - 25.70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21.67 - 23.37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USD LIBOR / NBI</w:t>
            </w:r>
          </w:p>
        </w:tc>
        <w:tc>
          <w:tcPr>
            <w:tcW w:w="3280" w:type="dxa"/>
            <w:vAlign w:val="bottom"/>
          </w:tcPr>
          <w:p>
            <w:pPr>
              <w:jc w:val="right"/>
              <w:spacing w:after="0"/>
              <w:rPr>
                <w:sz w:val="20"/>
                <w:szCs w:val="20"/>
                <w:color w:val="auto"/>
              </w:rPr>
            </w:pPr>
            <w:r>
              <w:rPr>
                <w:rFonts w:ascii="Arial" w:cs="Arial" w:eastAsia="Arial" w:hAnsi="Arial"/>
                <w:sz w:val="18"/>
                <w:szCs w:val="18"/>
                <w:color w:val="auto"/>
              </w:rPr>
              <w:t>0.36 - 2.00</w:t>
            </w:r>
          </w:p>
        </w:tc>
        <w:tc>
          <w:tcPr>
            <w:tcW w:w="1500" w:type="dxa"/>
            <w:vAlign w:val="bottom"/>
          </w:tcPr>
          <w:p>
            <w:pPr>
              <w:jc w:val="right"/>
              <w:spacing w:after="0"/>
              <w:rPr>
                <w:sz w:val="20"/>
                <w:szCs w:val="20"/>
                <w:color w:val="auto"/>
              </w:rPr>
            </w:pPr>
            <w:r>
              <w:rPr>
                <w:rFonts w:ascii="Arial" w:cs="Arial" w:eastAsia="Arial" w:hAnsi="Arial"/>
                <w:sz w:val="18"/>
                <w:szCs w:val="18"/>
                <w:color w:val="auto"/>
              </w:rPr>
              <w:t>2.03 - 2.76</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SPI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11.19 - 15.79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11.11 - 12.37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SPI</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(CHF)</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fair value of rights granted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50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Latest expiry date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2022</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model</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Additional comments:</w:t>
      </w:r>
    </w:p>
    <w:p>
      <w:pPr>
        <w:spacing w:after="0" w:line="23" w:lineRule="exact"/>
        <w:rPr>
          <w:sz w:val="20"/>
          <w:szCs w:val="20"/>
          <w:color w:val="auto"/>
        </w:rPr>
      </w:pPr>
    </w:p>
    <w:p>
      <w:pPr>
        <w:ind w:left="320" w:hanging="312"/>
        <w:spacing w:after="0"/>
        <w:tabs>
          <w:tab w:leader="none" w:pos="3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Expected volatility: Historical share prices of the Company have been used.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indices, Nasdaq Biotechnology Index, or NBI, and Swiss performance Index, SPI, were introduced as assumptions in determining the fair values for the 2019 and 2020 PSU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number of all issued RSUs, PSUs and share options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Weighted average</w:t>
            </w:r>
          </w:p>
        </w:tc>
        <w:tc>
          <w:tcPr>
            <w:tcW w:w="1420" w:type="dxa"/>
            <w:vAlign w:val="bottom"/>
            <w:tcBorders>
              <w:top w:val="single" w:sz="8" w:color="auto"/>
            </w:tcBorders>
            <w:gridSpan w:val="2"/>
            <w:vMerge w:val="restart"/>
          </w:tcPr>
          <w:p>
            <w:pPr>
              <w:ind w:left="740"/>
              <w:spacing w:after="0"/>
              <w:rPr>
                <w:sz w:val="20"/>
                <w:szCs w:val="20"/>
                <w:color w:val="auto"/>
              </w:rPr>
            </w:pPr>
            <w:r>
              <w:rPr>
                <w:rFonts w:ascii="Arial" w:cs="Arial" w:eastAsia="Arial" w:hAnsi="Arial"/>
                <w:sz w:val="16"/>
                <w:szCs w:val="16"/>
                <w:b w:val="1"/>
                <w:bCs w:val="1"/>
                <w:color w:val="auto"/>
              </w:rPr>
              <w:t>Options</w:t>
            </w: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3"/>
              </w:rPr>
              <w:t>Weighted average</w:t>
            </w:r>
          </w:p>
        </w:tc>
        <w:tc>
          <w:tcPr>
            <w:tcW w:w="14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PSU/RSU</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Share Option / PSU / RSU movements</w:t>
            </w: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 (numbers)</w:t>
            </w: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20" w:type="dxa"/>
            <w:vAlign w:val="bottom"/>
            <w:gridSpan w:val="2"/>
            <w:vMerge w:val="continue"/>
          </w:tcPr>
          <w:p>
            <w:pPr>
              <w:spacing w:after="0"/>
              <w:rPr>
                <w:sz w:val="14"/>
                <w:szCs w:val="14"/>
                <w:color w:val="auto"/>
              </w:rPr>
            </w:pPr>
          </w:p>
        </w:tc>
        <w:tc>
          <w:tcPr>
            <w:tcW w:w="144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40" w:type="dxa"/>
            <w:vAlign w:val="bottom"/>
            <w:gridSpan w:val="2"/>
            <w:vMerge w:val="continue"/>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(CHF)</w:t>
            </w: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(numbers)</w:t>
            </w:r>
          </w:p>
        </w:tc>
        <w:tc>
          <w:tcPr>
            <w:tcW w:w="1440" w:type="dxa"/>
            <w:vAlign w:val="bottom"/>
            <w:tcBorders>
              <w:bottom w:val="single" w:sz="8" w:color="auto"/>
            </w:tcBorders>
            <w:gridSpan w:val="2"/>
          </w:tcPr>
          <w:p>
            <w:pPr>
              <w:jc w:val="center"/>
              <w:ind w:left="633"/>
              <w:spacing w:after="0"/>
              <w:rPr>
                <w:sz w:val="20"/>
                <w:szCs w:val="20"/>
                <w:color w:val="auto"/>
              </w:rPr>
            </w:pPr>
            <w:r>
              <w:rPr>
                <w:rFonts w:ascii="Arial" w:cs="Arial" w:eastAsia="Arial" w:hAnsi="Arial"/>
                <w:sz w:val="16"/>
                <w:szCs w:val="16"/>
                <w:b w:val="1"/>
                <w:bCs w:val="1"/>
                <w:color w:val="auto"/>
              </w:rPr>
              <w:t>(CHF)</w:t>
            </w: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(numbers)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(CHF)</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1,184,663</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864,197</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4.98</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320,466</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31, 2018</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291,094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291,094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(84,594)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(372,599)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(303,947)</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3.33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(68,652)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1,005,255</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560,250</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5.87</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445,005</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31, 2019</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301,124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301,124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(278,581)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(178,191)</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4.70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915,163</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382,059</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6.42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533,104</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Performance adjustments indicate forfeitures due to non-market performance conditions not achieved</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Forfeited due to service conditions not fulfilled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weighted average share prices at the dates of exercising during the year ended 2020 amounted to CHF 19.73 (2019: CHF 15.95)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4100" w:type="dxa"/>
            <w:vAlign w:val="bottom"/>
            <w:tcBorders>
              <w:top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Options /</w:t>
            </w:r>
          </w:p>
        </w:tc>
        <w:tc>
          <w:tcPr>
            <w:tcW w:w="1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Remaining life</w:t>
            </w: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vMerge w:val="continue"/>
          </w:tcPr>
          <w:p>
            <w:pPr>
              <w:spacing w:after="0"/>
              <w:rPr>
                <w:sz w:val="14"/>
                <w:szCs w:val="14"/>
                <w:color w:val="auto"/>
              </w:rPr>
            </w:pPr>
          </w:p>
        </w:tc>
        <w:tc>
          <w:tcPr>
            <w:tcW w:w="4100" w:type="dxa"/>
            <w:vAlign w:val="bottom"/>
          </w:tcPr>
          <w:p>
            <w:pPr>
              <w:jc w:val="right"/>
              <w:ind w:right="233"/>
              <w:spacing w:after="0" w:line="162" w:lineRule="exact"/>
              <w:rPr>
                <w:sz w:val="20"/>
                <w:szCs w:val="20"/>
                <w:color w:val="auto"/>
              </w:rPr>
            </w:pPr>
            <w:r>
              <w:rPr>
                <w:rFonts w:ascii="Arial" w:cs="Arial" w:eastAsia="Arial" w:hAnsi="Arial"/>
                <w:sz w:val="16"/>
                <w:szCs w:val="16"/>
                <w:b w:val="1"/>
                <w:bCs w:val="1"/>
                <w:color w:val="auto"/>
              </w:rPr>
              <w:t>PSU/RSU</w:t>
            </w:r>
          </w:p>
        </w:tc>
        <w:tc>
          <w:tcPr>
            <w:tcW w:w="1500" w:type="dxa"/>
            <w:vAlign w:val="bottom"/>
            <w:vMerge w:val="continue"/>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Exercisable options</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41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(number)</w:t>
            </w: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(years)</w:t>
            </w: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38,917</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520" w:type="dxa"/>
            <w:vAlign w:val="bottom"/>
          </w:tcPr>
          <w:p>
            <w:pPr>
              <w:jc w:val="right"/>
              <w:spacing w:after="0"/>
              <w:rPr>
                <w:sz w:val="20"/>
                <w:szCs w:val="20"/>
                <w:color w:val="auto"/>
              </w:rPr>
            </w:pPr>
            <w:r>
              <w:rPr>
                <w:rFonts w:ascii="Arial" w:cs="Arial" w:eastAsia="Arial" w:hAnsi="Arial"/>
                <w:sz w:val="18"/>
                <w:szCs w:val="18"/>
                <w:color w:val="auto"/>
              </w:rPr>
              <w:t>38,917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2,815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6.06</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17,942</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1520" w:type="dxa"/>
            <w:vAlign w:val="bottom"/>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322,385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PSU/RSU</w:t>
            </w:r>
          </w:p>
        </w:tc>
        <w:tc>
          <w:tcPr>
            <w:tcW w:w="4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533,104</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41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915,163</w:t>
            </w: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3960" w:type="dxa"/>
            <w:vAlign w:val="bottom"/>
            <w:tcBorders>
              <w:top w:val="single" w:sz="8" w:color="auto"/>
            </w:tcBorders>
            <w:gridSpan w:val="2"/>
          </w:tcPr>
          <w:p>
            <w:pPr>
              <w:ind w:left="3160"/>
              <w:spacing w:after="0"/>
              <w:rPr>
                <w:sz w:val="20"/>
                <w:szCs w:val="20"/>
                <w:color w:val="auto"/>
              </w:rPr>
            </w:pPr>
            <w:r>
              <w:rPr>
                <w:rFonts w:ascii="Arial" w:cs="Arial" w:eastAsia="Arial" w:hAnsi="Arial"/>
                <w:sz w:val="16"/>
                <w:szCs w:val="16"/>
                <w:b w:val="1"/>
                <w:bCs w:val="1"/>
                <w:color w:val="auto"/>
              </w:rPr>
              <w:t>Options /</w:t>
            </w:r>
          </w:p>
        </w:tc>
        <w:tc>
          <w:tcPr>
            <w:tcW w:w="16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Remaining life</w:t>
            </w: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3960" w:type="dxa"/>
            <w:vAlign w:val="bottom"/>
            <w:gridSpan w:val="2"/>
          </w:tcPr>
          <w:p>
            <w:pPr>
              <w:ind w:left="3160"/>
              <w:spacing w:after="0" w:line="162" w:lineRule="exact"/>
              <w:rPr>
                <w:sz w:val="20"/>
                <w:szCs w:val="20"/>
                <w:color w:val="auto"/>
              </w:rPr>
            </w:pPr>
            <w:r>
              <w:rPr>
                <w:rFonts w:ascii="Arial" w:cs="Arial" w:eastAsia="Arial" w:hAnsi="Arial"/>
                <w:sz w:val="16"/>
                <w:szCs w:val="16"/>
                <w:b w:val="1"/>
                <w:bCs w:val="1"/>
                <w:color w:val="auto"/>
              </w:rPr>
              <w:t>PSU/RSU</w:t>
            </w:r>
          </w:p>
        </w:tc>
        <w:tc>
          <w:tcPr>
            <w:tcW w:w="1660" w:type="dxa"/>
            <w:vAlign w:val="bottom"/>
            <w:gridSpan w:val="2"/>
            <w:vMerge w:val="continue"/>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3960" w:type="dxa"/>
            <w:vAlign w:val="bottom"/>
            <w:tcBorders>
              <w:bottom w:val="single" w:sz="8" w:color="auto"/>
            </w:tcBorders>
            <w:gridSpan w:val="2"/>
          </w:tcPr>
          <w:p>
            <w:pPr>
              <w:ind w:left="3180"/>
              <w:spacing w:after="0"/>
              <w:rPr>
                <w:sz w:val="20"/>
                <w:szCs w:val="20"/>
                <w:color w:val="auto"/>
              </w:rPr>
            </w:pPr>
            <w:r>
              <w:rPr>
                <w:rFonts w:ascii="Arial" w:cs="Arial" w:eastAsia="Arial" w:hAnsi="Arial"/>
                <w:sz w:val="16"/>
                <w:szCs w:val="16"/>
                <w:b w:val="1"/>
                <w:bCs w:val="1"/>
                <w:color w:val="auto"/>
              </w:rPr>
              <w:t>(number)</w:t>
            </w: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(years)</w:t>
            </w: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2.31</w:t>
            </w:r>
          </w:p>
        </w:tc>
        <w:tc>
          <w:tcPr>
            <w:tcW w:w="3860" w:type="dxa"/>
            <w:vAlign w:val="bottom"/>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123,817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6.06</w:t>
            </w:r>
          </w:p>
        </w:tc>
        <w:tc>
          <w:tcPr>
            <w:tcW w:w="3860" w:type="dxa"/>
            <w:vAlign w:val="bottom"/>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PSU/RSU</w:t>
            </w:r>
          </w:p>
        </w:tc>
        <w:tc>
          <w:tcPr>
            <w:tcW w:w="3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1,005,255</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non-cash costs for share-based payments recognized in the statement of comprehensive loss can be attributed to the Company’s two functions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9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6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1,573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70"/>
        </w:trPr>
        <w:tc>
          <w:tcPr>
            <w:tcW w:w="5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920" w:type="dxa"/>
            <w:vAlign w:val="bottom"/>
          </w:tcPr>
          <w:p>
            <w:pPr>
              <w:jc w:val="right"/>
              <w:ind w:right="332"/>
              <w:spacing w:after="0"/>
              <w:rPr>
                <w:sz w:val="20"/>
                <w:szCs w:val="20"/>
                <w:color w:val="auto"/>
              </w:rPr>
            </w:pPr>
            <w:r>
              <w:rPr>
                <w:rFonts w:ascii="Arial" w:cs="Arial" w:eastAsia="Arial" w:hAnsi="Arial"/>
                <w:sz w:val="18"/>
                <w:szCs w:val="18"/>
                <w:color w:val="auto"/>
              </w:rPr>
              <w:t>1,359</w:t>
            </w:r>
          </w:p>
        </w:tc>
        <w:tc>
          <w:tcPr>
            <w:tcW w:w="13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2,932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Financial Income and Financial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costs</w:t>
            </w:r>
          </w:p>
        </w:tc>
        <w:tc>
          <w:tcPr>
            <w:tcW w:w="344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Pr>
          <w:p>
            <w:pPr>
              <w:ind w:left="2340"/>
              <w:spacing w:after="0"/>
              <w:rPr>
                <w:sz w:val="20"/>
                <w:szCs w:val="20"/>
                <w:color w:val="auto"/>
              </w:rPr>
            </w:pPr>
            <w:r>
              <w:rPr>
                <w:rFonts w:ascii="Arial" w:cs="Arial" w:eastAsia="Arial" w:hAnsi="Arial"/>
                <w:sz w:val="18"/>
                <w:szCs w:val="18"/>
                <w:b w:val="1"/>
                <w:bCs w:val="1"/>
                <w:color w:val="auto"/>
              </w:rPr>
              <w:t>367</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r>
      <w:tr>
        <w:trPr>
          <w:trHeight w:val="27"/>
        </w:trPr>
        <w:tc>
          <w:tcPr>
            <w:tcW w:w="64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8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Financial Expense</w:t>
            </w: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64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(4,512)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(271)</w:t>
            </w: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financial expenses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(4,816)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8"/>
          <w:szCs w:val="18"/>
          <w:b w:val="1"/>
          <w:bCs w:val="1"/>
          <w:color w:val="auto"/>
        </w:rPr>
        <w:t>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Molecular Partners AG did not have to pay or accrue any income taxes in the reporting periods. In 2020 and 2019, the Company generated a taxable loss in Switzerland which is part of the Company’s cumulative tax loss carry forward. Any future taxable income will be subject to Swiss federal, cantonal and communal income taxes. The Company’s applicable income tax rate for the year 2020 is 21% (2019: 21%).</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Molecular Partners Inc., which is incorporated in the United States in the State of Delaware, is subject to statutory U.S. Federal corporate income taxes and state income taxes for Massachusetts and California.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1440" w:right="339" w:bottom="1440" w:gutter="0" w:footer="0" w:header="0"/>
          <w:type w:val="continuous"/>
        </w:sectPr>
      </w:pPr>
    </w:p>
    <w:bookmarkStart w:id="294" w:name="page295"/>
    <w:bookmarkEnd w:id="294"/>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twelve months ended December 31, 2020 a current income tax credit of TCHF 11 (TUSD 13) was recognized by the Group's U.S. based subsidiary for estimated U.S. tax obligations of the subsidiary based on intra-Group activity (twelve months ended December 31, 2019: tax expense of TCHF 17 (TUSD 17)). The tax benefit recognized during 2020 relates to the application of research and development tax credits that are applicable on the 2019 final tax positions of Molecular Partners Inc. The applicable income tax rates are 21% federal tax plus 8.00% state tax (Massachusetts) and 8.84%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net operating losses for tax purposes amounted to TCHF 58,631 in 2020 and TCHF 33,446 in 2019. The total tax losses of TCHF 157,900 may be used as tax loss carry forwards to offset future taxable income over a period of seven years, with the loss of TCHF 4,314 to expire in the year 2021.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for a total of TCHF 13,423, see also note 18.1) due to the significant tax losses carried forwards. Given the facts above, as well as the Company incurred no significant tax expense in the reporting periods presented, a numerical rate reconciliation is not provided. The major reconciling item is the effect of unrecognized deferred tax assets for tax losses and deductible temporary differences.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expiry of tax loss carry forwards for the Company, for which no deferred tax asset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(4,314)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2022</w:t>
            </w:r>
          </w:p>
        </w:tc>
        <w:tc>
          <w:tcPr>
            <w:tcW w:w="38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(15,976)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2024</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(21,766)</w:t>
            </w:r>
          </w:p>
        </w:tc>
        <w:tc>
          <w:tcPr>
            <w:tcW w:w="1120" w:type="dxa"/>
            <w:vAlign w:val="bottom"/>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(23,767)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2026</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(33,446)</w:t>
            </w:r>
          </w:p>
        </w:tc>
        <w:tc>
          <w:tcPr>
            <w:tcW w:w="1120" w:type="dxa"/>
            <w:vAlign w:val="bottom"/>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(58,631)</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380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loss carry forwards as at December 31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(157,900)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(99,269)</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1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the shareholders of the Company by the weighted average number of shares issued and outstanding during the reporting period, excluding any shares held as treasury shares. Diluted net profit per share additionally takes into account the potential conversion of all dilutive potential common shares. For the periods ended December 31, 2020 and 2019 there are no dilutive effects.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CCEEFF"/>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profit/ (loss) per share</w:t>
            </w:r>
          </w:p>
        </w:tc>
        <w:tc>
          <w:tcPr>
            <w:tcW w:w="17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25,000,652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21,413,375</w:t>
            </w:r>
          </w:p>
        </w:tc>
      </w:tr>
    </w:tbl>
    <w:p>
      <w:pPr>
        <w:spacing w:after="0" w:line="216" w:lineRule="exact"/>
        <w:rPr>
          <w:sz w:val="20"/>
          <w:szCs w:val="20"/>
          <w:color w:val="auto"/>
        </w:rPr>
      </w:pPr>
    </w:p>
    <w:p>
      <w:pPr>
        <w:ind w:left="500" w:hanging="492"/>
        <w:spacing w:after="0"/>
        <w:tabs>
          <w:tab w:leader="none" w:pos="50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Group leases office and laboratory facilities in Schlieren, Switzerland. These leases generally have terms between 2 and 10 years and contain extension or terminations options exercisable by the Group up to one year before the end of the non</w:t>
      </w:r>
      <w:r>
        <w:rPr>
          <w:rFonts w:ascii="MS PGothic" w:cs="MS PGothic" w:eastAsia="MS PGothic" w:hAnsi="MS PGothic"/>
          <w:sz w:val="18"/>
          <w:szCs w:val="18"/>
          <w:color w:val="auto"/>
        </w:rPr>
        <w:t>‑</w:t>
      </w:r>
      <w:r>
        <w:rPr>
          <w:rFonts w:ascii="Arial" w:cs="Arial" w:eastAsia="Arial" w:hAnsi="Arial"/>
          <w:sz w:val="18"/>
          <w:szCs w:val="18"/>
          <w:color w:val="auto"/>
        </w:rPr>
        <w:t>cancellable contract period. These terms are used to maximize operational flexibility in terms of managing contracts. The options to extend are held by the Company and the termination options are held both by the Company and the lessor. As of December 31, 2020, the Group exercised the option to extend the lease on its facilities in Schlieren by five years with a new lease term ending on December 31, 2026.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contractual termination date for both the lessor and the Group on the major real estate lease is December 31, 2025. For information about the right-of use assets please also see note 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the carrying amounts of the lease liabilities and the movements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1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at January 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Additions / new leases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Remeasurements</w:t>
            </w:r>
            <w:r>
              <w:rPr>
                <w:rFonts w:ascii="Arial" w:cs="Arial" w:eastAsia="Arial" w:hAnsi="Arial"/>
                <w:sz w:val="23"/>
                <w:szCs w:val="23"/>
                <w:color w:val="auto"/>
                <w:vertAlign w:val="superscript"/>
              </w:rPr>
              <w:t>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5,924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Recognition of interest on lease liabilities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24</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(1,275)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Balances as at December 31,</w:t>
            </w:r>
          </w:p>
        </w:tc>
        <w:tc>
          <w:tcPr>
            <w:tcW w:w="4100" w:type="dxa"/>
            <w:vAlign w:val="bottom"/>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r>
      <w:tr>
        <w:trPr>
          <w:trHeight w:val="270"/>
        </w:trPr>
        <w:tc>
          <w:tcPr>
            <w:tcW w:w="5840" w:type="dxa"/>
            <w:vAlign w:val="bottom"/>
            <w:shd w:val="clear" w:color="auto" w:fill="CCEEFF"/>
          </w:tcPr>
          <w:p>
            <w:pPr>
              <w:spacing w:after="0"/>
              <w:rPr>
                <w:sz w:val="23"/>
                <w:szCs w:val="23"/>
                <w:color w:val="auto"/>
              </w:rPr>
            </w:pPr>
          </w:p>
        </w:tc>
        <w:tc>
          <w:tcPr>
            <w:tcW w:w="4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Current</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1,179</w:t>
            </w:r>
          </w:p>
        </w:tc>
        <w:tc>
          <w:tcPr>
            <w:tcW w:w="13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6,039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w:t>
            </w:r>
          </w:p>
        </w:tc>
        <w:tc>
          <w:tcPr>
            <w:tcW w:w="41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2,545</w:t>
            </w:r>
          </w:p>
        </w:tc>
      </w:tr>
    </w:tbl>
    <w:p>
      <w:pPr>
        <w:spacing w:after="0" w:line="219" w:lineRule="exact"/>
        <w:rPr>
          <w:sz w:val="20"/>
          <w:szCs w:val="20"/>
          <w:color w:val="auto"/>
        </w:rPr>
      </w:pPr>
    </w:p>
    <w:p>
      <w:pPr>
        <w:ind w:left="340" w:right="240" w:hanging="332"/>
        <w:spacing w:after="0" w:line="296" w:lineRule="auto"/>
        <w:tabs>
          <w:tab w:leader="none" w:pos="335"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remeasurement consists of a net reduction of TCHF 60 (related to the return of number of parking spaces) and an increase of TCHF 5,984 related to the extension of the lease for another 5 years until December 31,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expense amounts recognized in the consolidated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on right-of-use assets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1,256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4040" w:type="dxa"/>
            <w:vAlign w:val="bottom"/>
          </w:tcPr>
          <w:p>
            <w:pPr>
              <w:jc w:val="right"/>
              <w:ind w:right="592"/>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amount recognized in profit or loss</w:t>
            </w:r>
          </w:p>
        </w:tc>
        <w:tc>
          <w:tcPr>
            <w:tcW w:w="4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1,280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w:t>
            </w: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cash outflow for leases for the twelve months ending December 31, 2020 amounted to TCHF 1,275 (twelve months ending December 31, 2019 TCHF 1,266).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Borders>
              <w:top w:val="single" w:sz="8" w:color="auto"/>
            </w:tcBorders>
          </w:tcPr>
          <w:p>
            <w:pPr>
              <w:spacing w:after="0"/>
              <w:rPr>
                <w:sz w:val="14"/>
                <w:szCs w:val="14"/>
                <w:color w:val="auto"/>
              </w:rPr>
            </w:pPr>
          </w:p>
        </w:tc>
        <w:tc>
          <w:tcPr>
            <w:tcW w:w="4960" w:type="dxa"/>
            <w:vAlign w:val="bottom"/>
            <w:tcBorders>
              <w:top w:val="single" w:sz="8" w:color="auto"/>
            </w:tcBorders>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Borders>
              <w:top w:val="single" w:sz="8" w:color="auto"/>
            </w:tcBorders>
          </w:tcPr>
          <w:p>
            <w:pPr>
              <w:jc w:val="right"/>
              <w:ind w:right="116"/>
              <w:spacing w:after="0" w:line="161"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1,232</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3,696</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7,392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gridSpan w:val="3"/>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2019</w:t>
            </w: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496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1,284</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1,284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2,568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Related Party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key management, which includes executive management and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employee benefits</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2,408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Post-employment benefits</w:t>
            </w:r>
          </w:p>
        </w:tc>
        <w:tc>
          <w:tcPr>
            <w:tcW w:w="4420" w:type="dxa"/>
            <w:vAlign w:val="bottom"/>
          </w:tcPr>
          <w:p>
            <w:pPr>
              <w:jc w:val="right"/>
              <w:ind w:right="572"/>
              <w:spacing w:after="0"/>
              <w:rPr>
                <w:sz w:val="20"/>
                <w:szCs w:val="20"/>
                <w:color w:val="auto"/>
              </w:rPr>
            </w:pPr>
            <w:r>
              <w:rPr>
                <w:rFonts w:ascii="Arial" w:cs="Arial" w:eastAsia="Arial" w:hAnsi="Arial"/>
                <w:sz w:val="18"/>
                <w:szCs w:val="18"/>
                <w:color w:val="auto"/>
              </w:rPr>
              <w:t>205</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1,601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4420" w:type="dxa"/>
            <w:vAlign w:val="bottom"/>
          </w:tcPr>
          <w:p>
            <w:pPr>
              <w:jc w:val="right"/>
              <w:ind w:right="572"/>
              <w:spacing w:after="0"/>
              <w:rPr>
                <w:sz w:val="20"/>
                <w:szCs w:val="20"/>
                <w:color w:val="auto"/>
              </w:rPr>
            </w:pPr>
            <w:r>
              <w:rPr>
                <w:rFonts w:ascii="Arial" w:cs="Arial" w:eastAsia="Arial" w:hAnsi="Arial"/>
                <w:sz w:val="18"/>
                <w:szCs w:val="18"/>
                <w:b w:val="1"/>
                <w:bCs w:val="1"/>
                <w:color w:val="auto"/>
              </w:rPr>
              <w:t>4,214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r>
      <w:tr>
        <w:trPr>
          <w:trHeight w:val="27"/>
        </w:trPr>
        <w:tc>
          <w:tcPr>
            <w:tcW w:w="5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Pamela Trail departed from her role as Chief Scientific Officer effective July 1, 2019 and was employed by the Group until July 9, 2019. Pamela Trail has continued to support the Group as a consultant after this date. For the twelve month period ending December 31, 2020, Pamela Trail's consulting fees amounted to TCHF 45. For the period from July 10 to December 31, 2019, Pamela Trail's consulting fees amounted to TCHF 70.</w:t>
      </w:r>
    </w:p>
    <w:p>
      <w:pPr>
        <w:spacing w:after="0" w:line="98" w:lineRule="exact"/>
        <w:rPr>
          <w:sz w:val="20"/>
          <w:szCs w:val="20"/>
          <w:color w:val="auto"/>
        </w:rPr>
      </w:pPr>
    </w:p>
    <w:p>
      <w:pPr>
        <w:ind w:left="500" w:hanging="492"/>
        <w:spacing w:after="0"/>
        <w:tabs>
          <w:tab w:leader="none" w:pos="50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Company did not have any capital commitments.</w:t>
      </w:r>
    </w:p>
    <w:p>
      <w:pPr>
        <w:spacing w:after="0" w:line="144" w:lineRule="exact"/>
        <w:rPr>
          <w:sz w:val="20"/>
          <w:szCs w:val="20"/>
          <w:color w:val="auto"/>
        </w:rPr>
      </w:pPr>
    </w:p>
    <w:p>
      <w:pPr>
        <w:ind w:right="8140" w:firstLine="8"/>
        <w:spacing w:after="0" w:line="444" w:lineRule="auto"/>
        <w:tabs>
          <w:tab w:leader="none" w:pos="486" w:val="left"/>
        </w:tabs>
        <w:numPr>
          <w:ilvl w:val="0"/>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Foreign Exchange Risk</w:t>
      </w:r>
    </w:p>
    <w:p>
      <w:pPr>
        <w:spacing w:after="0" w:line="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reduce its foreign exchange exposure, Molecular Partners may enter into currency contracts with selected high-quality financial institutions to hedge against foreign currency exchange rate risks. The Group’s primary exposure to financial risk is due to fluctuation of exchange rates between CHF, EUR, GBP and USD.</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Group’s hedging policy is (1) to maximize natural hedging by matching expected future cash flows in the different currencies and (2) if market conditions allow to consider hedging certain of the remaining expected net currency exposure as the need arises. However, due to market volatilities, the impact of negative interest rates in Switzerland and uncertainties in the cash flows, a 100% hedging of the currency exposure is impossible or not appropriate. Molecular Partners does not engage in speculative transactions.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2020 and 2019, the Group did not enter into any forward currency transactions. No forward currency transactions were outstanding as of December 31, 2020 and 2019.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demonstrates the sensitivity to a reasonably possible change in the USD, EUR and GBP exchange rates, with all other variables held constant, of the Group’s result before taxes.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528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1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Molecular Partners earns or pays interest on cash and cash equivalents, and its profit and loss may be influenced by changes in market interest rates. The Group does invest its cash balances into a variety of current and deposit accounts in four different Swiss banks to limit negative interest. In addition, the Group does invest a portion of its cash into risk free money market investments in line with its treasury guidelines.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Groups strives to optimize the net balance of interest paid and interest received by monitoring the interest rates applicable over the various currencies the Group holds as well as the offered holding periods.</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demonstrates the sensitivity to reasonably possible changes in interest rates, with all other variables held constant, of the Group’s results before tax.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CHF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1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maximum credit risk on financial assets corresponds to the carrying amounts of the Group’s cash and cash equivalents, short-term time deposits and receivables. The Group has not entered into any guarantees or similar obligations that would increase the risk over and above the carrying amounts.</w:t>
      </w:r>
    </w:p>
    <w:p>
      <w:pPr>
        <w:spacing w:after="0" w:line="4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cash and cash equivalents and short-term deposits are considered low risk and were held at Swiss banks with Standard &amp; Poor long-term credit ratings of AAA (Zürcher Kantonalbank), AA (Luzerner Kantonalbank) and A+ (Credit Suisse and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Group enters into agreements with partners that have appropriate credit history and a commitment to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maximum credit risk as of the balance sheet date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Credit risk</w:t>
            </w:r>
          </w:p>
        </w:tc>
        <w:tc>
          <w:tcPr>
            <w:tcW w:w="4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3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133,721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159</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40,000</w:t>
            </w:r>
          </w:p>
        </w:tc>
        <w:tc>
          <w:tcPr>
            <w:tcW w:w="108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7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risk as at December 31</w:t>
            </w:r>
          </w:p>
        </w:tc>
        <w:tc>
          <w:tcPr>
            <w:tcW w:w="43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173,882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reporting date, giving the Group a secure source of funding for its research and development activities.</w:t>
      </w:r>
    </w:p>
    <w:p>
      <w:pPr>
        <w:spacing w:after="0" w:line="103" w:lineRule="exact"/>
        <w:rPr>
          <w:sz w:val="20"/>
          <w:szCs w:val="20"/>
          <w:color w:val="auto"/>
        </w:rPr>
      </w:pPr>
    </w:p>
    <w:p>
      <w:pPr>
        <w:ind w:left="500" w:hanging="492"/>
        <w:spacing w:after="0"/>
        <w:tabs>
          <w:tab w:leader="none" w:pos="50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Events After the Balance Sheet Date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3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4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Note</w:t>
            </w:r>
          </w:p>
        </w:tc>
        <w:tc>
          <w:tcPr>
            <w:tcW w:w="17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March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4340" w:type="dxa"/>
            <w:vAlign w:val="bottom"/>
            <w:shd w:val="clear" w:color="auto" w:fill="CCEEFF"/>
          </w:tcPr>
          <w:p>
            <w:pPr>
              <w:spacing w:after="0"/>
              <w:rPr>
                <w:sz w:val="16"/>
                <w:szCs w:val="16"/>
                <w:color w:val="auto"/>
              </w:rPr>
            </w:pPr>
          </w:p>
        </w:tc>
        <w:tc>
          <w:tcPr>
            <w:tcW w:w="35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9,387</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9,234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39,432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2,837</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163,801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Shareholders' equity and liabilities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300,317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299,479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94,758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107,220</w:t>
            </w:r>
          </w:p>
        </w:tc>
      </w:tr>
      <w:tr>
        <w:trPr>
          <w:trHeight w:val="203"/>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tcPr>
          <w:p>
            <w:pPr>
              <w:ind w:left="3180"/>
              <w:spacing w:after="0"/>
              <w:rPr>
                <w:sz w:val="20"/>
                <w:szCs w:val="20"/>
                <w:color w:val="auto"/>
              </w:rPr>
            </w:pPr>
            <w:r>
              <w:rPr>
                <w:rFonts w:ascii="Arial" w:cs="Arial" w:eastAsia="Arial" w:hAnsi="Arial"/>
                <w:sz w:val="18"/>
                <w:szCs w:val="18"/>
                <w:color w:val="auto"/>
              </w:rPr>
              <w:t>5.4</w:t>
            </w:r>
          </w:p>
        </w:tc>
        <w:tc>
          <w:tcPr>
            <w:tcW w:w="1640" w:type="dxa"/>
            <w:vAlign w:val="bottom"/>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r>
      <w:tr>
        <w:trPr>
          <w:trHeight w:val="216"/>
        </w:trPr>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7,718</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57,499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78,277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3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440" w:right="359" w:bottom="1440" w:gutter="0" w:footer="0" w:header="0"/>
        </w:sectPr>
      </w:pPr>
    </w:p>
    <w:bookmarkStart w:id="301" w:name="page302"/>
    <w:bookmarkEnd w:id="30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8"/>
        </w:trPr>
        <w:tc>
          <w:tcPr>
            <w:tcW w:w="5180" w:type="dxa"/>
            <w:vAlign w:val="bottom"/>
            <w:shd w:val="clear" w:color="auto" w:fill="CCEEFF"/>
          </w:tcPr>
          <w:p>
            <w:pPr>
              <w:spacing w:after="0"/>
              <w:rPr>
                <w:sz w:val="16"/>
                <w:szCs w:val="16"/>
                <w:color w:val="auto"/>
              </w:rPr>
            </w:pPr>
          </w:p>
        </w:tc>
        <w:tc>
          <w:tcPr>
            <w:tcW w:w="2680" w:type="dxa"/>
            <w:vAlign w:val="bottom"/>
            <w:shd w:val="clear" w:color="auto" w:fill="CCEEFF"/>
          </w:tcPr>
          <w:p>
            <w:pPr>
              <w:jc w:val="right"/>
              <w:ind w:right="1134"/>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Revenues and other income</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5.2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(13,363)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Operating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(18,530)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(12,220)</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financial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Result before income taxes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(13,339)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5.10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26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that will not be reclassified to profit or loss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2680" w:type="dxa"/>
            <w:vAlign w:val="bottom"/>
          </w:tcPr>
          <w:p>
            <w:pPr>
              <w:jc w:val="right"/>
              <w:ind w:right="14"/>
              <w:spacing w:after="0"/>
              <w:rPr>
                <w:sz w:val="20"/>
                <w:szCs w:val="20"/>
                <w:color w:val="auto"/>
              </w:rPr>
            </w:pPr>
            <w:r>
              <w:rPr>
                <w:rFonts w:ascii="Arial" w:cs="Arial" w:eastAsia="Arial" w:hAnsi="Arial"/>
                <w:sz w:val="18"/>
                <w:szCs w:val="18"/>
                <w:color w:val="auto"/>
              </w:rPr>
              <w:t>5.11</w:t>
            </w:r>
          </w:p>
        </w:tc>
        <w:tc>
          <w:tcPr>
            <w:tcW w:w="164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w w:val="98"/>
              </w:rPr>
              <w:t>Items that are or may be reclassified subsequently to profit or loss</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 net of tax</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56"/>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w:t>
            </w:r>
          </w:p>
        </w:tc>
      </w:tr>
      <w:tr>
        <w:trPr>
          <w:trHeight w:val="257"/>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result per share</w:t>
            </w:r>
          </w:p>
        </w:tc>
        <w:tc>
          <w:tcPr>
            <w:tcW w:w="26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320" w:top="1440" w:right="359" w:bottom="1440" w:gutter="0" w:footer="0" w:header="0"/>
        </w:sectPr>
      </w:pPr>
    </w:p>
    <w:bookmarkStart w:id="302" w:name="page303"/>
    <w:bookmarkEnd w:id="30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1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43"/>
        </w:trPr>
        <w:tc>
          <w:tcPr>
            <w:tcW w:w="60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(13,345)</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costs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employee benefits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Financial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expenses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prepaid expenses and accrued income</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trade and other receivables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(4,047)</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trade and other payables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contract liability</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accrued expenses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Exchange gain/(loss) on working capital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7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(29,882)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(12,834)</w:t>
            </w:r>
          </w:p>
        </w:tc>
      </w:tr>
      <w:tr>
        <w:trPr>
          <w:trHeight w:val="149"/>
        </w:trPr>
        <w:tc>
          <w:tcPr>
            <w:tcW w:w="6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short-term time deposits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short-term time deposits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(9,432)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(17,559)</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from investing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Exchange gain/(loss) on cash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(27,550)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(12,365)</w:t>
            </w:r>
          </w:p>
        </w:tc>
      </w:tr>
      <w:tr>
        <w:trPr>
          <w:trHeight w:val="216"/>
        </w:trPr>
        <w:tc>
          <w:tcPr>
            <w:tcW w:w="6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133,721</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75,712</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17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106,171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63,347</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1440" w:right="359" w:bottom="1440" w:gutter="0" w:footer="0" w:header="0"/>
        </w:sectPr>
      </w:pPr>
    </w:p>
    <w:bookmarkStart w:id="303" w:name="page304"/>
    <w:bookmarkEnd w:id="30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Changes in Equity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tcBorders>
              <w:top w:val="single" w:sz="8" w:color="auto"/>
            </w:tcBorders>
            <w:gridSpan w:val="2"/>
            <w:vMerge w:val="restart"/>
          </w:tcPr>
          <w:p>
            <w:pPr>
              <w:ind w:left="800"/>
              <w:spacing w:after="0"/>
              <w:rPr>
                <w:sz w:val="20"/>
                <w:szCs w:val="20"/>
                <w:color w:val="auto"/>
              </w:rPr>
            </w:pPr>
            <w:r>
              <w:rPr>
                <w:rFonts w:ascii="Arial" w:cs="Arial" w:eastAsia="Arial" w:hAnsi="Arial"/>
                <w:sz w:val="14"/>
                <w:szCs w:val="14"/>
                <w:b w:val="1"/>
                <w:bCs w:val="1"/>
                <w:color w:val="auto"/>
              </w:rPr>
              <w:t>Share capital</w:t>
            </w:r>
          </w:p>
        </w:tc>
        <w:tc>
          <w:tcPr>
            <w:tcW w:w="1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720" w:type="dxa"/>
            <w:vAlign w:val="bottom"/>
            <w:tcBorders>
              <w:top w:val="single" w:sz="8" w:color="auto"/>
            </w:tcBorders>
            <w:gridSpan w:val="2"/>
            <w:vMerge w:val="restart"/>
          </w:tcPr>
          <w:p>
            <w:pPr>
              <w:ind w:left="500"/>
              <w:spacing w:after="0"/>
              <w:rPr>
                <w:sz w:val="20"/>
                <w:szCs w:val="20"/>
                <w:color w:val="auto"/>
              </w:rPr>
            </w:pPr>
            <w:r>
              <w:rPr>
                <w:rFonts w:ascii="Arial" w:cs="Arial" w:eastAsia="Arial" w:hAnsi="Arial"/>
                <w:sz w:val="14"/>
                <w:szCs w:val="14"/>
                <w:b w:val="1"/>
                <w:bCs w:val="1"/>
                <w:color w:val="auto"/>
                <w:w w:val="97"/>
              </w:rPr>
              <w:t>Cumulative losses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44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March 31, 2020</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183,627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(142,887)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42,907</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March 31, 2021</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300,317</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(208,475)</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94,758</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(1) See note 5.8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Explanatory notes to the condensed consolidated interim financial statements</w:t>
      </w:r>
    </w:p>
    <w:p>
      <w:pPr>
        <w:spacing w:after="0" w:line="306" w:lineRule="exact"/>
        <w:rPr>
          <w:sz w:val="20"/>
          <w:szCs w:val="20"/>
          <w:color w:val="auto"/>
        </w:rPr>
      </w:pPr>
    </w:p>
    <w:p>
      <w:pPr>
        <w:ind w:left="380" w:hanging="372"/>
        <w:spacing w:after="0"/>
        <w:tabs>
          <w:tab w:leader="none" w:pos="38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Molecular Partners AG ("Company'") and its subsidiary Molecular Partners Inc. (collectively "Molecular Partners", "Group") is a clinical stage biopharmaceutical company applying its pioneering DARPin® product engine to treat serious diseases, with an initial focus on oncology, immuno-oncology and ophthalmology.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unaudited condensed consolidated interim financial statements for the three months ended March 31, 2021 were approved for issuance by the Audit and Finance Committee on May 3,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4" w:lineRule="exact"/>
        <w:rPr>
          <w:sz w:val="20"/>
          <w:szCs w:val="20"/>
          <w:color w:val="auto"/>
        </w:rPr>
      </w:pPr>
    </w:p>
    <w:p>
      <w:pPr>
        <w:ind w:left="380" w:hanging="372"/>
        <w:spacing w:after="0"/>
        <w:tabs>
          <w:tab w:leader="none" w:pos="38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preparation</w:t>
      </w:r>
    </w:p>
    <w:p>
      <w:pPr>
        <w:spacing w:after="0" w:line="1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2020. They do not include all the information required for a complete set of consolidated financial statements prepared in accordance with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2020.</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accounting policies set forth in the notes to those annual consolidated financial statements have been consistently applied to all periods presented, except as per below. The condensed consolidated interim financial statements are presented in thousands of Swiss Francs (TCHF), unless stated otherwise.</w:t>
      </w:r>
    </w:p>
    <w:p>
      <w:pPr>
        <w:spacing w:after="0" w:line="4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 During the three months period ended March 31, 2021 as well as of the reporting date there were no major disruptions to the operations. The Group continues to comply with all local and federal instructions as it relates to the safety of our employees, patients, and citizens.</w:t>
      </w:r>
    </w:p>
    <w:p>
      <w:pPr>
        <w:spacing w:after="0" w:line="8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business is not subject to any seasonality. Revenues largely depend on the underlying alliance contracts and the achievement of agreed milestones, while expenses are largely affected by the phase of the respective projects, particularly with regard to external research and development expenditures.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the accompanying notes.</w:t>
      </w:r>
    </w:p>
    <w:p>
      <w:pPr>
        <w:spacing w:after="0" w:line="144" w:lineRule="exact"/>
        <w:rPr>
          <w:sz w:val="20"/>
          <w:szCs w:val="20"/>
          <w:color w:val="auto"/>
        </w:rPr>
      </w:pPr>
    </w:p>
    <w:p>
      <w:pPr>
        <w:ind w:left="440" w:hanging="432"/>
        <w:spacing w:after="0"/>
        <w:tabs>
          <w:tab w:leader="none" w:pos="44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number of new or amended standards became applicable for the current reporting period. These standards did not have any significant impact on the Group’s accounting policies and did not require any retrospective adjustments.</w:t>
      </w:r>
    </w:p>
    <w:p>
      <w:pPr>
        <w:spacing w:after="0" w:line="103" w:lineRule="exact"/>
        <w:rPr>
          <w:sz w:val="20"/>
          <w:szCs w:val="20"/>
          <w:color w:val="auto"/>
        </w:rPr>
      </w:pPr>
    </w:p>
    <w:p>
      <w:pPr>
        <w:ind w:left="440" w:hanging="432"/>
        <w:spacing w:after="0"/>
        <w:tabs>
          <w:tab w:leader="none" w:pos="44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area involving a higher degree of judgment or complexity, or an area where assumptions and estimates are significant to the consolidated financial statements is revenue recognition.</w:t>
      </w:r>
    </w:p>
    <w:p>
      <w:pPr>
        <w:spacing w:after="0" w:line="90" w:lineRule="exact"/>
        <w:rPr>
          <w:sz w:val="20"/>
          <w:szCs w:val="20"/>
          <w:color w:val="auto"/>
        </w:rPr>
      </w:pPr>
    </w:p>
    <w:p>
      <w:pPr>
        <w:ind w:left="380" w:hanging="372"/>
        <w:spacing w:after="0"/>
        <w:tabs>
          <w:tab w:leader="none" w:pos="38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Other explanatory notes</w:t>
      </w:r>
    </w:p>
    <w:p>
      <w:pPr>
        <w:spacing w:after="0" w:line="1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Revenue</w:t>
      </w:r>
    </w:p>
    <w:p>
      <w:pPr>
        <w:spacing w:after="0" w:line="1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The Group applies the cost based method which recognizes revenue based on the ratio of the associated costs incurred to date and the total forecasted cost to satisfy the performance obligation.</w:t>
      </w:r>
    </w:p>
    <w:p>
      <w:pPr>
        <w:spacing w:after="0" w:line="4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three months ended March 31, 2021,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recognized revenue for the three months period ended March 31, 2021, as compared to the comparable prior year period. The increase in total estimated future costs is primarily related to continued development of various dosing schedules under phase 1a of the collaboration.</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2020, the Group entered into a contract with Novartis Pharma AG ("Novartis"), granting Novartis the exclusive option to in-license global rights in relation to drug candidates MP0420 and MP0423. Under the terms of the agreement, the Group in 2020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 During the reporting period, costs paid to the Novartis Group for the manufacturing of the drug product to establish the commercial supply of MP0420 in the amount of TCHF 1,181 have been offset against the upfront non-refundable fee (see note 5.4).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Revenues in the table below are attributable to individual countries and are based on the location of the Group’s alliance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tcPr>
          <w:p>
            <w:pPr>
              <w:spacing w:after="0"/>
              <w:rPr>
                <w:sz w:val="20"/>
                <w:szCs w:val="20"/>
                <w:color w:val="auto"/>
              </w:rPr>
            </w:pPr>
            <w:r>
              <w:rPr>
                <w:rFonts w:ascii="Arial" w:cs="Arial" w:eastAsia="Arial" w:hAnsi="Arial"/>
                <w:sz w:val="14"/>
                <w:szCs w:val="14"/>
                <w:b w:val="1"/>
                <w:bCs w:val="1"/>
                <w:color w:val="auto"/>
              </w:rPr>
              <w:t>Revenues by country</w:t>
            </w:r>
          </w:p>
        </w:tc>
        <w:tc>
          <w:tcPr>
            <w:tcW w:w="4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4"/>
                <w:szCs w:val="14"/>
                <w:b w:val="1"/>
                <w:bCs w:val="1"/>
                <w:color w:val="auto"/>
              </w:rPr>
              <w:t>in TCHF, for the three months ended March 31</w:t>
            </w:r>
          </w:p>
        </w:tc>
        <w:tc>
          <w:tcPr>
            <w:tcW w:w="41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4080" w:type="dxa"/>
            <w:vAlign w:val="bottom"/>
            <w:tcBorders>
              <w:top w:val="single" w:sz="8" w:color="auto"/>
            </w:tcBorders>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r>
        <w:trPr>
          <w:trHeight w:val="514"/>
        </w:trPr>
        <w:tc>
          <w:tcPr>
            <w:tcW w:w="60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Analysis of revenues by major alliance partner</w:t>
            </w:r>
          </w:p>
        </w:tc>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TCHF, for the three months ended March 31</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408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5.2</w:t>
      </w:r>
      <w:r>
        <w:rPr>
          <w:sz w:val="20"/>
          <w:szCs w:val="20"/>
          <w:color w:val="auto"/>
        </w:rPr>
        <w:tab/>
      </w:r>
      <w:r>
        <w:rPr>
          <w:rFonts w:ascii="Arial" w:cs="Arial" w:eastAsia="Arial" w:hAnsi="Arial"/>
          <w:sz w:val="15"/>
          <w:szCs w:val="15"/>
          <w:b w:val="1"/>
          <w:bCs w:val="1"/>
          <w:i w:val="1"/>
          <w:iCs w:val="1"/>
          <w:color w:val="auto"/>
        </w:rPr>
        <w:t>Other income</w:t>
      </w:r>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2021 the Company entered into an agreement with Novartis to facilitate manufacturing of MP0420 drug supply at a third party supplier. The related agency services during the three months ended March 31, 2021 amounted to TCHF 162 and are presented as other income in the condensed consolidated interim statement of comprehensive loss.</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rFonts w:ascii="Arial" w:cs="Arial" w:eastAsia="Arial" w:hAnsi="Arial"/>
          <w:sz w:val="15"/>
          <w:szCs w:val="15"/>
          <w:b w:val="1"/>
          <w:bCs w:val="1"/>
          <w:i w:val="1"/>
          <w:iCs w:val="1"/>
          <w:color w:val="auto"/>
        </w:rPr>
        <w:t>Operating expenses</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in operating expenses in the three months ended March 31, 2021 as compared to prior year is primarily driven by the increase in headcount and the progress of the Group's Covid-19 projects.</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Contract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in the contract liability during the three months ended March 31,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240"/>
          </w:cols>
          <w:pgMar w:left="320" w:top="1440" w:right="339" w:bottom="1440" w:gutter="0" w:footer="0" w:header="0"/>
          <w:type w:val="continuous"/>
        </w:sectPr>
      </w:pPr>
    </w:p>
    <w:bookmarkStart w:id="306" w:name="page307"/>
    <w:bookmarkEnd w:id="30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234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Contract liability at</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Contract liability at</w:t>
            </w: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720" w:type="dxa"/>
            <w:vAlign w:val="bottom"/>
            <w:gridSpan w:val="2"/>
          </w:tcPr>
          <w:p>
            <w:pPr>
              <w:ind w:left="1000"/>
              <w:spacing w:after="0"/>
              <w:rPr>
                <w:sz w:val="20"/>
                <w:szCs w:val="20"/>
                <w:color w:val="auto"/>
              </w:rPr>
            </w:pPr>
            <w:r>
              <w:rPr>
                <w:rFonts w:ascii="Arial" w:cs="Arial" w:eastAsia="Arial" w:hAnsi="Arial"/>
                <w:sz w:val="14"/>
                <w:szCs w:val="14"/>
                <w:b w:val="1"/>
                <w:bCs w:val="1"/>
                <w:color w:val="auto"/>
              </w:rPr>
              <w:t>Additions</w:t>
            </w: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Recognized as revenue</w:t>
            </w: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w w:val="95"/>
              </w:rPr>
              <w:t>Offset of costs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Novartis</w:t>
            </w:r>
          </w:p>
        </w:tc>
        <w:tc>
          <w:tcPr>
            <w:tcW w:w="1620" w:type="dxa"/>
            <w:vAlign w:val="bottom"/>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Pr>
          <w:p>
            <w:pPr>
              <w:spacing w:after="0"/>
              <w:rPr>
                <w:sz w:val="21"/>
                <w:szCs w:val="21"/>
                <w:color w:val="auto"/>
              </w:rPr>
            </w:pPr>
          </w:p>
        </w:tc>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37"/>
        </w:trPr>
        <w:tc>
          <w:tcPr>
            <w:tcW w:w="27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45,887</w:t>
            </w:r>
          </w:p>
        </w:tc>
        <w:tc>
          <w:tcPr>
            <w:tcW w:w="100" w:type="dxa"/>
            <w:vAlign w:val="bottom"/>
          </w:tcPr>
          <w:p>
            <w:pPr>
              <w:spacing w:after="0"/>
              <w:rPr>
                <w:sz w:val="20"/>
                <w:szCs w:val="20"/>
                <w:color w:val="auto"/>
              </w:rPr>
            </w:pPr>
          </w:p>
        </w:tc>
        <w:tc>
          <w:tcPr>
            <w:tcW w:w="162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43,891</w:t>
            </w:r>
          </w:p>
        </w:tc>
      </w:tr>
      <w:tr>
        <w:trPr>
          <w:trHeight w:val="27"/>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 amount of TCHF 1,181 has been released to offset a corresponding amount of costs paid to the Novartis Group for the manufacturing of the drug product to establish the commercial supply of MP0420 (see note 5.1).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5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Current</w:t>
            </w:r>
          </w:p>
        </w:tc>
        <w:tc>
          <w:tcPr>
            <w:tcW w:w="15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Non-current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liability</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Novartis</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43,891</w:t>
            </w:r>
          </w:p>
        </w:tc>
      </w:tr>
    </w:tbl>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rFonts w:ascii="Arial" w:cs="Arial" w:eastAsia="Arial" w:hAnsi="Arial"/>
          <w:sz w:val="15"/>
          <w:szCs w:val="15"/>
          <w:b w:val="1"/>
          <w:bCs w:val="1"/>
          <w:i w:val="1"/>
          <w:iCs w:val="1"/>
          <w:color w:val="auto"/>
        </w:rPr>
        <w:t>Prepaid expenses and accrued income</w:t>
      </w:r>
    </w:p>
    <w:p>
      <w:pPr>
        <w:spacing w:after="0" w:line="14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March 31, 2021 the Group recorded a prepayment of CHF 8.7 million related to the reservation of resins arising from the agreement with Novartis for the manufacturing of commercial supply for MP0420. Accordingly, the prepayment will be released to expense as the resins are received by Novartis and an offsetting entry to the contractual liability will be recorded.</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5.6</w:t>
      </w:r>
      <w:r>
        <w:rPr>
          <w:sz w:val="20"/>
          <w:szCs w:val="20"/>
          <w:color w:val="auto"/>
        </w:rPr>
        <w:tab/>
      </w:r>
      <w:r>
        <w:rPr>
          <w:rFonts w:ascii="Arial" w:cs="Arial" w:eastAsia="Arial" w:hAnsi="Arial"/>
          <w:sz w:val="15"/>
          <w:szCs w:val="15"/>
          <w:b w:val="1"/>
          <w:bCs w:val="1"/>
          <w:i w:val="1"/>
          <w:iCs w:val="1"/>
          <w:color w:val="auto"/>
        </w:rPr>
        <w:t>Issuances of equity securities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2021 as a result of the exercise of employee stock options and the vesting of Performance Share Units ("PSUs" ) the outstanding issued share capital of the Company increased to CHF 2,915,779 divided into 29,157,793 fully paid registered shares.</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rFonts w:ascii="Arial" w:cs="Arial" w:eastAsia="Arial" w:hAnsi="Arial"/>
          <w:sz w:val="15"/>
          <w:szCs w:val="15"/>
          <w:b w:val="1"/>
          <w:bCs w:val="1"/>
          <w:i w:val="1"/>
          <w:i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has paid no dividends since its inception and does not anticipate paying dividends in the foreseeable future.</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5"/>
          <w:szCs w:val="15"/>
          <w:b w:val="1"/>
          <w:bCs w:val="1"/>
          <w:i w:val="1"/>
          <w:iCs w:val="1"/>
          <w:color w:val="auto"/>
        </w:rPr>
        <w:t>Share-based compensation</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371,646 options were outstanding (December 31, 2020: 382,059 options) under all active option plans. As of March 31, 2021 and December 31, 2020 all options had vested.</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March 31, 2021, a total of 435,882 Performance Share Units ("PSUs") and 87,906 Restricted Share Units ("RSUs") were outstanding, of which none were vested (as of December 31, 2020 a total of 445,198 PSUs and 87,906 RSUs were outstanding, of which also none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movements in the number of share-based awards (options, RSUs and PSUs) outstanding during the three month period ended March 31, 2021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Share options / PSU/ RSU</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PSU / RSU</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 numbers</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Options (numbers)</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vMerge w:val="continue"/>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movements</w:t>
            </w:r>
          </w:p>
        </w:tc>
        <w:tc>
          <w:tcPr>
            <w:tcW w:w="134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(CHF)</w:t>
            </w:r>
          </w:p>
        </w:tc>
        <w:tc>
          <w:tcPr>
            <w:tcW w:w="134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(CHF)</w:t>
            </w: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(numbers)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915,163</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382,059</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533,104</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options), vested PSU / RSU</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line="156"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895,434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371,646</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523,788</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2021</w:t>
            </w: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1 Performance adjustments indicate forfeitures due to non-market performance conditions not achieved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2 Forfeited due to service conditions not fulfilled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share-based compensation costs recognized during the three months ended March 31, 2021 amounted to TCHF 789 (TCHF 590 for the three months ended March 31, 2020).</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5"/>
          <w:szCs w:val="15"/>
          <w:b w:val="1"/>
          <w:bCs w:val="1"/>
          <w:i w:val="1"/>
          <w:iCs w:val="1"/>
          <w:color w:val="auto"/>
        </w:rPr>
        <w:t>Financial income and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foreign exchange gain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466"/>
        </w:trPr>
        <w:tc>
          <w:tcPr>
            <w:tcW w:w="7860" w:type="dxa"/>
            <w:vAlign w:val="bottom"/>
          </w:tcPr>
          <w:p>
            <w:pPr>
              <w:spacing w:after="0"/>
              <w:rPr>
                <w:sz w:val="20"/>
                <w:szCs w:val="20"/>
                <w:color w:val="auto"/>
              </w:rPr>
            </w:pPr>
            <w:r>
              <w:rPr>
                <w:rFonts w:ascii="Arial" w:cs="Arial" w:eastAsia="Arial" w:hAnsi="Arial"/>
                <w:sz w:val="18"/>
                <w:szCs w:val="18"/>
                <w:color w:val="auto"/>
              </w:rPr>
              <w:t>Financial expense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9"/>
        </w:trPr>
        <w:tc>
          <w:tcPr>
            <w:tcW w:w="7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Foreign exchange results primarily represent unrealized foreign exchange results on the cash and short-term time deposit balances held in USD, GBP and in EUR, respectively.</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5.10</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tax loss carry-forwards in Switzerland of TCHF 157,900 as of December 31, 2020. No deferred tax assets have been recognized for these tax losses carry forwards, because it is not probable that such loss carry forwards can be utilized in the foreseeable future. In addition, no deferred tax positions were recognized on other deductible temporary differences (e.g. pension liabilities under IAS 19) due to the significant tax losses carried forwards.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220"/>
          </w:cols>
          <w:pgMar w:left="320" w:top="1440" w:right="359" w:bottom="1440" w:gutter="0" w:footer="0" w:header="0"/>
          <w:type w:val="continuous"/>
        </w:sectPr>
      </w:pPr>
    </w:p>
    <w:bookmarkStart w:id="308" w:name="page309"/>
    <w:bookmarkEnd w:id="308"/>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5.11</w:t>
      </w:r>
      <w:r>
        <w:rPr>
          <w:sz w:val="20"/>
          <w:szCs w:val="20"/>
          <w:color w:val="auto"/>
        </w:rPr>
        <w:tab/>
      </w:r>
      <w:r>
        <w:rPr>
          <w:rFonts w:ascii="Arial" w:cs="Arial" w:eastAsia="Arial" w:hAnsi="Arial"/>
          <w:sz w:val="15"/>
          <w:szCs w:val="15"/>
          <w:b w:val="1"/>
          <w:bCs w:val="1"/>
          <w:i w:val="1"/>
          <w:iCs w:val="1"/>
          <w:color w:val="auto"/>
        </w:rPr>
        <w:t>Other comprehensive result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recognize remeasurements of the net defined benefit obligation in the period in which they arise, the Group adopted as its accounting policy to have independent actuaries to update the calculation of the defined benefit obligation and plan assets as at each interim reporting date. The significant components of the remeasurement in the current interim period relate to changes in demographic assumptions by adopting the new BVG / LPP 2020 tables for the first time (TCHF 2,432) and the increase in the discount rate (TCHF 1,683). The changes for the three months ended March 31, 2020 were TCHF 0 and (TCHF 2,877), respectively.</w:t>
      </w:r>
    </w:p>
    <w:p>
      <w:pPr>
        <w:spacing w:after="0" w:line="1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i w:val="1"/>
          <w:iCs w:val="1"/>
          <w:color w:val="auto"/>
        </w:rPr>
        <w:t>5.12</w:t>
      </w:r>
      <w:r>
        <w:rPr>
          <w:sz w:val="20"/>
          <w:szCs w:val="20"/>
          <w:color w:val="auto"/>
        </w:rPr>
        <w:tab/>
      </w:r>
      <w:r>
        <w:rPr>
          <w:rFonts w:ascii="Arial" w:cs="Arial" w:eastAsia="Arial" w:hAnsi="Arial"/>
          <w:sz w:val="15"/>
          <w:szCs w:val="15"/>
          <w:b w:val="1"/>
          <w:bCs w:val="1"/>
          <w:i w:val="1"/>
          <w:iCs w:val="1"/>
          <w:color w:val="auto"/>
        </w:rPr>
        <w:t>Earnings per share</w:t>
      </w:r>
    </w:p>
    <w:p>
      <w:pPr>
        <w:spacing w:after="0" w:line="1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shareholders by the weighted average number of shares issued and outstanding during the interim periods presented, excluding any shares held as own shares. Diluted net result per share additionally takes into account the potential conversion of all dilutive potential common shares. For the interim periods ended March 31, 2021 and 2020 there are no dilutive effects.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4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loss per share</w:t>
            </w:r>
          </w:p>
        </w:tc>
        <w:tc>
          <w:tcPr>
            <w:tcW w:w="24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29,153,173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21,645,410</w:t>
            </w:r>
          </w:p>
        </w:tc>
      </w:tr>
    </w:tbl>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5.13</w:t>
      </w:r>
      <w:r>
        <w:rPr>
          <w:sz w:val="20"/>
          <w:szCs w:val="20"/>
          <w:color w:val="auto"/>
        </w:rPr>
        <w:tab/>
      </w:r>
      <w:r>
        <w:rPr>
          <w:rFonts w:ascii="Arial" w:cs="Arial" w:eastAsia="Arial" w:hAnsi="Arial"/>
          <w:sz w:val="15"/>
          <w:szCs w:val="15"/>
          <w:b w:val="1"/>
          <w:bCs w:val="1"/>
          <w:i w:val="1"/>
          <w:iCs w:val="1"/>
          <w:color w:val="auto"/>
        </w:rPr>
        <w:t>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enter into any related party transactions in the interim periods presented.</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5.14</w:t>
      </w:r>
      <w:r>
        <w:rPr>
          <w:sz w:val="20"/>
          <w:szCs w:val="20"/>
          <w:color w:val="auto"/>
        </w:rPr>
        <w:tab/>
      </w:r>
      <w:r>
        <w:rPr>
          <w:rFonts w:ascii="Arial" w:cs="Arial" w:eastAsia="Arial" w:hAnsi="Arial"/>
          <w:sz w:val="15"/>
          <w:szCs w:val="15"/>
          <w:b w:val="1"/>
          <w:bCs w:val="1"/>
          <w:i w:val="1"/>
          <w:iCs w:val="1"/>
          <w:color w:val="auto"/>
        </w:rPr>
        <w:t>Events after the balance sheet date</w:t>
      </w:r>
    </w:p>
    <w:p>
      <w:pPr>
        <w:spacing w:after="0" w:line="15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No events occurred between the balance sheet date and the date on which these condensed consolidated interim financial statements were approved by the Audit and Finance Committee that would require adjustment to these condensed consolidated interim financial statements or disclosure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60"/>
          </w:cols>
          <w:pgMar w:left="320" w:top="1440" w:right="419" w:bottom="1440" w:gutter="0" w:footer="0" w:header="0"/>
        </w:sectPr>
      </w:pPr>
    </w:p>
    <w:bookmarkStart w:id="309" w:name="page310"/>
    <w:bookmarkEnd w:id="309"/>
    <w:p>
      <w:pPr>
        <w:spacing w:after="0" w:line="12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effect transactions in the ADSs, whether or not participating in this offering, may be required to deliver a prospectus. This delivery is in addition to a dealer’s obligation to deliver a prospectus when acting as an underwriter and with respect to their unsold allotments or subscriptions.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MOLECULAR PARTNERS AG</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i w:val="1"/>
          <w:iCs w:val="1"/>
          <w:color w:val="auto"/>
        </w:rPr>
        <w:t>3,000,000 American Depositary Shares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Representing 3,000,000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341630</wp:posOffset>
            </wp:positionV>
            <wp:extent cx="2091690"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9169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Cowen</w:t>
      </w:r>
    </w:p>
    <w:p>
      <w:pPr>
        <w:spacing w:after="0" w:line="211" w:lineRule="exact"/>
        <w:rPr>
          <w:sz w:val="20"/>
          <w:szCs w:val="20"/>
          <w:color w:val="auto"/>
        </w:rPr>
      </w:pPr>
    </w:p>
    <w:p>
      <w:pPr>
        <w:sectPr>
          <w:pgSz w:w="11900" w:h="16838" w:orient="portrait"/>
          <w:cols w:equalWidth="0" w:num="3">
            <w:col w:w="4080" w:space="720"/>
            <w:col w:w="4820" w:space="720"/>
            <w:col w:w="860"/>
          </w:cols>
          <w:pgMar w:left="320" w:top="1440" w:right="37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Kempen &amp; Co</w:t>
      </w:r>
    </w:p>
    <w:p>
      <w:pPr>
        <w:spacing w:after="0" w:line="211" w:lineRule="exact"/>
        <w:rPr>
          <w:sz w:val="20"/>
          <w:szCs w:val="20"/>
          <w:color w:val="auto"/>
        </w:rPr>
      </w:pPr>
    </w:p>
    <w:p>
      <w:pPr>
        <w:sectPr>
          <w:pgSz w:w="11900" w:h="16838" w:orient="portrait"/>
          <w:cols w:equalWidth="0" w:num="2">
            <w:col w:w="8920" w:space="720"/>
            <w:col w:w="15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200"/>
          </w:cols>
          <w:pgMar w:left="320" w:top="1440" w:right="379" w:bottom="1440" w:gutter="0" w:footer="0" w:header="0"/>
          <w:type w:val="continuous"/>
        </w:sectPr>
      </w:pPr>
    </w:p>
    <w:bookmarkStart w:id="310" w:name="page311"/>
    <w:bookmarkEnd w:id="310"/>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156"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 The registrant’s articles of association contain provisions governing the advancing of related defense costs to the extent not included in insurance coverage or paid by third parties.</w:t>
      </w:r>
    </w:p>
    <w:p>
      <w:pPr>
        <w:spacing w:after="0" w:line="10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their duties under the employment agreement with the registrant.</w:t>
      </w:r>
    </w:p>
    <w:p>
      <w:pPr>
        <w:spacing w:after="0" w:line="91"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In connection with this offering, the registrant intends to enter into indemnification agreements with each of its directors and executive officers. 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Recent Sales of Unregistered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in Capital Markets Transactions</w:t>
      </w:r>
    </w:p>
    <w:p>
      <w:pPr>
        <w:spacing w:after="0" w:line="158" w:lineRule="exact"/>
        <w:rPr>
          <w:sz w:val="20"/>
          <w:szCs w:val="20"/>
          <w:color w:val="auto"/>
        </w:rPr>
      </w:pPr>
    </w:p>
    <w:p>
      <w:pPr>
        <w:ind w:left="340" w:right="160" w:hanging="332"/>
        <w:spacing w:after="0" w:line="342" w:lineRule="auto"/>
        <w:tabs>
          <w:tab w:leader="none" w:pos="3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On October 28, 2020, we issued 1,739,130 common shares to Novartis Pharma AG out of conditional share capital in connection with an option and license agreement providing for a collaboration to develop, manufacture and commercialize certain product candidates and/or therapies.</w:t>
      </w:r>
    </w:p>
    <w:p>
      <w:pPr>
        <w:spacing w:after="0" w:line="56"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July 8, 2020, we issued 5,528,089 common shares out of authorized share capital placed with institutional investors in an accelerated bookbuilding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Since January 1, 2018, we granted to employees and non-employee directors, pursuant to our equity incentive plans and in exchange for services rendered or to be rendered, performance share units, or PSUs, and restricted share units, or RSUs, an aggregate of 958,476 common shares. The PSUs are subject to adjustment based on certain performance metrics.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Since January 1, 2018, an aggregate of 955,582 common shares were issued upon the exercise of options performance share units, or PSUs, and restricted stock units, or RSUs, issued under our equity incentive plans, at the exercise price of CHF 3.85 per share for the options, for aggregate proceeds of CHF 2,381,026.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2018, no options issued under our equity incentive plans were canceled.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offers, sales and issuances of the securities described in the preceding paragraphs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(c) under Rule 701 promulgated under the Securities Act in that the transactions were under compensatory benefit plans and contracts relating to compensation or (d) under Regulation S promulgated under the Securities Act in that offers, sales and issuances were not made to persons in the United States and no directed selling efforts were made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320" w:top="1440" w:right="419" w:bottom="1440" w:gutter="0" w:footer="0" w:header="0"/>
        </w:sectPr>
      </w:pPr>
    </w:p>
    <w:bookmarkStart w:id="311" w:name="page312"/>
    <w:bookmarkEnd w:id="311"/>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 and financial statement schedules</w:t>
      </w:r>
    </w:p>
    <w:p>
      <w:pPr>
        <w:spacing w:after="0" w:line="139" w:lineRule="exact"/>
        <w:rPr>
          <w:sz w:val="20"/>
          <w:szCs w:val="20"/>
          <w:color w:val="auto"/>
        </w:rPr>
      </w:pPr>
    </w:p>
    <w:p>
      <w:pPr>
        <w:ind w:left="480" w:hanging="472"/>
        <w:spacing w:after="0"/>
        <w:tabs>
          <w:tab w:leader="none" w:pos="4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920" w:type="dxa"/>
            <w:vAlign w:val="bottom"/>
            <w:gridSpan w:val="8"/>
          </w:tcPr>
          <w:p>
            <w:pPr>
              <w:ind w:left="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11"/>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Underwriting Agreement.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4">
              <w:r>
                <w:rPr>
                  <w:rFonts w:ascii="Arial" w:cs="Arial" w:eastAsia="Arial" w:hAnsi="Arial"/>
                  <w:sz w:val="18"/>
                  <w:szCs w:val="18"/>
                  <w:color w:val="0000FF"/>
                </w:rPr>
                <w:t>Articles of Association, as currently in effect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5">
              <w:r>
                <w:rPr>
                  <w:rFonts w:ascii="Arial" w:cs="Arial" w:eastAsia="Arial" w:hAnsi="Arial"/>
                  <w:sz w:val="18"/>
                  <w:szCs w:val="18"/>
                  <w:color w:val="0000FF"/>
                </w:rPr>
                <w:t>Organizational Rules of the registrant (English translation)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Form of Deposit Agreement.</w:t>
              </w:r>
            </w:hyperlink>
          </w:p>
        </w:tc>
        <w:tc>
          <w:tcPr>
            <w:tcW w:w="2140" w:type="dxa"/>
            <w:vAlign w:val="bottom"/>
            <w:tcBorders>
              <w:top w:val="single" w:sz="8" w:color="0000FF"/>
            </w:tcBorders>
            <w:gridSpan w:val="4"/>
          </w:tcPr>
          <w:p>
            <w:pPr>
              <w:spacing w:after="0"/>
              <w:rPr>
                <w:sz w:val="22"/>
                <w:szCs w:val="22"/>
                <w:color w:val="auto"/>
              </w:rPr>
            </w:pPr>
          </w:p>
        </w:tc>
        <w:tc>
          <w:tcPr>
            <w:tcW w:w="59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American Depositary Receipt (included in Exhibit 4.1).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6"/>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7">
              <w:r>
                <w:rPr>
                  <w:rFonts w:ascii="Arial" w:cs="Arial" w:eastAsia="Arial" w:hAnsi="Arial"/>
                  <w:sz w:val="18"/>
                  <w:szCs w:val="18"/>
                  <w:color w:val="0000FF"/>
                </w:rPr>
                <w:t>Opinion of Homburger AG, Swiss counsel of the registrant, as to the validity of the common shares.</w:t>
              </w:r>
            </w:hyperlink>
          </w:p>
        </w:tc>
        <w:tc>
          <w:tcPr>
            <w:tcW w:w="0" w:type="dxa"/>
            <w:vAlign w:val="bottom"/>
          </w:tcPr>
          <w:p>
            <w:pPr>
              <w:spacing w:after="0"/>
              <w:rPr>
                <w:sz w:val="1"/>
                <w:szCs w:val="1"/>
                <w:color w:val="auto"/>
              </w:rPr>
            </w:pPr>
          </w:p>
        </w:tc>
      </w:tr>
      <w:tr>
        <w:trPr>
          <w:trHeight w:val="263"/>
        </w:trPr>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0" w:type="dxa"/>
            <w:vAlign w:val="bottom"/>
            <w:tcBorders>
              <w:top w:val="single" w:sz="8" w:color="0000FF"/>
            </w:tcBorders>
            <w:gridSpan w:val="9"/>
          </w:tcPr>
          <w:p>
            <w:pPr>
              <w:spacing w:after="0"/>
              <w:rPr>
                <w:rFonts w:ascii="Arial" w:cs="Arial" w:eastAsia="Arial" w:hAnsi="Arial"/>
                <w:sz w:val="18"/>
                <w:szCs w:val="18"/>
                <w:color w:val="0000FF"/>
              </w:rPr>
            </w:pPr>
            <w:hyperlink r:id="rId108">
              <w:r>
                <w:rPr>
                  <w:rFonts w:ascii="Arial" w:cs="Arial" w:eastAsia="Arial" w:hAnsi="Arial"/>
                  <w:sz w:val="18"/>
                  <w:szCs w:val="18"/>
                  <w:color w:val="0000FF"/>
                </w:rPr>
                <w:t>Opinion of Homburger AG, Swiss counsel of the registrant, as to Swiss tax matters.</w:t>
              </w:r>
            </w:hyperlink>
          </w:p>
        </w:tc>
        <w:tc>
          <w:tcPr>
            <w:tcW w:w="29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8"/>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1"/>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rFonts w:ascii="Arial" w:cs="Arial" w:eastAsia="Arial" w:hAnsi="Arial"/>
          <w:sz w:val="13"/>
          <w:szCs w:val="13"/>
          <w:color w:val="auto"/>
        </w:rPr>
        <w:t>†</w:t>
      </w:r>
      <w:r>
        <w:rPr>
          <w:sz w:val="20"/>
          <w:szCs w:val="20"/>
          <w:color w:val="auto"/>
        </w:rPr>
        <w:tab/>
      </w:r>
      <w:hyperlink r:id="rId110">
        <w:r>
          <w:rPr>
            <w:rFonts w:ascii="Arial" w:cs="Arial" w:eastAsia="Arial" w:hAnsi="Arial"/>
            <w:sz w:val="16"/>
            <w:szCs w:val="16"/>
            <w:u w:val="single" w:color="auto"/>
            <w:color w:val="0000FF"/>
          </w:rPr>
          <w:t>License Agreement, dated as of November 17, 2004, as amended, by and between The University of Zurich and Molecular Partners AG</w:t>
        </w:r>
      </w:hyperlink>
      <w:r>
        <w:rPr>
          <w:rFonts w:ascii="Arial" w:cs="Arial" w:eastAsia="Arial" w:hAnsi="Arial"/>
          <w:sz w:val="16"/>
          <w:szCs w:val="16"/>
          <w:color w:val="000000"/>
        </w:rPr>
        <w:t>.</w:t>
      </w:r>
    </w:p>
    <w:p>
      <w:pPr>
        <w:spacing w:after="0" w:line="77" w:lineRule="exact"/>
        <w:rPr>
          <w:sz w:val="20"/>
          <w:szCs w:val="20"/>
          <w:color w:val="auto"/>
        </w:rPr>
      </w:pPr>
    </w:p>
    <w:p>
      <w:pPr>
        <w:ind w:left="1080" w:right="12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10.3**</w:t>
      </w:r>
      <w:r>
        <w:rPr>
          <w:rFonts w:ascii="Arial" w:cs="Arial" w:eastAsia="Arial" w:hAnsi="Arial"/>
          <w:sz w:val="13"/>
          <w:szCs w:val="13"/>
          <w:color w:val="auto"/>
        </w:rPr>
        <w:t>†</w:t>
      </w:r>
      <w:r>
        <w:rPr>
          <w:sz w:val="20"/>
          <w:szCs w:val="20"/>
          <w:color w:val="auto"/>
        </w:rPr>
        <w:tab/>
      </w:r>
      <w:hyperlink r:id="rId111">
        <w:r>
          <w:rPr>
            <w:rFonts w:ascii="Arial" w:cs="Arial" w:eastAsia="Arial" w:hAnsi="Arial"/>
            <w:sz w:val="18"/>
            <w:szCs w:val="18"/>
            <w:u w:val="single" w:color="auto"/>
            <w:color w:val="0000FF"/>
          </w:rPr>
          <w:t>Amended and Restated Collaboration Agreement, dated as of August 17, 2012, by and among the University of Zurich, Molecular Partners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AG, Allergan, Inc., and 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1080" w:right="64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10.4**</w:t>
      </w:r>
      <w:r>
        <w:rPr>
          <w:rFonts w:ascii="Arial" w:cs="Arial" w:eastAsia="Arial" w:hAnsi="Arial"/>
          <w:sz w:val="13"/>
          <w:szCs w:val="13"/>
          <w:color w:val="auto"/>
        </w:rPr>
        <w:t>†</w:t>
      </w:r>
      <w:r>
        <w:rPr>
          <w:sz w:val="20"/>
          <w:szCs w:val="20"/>
          <w:color w:val="auto"/>
        </w:rPr>
        <w:tab/>
      </w:r>
      <w:hyperlink r:id="rId112">
        <w:r>
          <w:rPr>
            <w:rFonts w:ascii="Arial" w:cs="Arial" w:eastAsia="Arial" w:hAnsi="Arial"/>
            <w:sz w:val="18"/>
            <w:szCs w:val="18"/>
            <w:u w:val="single" w:color="auto"/>
            <w:color w:val="0000FF"/>
          </w:rPr>
          <w:t>Discovery Alliance Agreement, dated as of August 12, 2012, as amended, by and among Molecular Partners AG, Allergan, Inc, and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rFonts w:ascii="Arial" w:cs="Arial" w:eastAsia="Arial" w:hAnsi="Arial"/>
          <w:sz w:val="13"/>
          <w:szCs w:val="13"/>
          <w:color w:val="auto"/>
        </w:rPr>
        <w:t>†</w:t>
      </w:r>
      <w:r>
        <w:rPr>
          <w:sz w:val="20"/>
          <w:szCs w:val="20"/>
          <w:color w:val="auto"/>
        </w:rPr>
        <w:tab/>
      </w:r>
      <w:hyperlink r:id="rId113">
        <w:r>
          <w:rPr>
            <w:rFonts w:ascii="Arial" w:cs="Arial" w:eastAsia="Arial" w:hAnsi="Arial"/>
            <w:sz w:val="16"/>
            <w:szCs w:val="16"/>
            <w:u w:val="single" w:color="auto"/>
            <w:color w:val="0000FF"/>
          </w:rPr>
          <w:t>Collaboration and License Agreement, dated as of December 18, 2018, by and between Molecular Partners AG and Amgen Inc.</w:t>
        </w:r>
      </w:hyperlink>
    </w:p>
    <w:p>
      <w:pPr>
        <w:spacing w:after="0" w:line="77"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rFonts w:ascii="Arial" w:cs="Arial" w:eastAsia="Arial" w:hAnsi="Arial"/>
          <w:sz w:val="13"/>
          <w:szCs w:val="13"/>
          <w:color w:val="auto"/>
        </w:rPr>
        <w:t>†</w:t>
      </w:r>
      <w:r>
        <w:rPr>
          <w:sz w:val="20"/>
          <w:szCs w:val="20"/>
          <w:color w:val="auto"/>
        </w:rPr>
        <w:tab/>
      </w:r>
      <w:hyperlink r:id="rId114">
        <w:r>
          <w:rPr>
            <w:rFonts w:ascii="Arial" w:cs="Arial" w:eastAsia="Arial" w:hAnsi="Arial"/>
            <w:sz w:val="16"/>
            <w:szCs w:val="16"/>
            <w:u w:val="single" w:color="auto"/>
            <w:color w:val="0000FF"/>
          </w:rPr>
          <w:t>Option and Equity Rights Agreement, dated as of October 27, 2020, by and between Molecular Partners AG and Novartis Pharma AG</w:t>
        </w:r>
      </w:hyperlink>
      <w:r>
        <w:rPr>
          <w:rFonts w:ascii="Arial" w:cs="Arial" w:eastAsia="Arial" w:hAnsi="Arial"/>
          <w:sz w:val="16"/>
          <w:szCs w:val="16"/>
          <w:color w:val="000000"/>
        </w:rPr>
        <w:t>.</w:t>
      </w:r>
    </w:p>
    <w:p>
      <w:pPr>
        <w:spacing w:after="0" w:line="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rFonts w:ascii="Arial" w:cs="Arial" w:eastAsia="Arial" w:hAnsi="Arial"/>
                <w:sz w:val="18"/>
                <w:szCs w:val="18"/>
                <w:color w:val="0000FF"/>
                <w:w w:val="89"/>
              </w:rPr>
            </w:pPr>
            <w:hyperlink r:id="rId115">
              <w:r>
                <w:rPr>
                  <w:rFonts w:ascii="Arial" w:cs="Arial" w:eastAsia="Arial" w:hAnsi="Arial"/>
                  <w:sz w:val="18"/>
                  <w:szCs w:val="18"/>
                  <w:color w:val="0000FF"/>
                  <w:w w:val="89"/>
                </w:rPr>
                <w:t>2017</w:t>
              </w:r>
            </w:hyperlink>
          </w:p>
        </w:tc>
        <w:tc>
          <w:tcPr>
            <w:tcW w:w="9480" w:type="dxa"/>
            <w:vAlign w:val="bottom"/>
            <w:gridSpan w:val="11"/>
          </w:tcPr>
          <w:p>
            <w:pPr>
              <w:ind w:left="20"/>
              <w:spacing w:after="0"/>
              <w:rPr>
                <w:rFonts w:ascii="Arial" w:cs="Arial" w:eastAsia="Arial" w:hAnsi="Arial"/>
                <w:sz w:val="18"/>
                <w:szCs w:val="18"/>
                <w:color w:val="0000FF"/>
              </w:rPr>
            </w:pPr>
            <w:hyperlink r:id="rId115">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rFonts w:ascii="Arial" w:cs="Arial" w:eastAsia="Arial" w:hAnsi="Arial"/>
                <w:sz w:val="18"/>
                <w:szCs w:val="18"/>
                <w:color w:val="0000FF"/>
                <w:w w:val="89"/>
              </w:rPr>
            </w:pPr>
            <w:hyperlink r:id="rId116">
              <w:r>
                <w:rPr>
                  <w:rFonts w:ascii="Arial" w:cs="Arial" w:eastAsia="Arial" w:hAnsi="Arial"/>
                  <w:sz w:val="18"/>
                  <w:szCs w:val="18"/>
                  <w:color w:val="0000FF"/>
                  <w:w w:val="89"/>
                </w:rPr>
                <w:t>2018</w:t>
              </w:r>
            </w:hyperlink>
          </w:p>
        </w:tc>
        <w:tc>
          <w:tcPr>
            <w:tcW w:w="9480" w:type="dxa"/>
            <w:vAlign w:val="bottom"/>
            <w:gridSpan w:val="11"/>
          </w:tcPr>
          <w:p>
            <w:pPr>
              <w:ind w:left="20"/>
              <w:spacing w:after="0"/>
              <w:rPr>
                <w:rFonts w:ascii="Arial" w:cs="Arial" w:eastAsia="Arial" w:hAnsi="Arial"/>
                <w:sz w:val="18"/>
                <w:szCs w:val="18"/>
                <w:color w:val="0000FF"/>
              </w:rPr>
            </w:pPr>
            <w:hyperlink r:id="rId116">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rFonts w:ascii="Arial" w:cs="Arial" w:eastAsia="Arial" w:hAnsi="Arial"/>
                <w:sz w:val="18"/>
                <w:szCs w:val="18"/>
                <w:color w:val="0000FF"/>
                <w:w w:val="89"/>
              </w:rPr>
            </w:pPr>
            <w:hyperlink r:id="rId117">
              <w:r>
                <w:rPr>
                  <w:rFonts w:ascii="Arial" w:cs="Arial" w:eastAsia="Arial" w:hAnsi="Arial"/>
                  <w:sz w:val="18"/>
                  <w:szCs w:val="18"/>
                  <w:color w:val="0000FF"/>
                  <w:w w:val="89"/>
                </w:rPr>
                <w:t>2019</w:t>
              </w:r>
            </w:hyperlink>
          </w:p>
        </w:tc>
        <w:tc>
          <w:tcPr>
            <w:tcW w:w="9480" w:type="dxa"/>
            <w:vAlign w:val="bottom"/>
            <w:gridSpan w:val="11"/>
          </w:tcPr>
          <w:p>
            <w:pPr>
              <w:ind w:left="20"/>
              <w:spacing w:after="0"/>
              <w:rPr>
                <w:rFonts w:ascii="Arial" w:cs="Arial" w:eastAsia="Arial" w:hAnsi="Arial"/>
                <w:sz w:val="18"/>
                <w:szCs w:val="18"/>
                <w:color w:val="0000FF"/>
              </w:rPr>
            </w:pPr>
            <w:hyperlink r:id="rId117">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10.10**</w:t>
            </w:r>
          </w:p>
        </w:tc>
        <w:tc>
          <w:tcPr>
            <w:tcW w:w="380" w:type="dxa"/>
            <w:vAlign w:val="bottom"/>
          </w:tcPr>
          <w:p>
            <w:pPr>
              <w:spacing w:after="0"/>
              <w:rPr>
                <w:rFonts w:ascii="Arial" w:cs="Arial" w:eastAsia="Arial" w:hAnsi="Arial"/>
                <w:sz w:val="18"/>
                <w:szCs w:val="18"/>
                <w:color w:val="0000FF"/>
                <w:w w:val="89"/>
              </w:rPr>
            </w:pPr>
            <w:hyperlink r:id="rId118">
              <w:r>
                <w:rPr>
                  <w:rFonts w:ascii="Arial" w:cs="Arial" w:eastAsia="Arial" w:hAnsi="Arial"/>
                  <w:sz w:val="18"/>
                  <w:szCs w:val="18"/>
                  <w:color w:val="0000FF"/>
                  <w:w w:val="89"/>
                </w:rPr>
                <w:t>2020</w:t>
              </w:r>
            </w:hyperlink>
          </w:p>
        </w:tc>
        <w:tc>
          <w:tcPr>
            <w:tcW w:w="9480" w:type="dxa"/>
            <w:vAlign w:val="bottom"/>
            <w:gridSpan w:val="11"/>
          </w:tcPr>
          <w:p>
            <w:pPr>
              <w:ind w:left="20"/>
              <w:spacing w:after="0"/>
              <w:rPr>
                <w:rFonts w:ascii="Arial" w:cs="Arial" w:eastAsia="Arial" w:hAnsi="Arial"/>
                <w:sz w:val="18"/>
                <w:szCs w:val="18"/>
                <w:color w:val="0000FF"/>
              </w:rPr>
            </w:pPr>
            <w:hyperlink r:id="rId118">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10.11**</w:t>
            </w:r>
          </w:p>
        </w:tc>
        <w:tc>
          <w:tcPr>
            <w:tcW w:w="380" w:type="dxa"/>
            <w:vAlign w:val="bottom"/>
          </w:tcPr>
          <w:p>
            <w:pPr>
              <w:spacing w:after="0"/>
              <w:rPr>
                <w:rFonts w:ascii="Arial" w:cs="Arial" w:eastAsia="Arial" w:hAnsi="Arial"/>
                <w:sz w:val="18"/>
                <w:szCs w:val="18"/>
                <w:color w:val="0000FF"/>
                <w:w w:val="89"/>
              </w:rPr>
            </w:pPr>
            <w:hyperlink r:id="rId119">
              <w:r>
                <w:rPr>
                  <w:rFonts w:ascii="Arial" w:cs="Arial" w:eastAsia="Arial" w:hAnsi="Arial"/>
                  <w:sz w:val="18"/>
                  <w:szCs w:val="18"/>
                  <w:color w:val="0000FF"/>
                  <w:w w:val="89"/>
                </w:rPr>
                <w:t>2021</w:t>
              </w:r>
            </w:hyperlink>
          </w:p>
        </w:tc>
        <w:tc>
          <w:tcPr>
            <w:tcW w:w="9480" w:type="dxa"/>
            <w:vAlign w:val="bottom"/>
            <w:gridSpan w:val="11"/>
          </w:tcPr>
          <w:p>
            <w:pPr>
              <w:ind w:left="20"/>
              <w:spacing w:after="0"/>
              <w:rPr>
                <w:rFonts w:ascii="Arial" w:cs="Arial" w:eastAsia="Arial" w:hAnsi="Arial"/>
                <w:sz w:val="18"/>
                <w:szCs w:val="18"/>
                <w:color w:val="0000FF"/>
              </w:rPr>
            </w:pPr>
            <w:hyperlink r:id="rId119">
              <w:r>
                <w:rPr>
                  <w:rFonts w:ascii="Arial" w:cs="Arial" w:eastAsia="Arial" w:hAnsi="Arial"/>
                  <w:sz w:val="18"/>
                  <w:szCs w:val="18"/>
                  <w:color w:val="0000FF"/>
                </w:rPr>
                <w:t>Performance Share Plan for Employees other than Management</w:t>
              </w:r>
            </w:hyperlink>
            <w:r>
              <w:rPr>
                <w:rFonts w:ascii="Arial" w:cs="Arial" w:eastAsia="Arial" w:hAnsi="Arial"/>
                <w:sz w:val="18"/>
                <w:szCs w:val="18"/>
                <w:color w:val="000000"/>
              </w:rPr>
              <w:t>.</w:t>
            </w: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10.12**</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20">
              <w:r>
                <w:rPr>
                  <w:rFonts w:ascii="Arial" w:cs="Arial" w:eastAsia="Arial" w:hAnsi="Arial"/>
                  <w:sz w:val="18"/>
                  <w:szCs w:val="18"/>
                  <w:color w:val="0000FF"/>
                  <w:w w:val="89"/>
                </w:rPr>
                <w:t>2021</w:t>
              </w:r>
            </w:hyperlink>
          </w:p>
        </w:tc>
        <w:tc>
          <w:tcPr>
            <w:tcW w:w="4620" w:type="dxa"/>
            <w:vAlign w:val="bottom"/>
            <w:tcBorders>
              <w:top w:val="single" w:sz="8" w:color="0000FF"/>
            </w:tcBorders>
            <w:gridSpan w:val="9"/>
          </w:tcPr>
          <w:p>
            <w:pPr>
              <w:ind w:left="20"/>
              <w:spacing w:after="0"/>
              <w:rPr>
                <w:rFonts w:ascii="Arial" w:cs="Arial" w:eastAsia="Arial" w:hAnsi="Arial"/>
                <w:sz w:val="18"/>
                <w:szCs w:val="18"/>
                <w:color w:val="0000FF"/>
              </w:rPr>
            </w:pPr>
            <w:hyperlink r:id="rId120">
              <w:r>
                <w:rPr>
                  <w:rFonts w:ascii="Arial" w:cs="Arial" w:eastAsia="Arial" w:hAnsi="Arial"/>
                  <w:sz w:val="18"/>
                  <w:szCs w:val="18"/>
                  <w:color w:val="0000FF"/>
                </w:rPr>
                <w:t>Performance Share Plan for Management.</w:t>
              </w:r>
            </w:hyperlink>
          </w:p>
        </w:tc>
        <w:tc>
          <w:tcPr>
            <w:tcW w:w="4860" w:type="dxa"/>
            <w:vAlign w:val="bottom"/>
            <w:gridSpan w:val="2"/>
          </w:tcPr>
          <w:p>
            <w:pPr>
              <w:spacing w:after="0"/>
              <w:rPr>
                <w:sz w:val="22"/>
                <w:szCs w:val="22"/>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10.13**</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21">
              <w:r>
                <w:rPr>
                  <w:rFonts w:ascii="Arial" w:cs="Arial" w:eastAsia="Arial" w:hAnsi="Arial"/>
                  <w:sz w:val="18"/>
                  <w:szCs w:val="18"/>
                  <w:color w:val="0000FF"/>
                  <w:w w:val="89"/>
                </w:rPr>
                <w:t>2017</w:t>
              </w:r>
            </w:hyperlink>
          </w:p>
        </w:tc>
        <w:tc>
          <w:tcPr>
            <w:tcW w:w="3040" w:type="dxa"/>
            <w:vAlign w:val="bottom"/>
            <w:tcBorders>
              <w:top w:val="single" w:sz="8" w:color="0000FF"/>
            </w:tcBorders>
            <w:gridSpan w:val="5"/>
          </w:tcPr>
          <w:p>
            <w:pPr>
              <w:ind w:left="20"/>
              <w:spacing w:after="0"/>
              <w:rPr>
                <w:rFonts w:ascii="Arial" w:cs="Arial" w:eastAsia="Arial" w:hAnsi="Arial"/>
                <w:sz w:val="18"/>
                <w:szCs w:val="18"/>
                <w:color w:val="0000FF"/>
              </w:rPr>
            </w:pPr>
            <w:hyperlink r:id="rId121">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c>
          <w:tcPr>
            <w:tcW w:w="6440" w:type="dxa"/>
            <w:vAlign w:val="bottom"/>
            <w:gridSpan w:val="6"/>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10.14**</w:t>
            </w:r>
          </w:p>
        </w:tc>
        <w:tc>
          <w:tcPr>
            <w:tcW w:w="380" w:type="dxa"/>
            <w:vAlign w:val="bottom"/>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2018</w:t>
              </w:r>
            </w:hyperlink>
          </w:p>
        </w:tc>
        <w:tc>
          <w:tcPr>
            <w:tcW w:w="9480" w:type="dxa"/>
            <w:vAlign w:val="bottom"/>
            <w:gridSpan w:val="11"/>
          </w:tcPr>
          <w:p>
            <w:pPr>
              <w:ind w:left="20"/>
              <w:spacing w:after="0"/>
              <w:rPr>
                <w:rFonts w:ascii="Arial" w:cs="Arial" w:eastAsia="Arial" w:hAnsi="Arial"/>
                <w:sz w:val="18"/>
                <w:szCs w:val="18"/>
                <w:color w:val="0000FF"/>
              </w:rPr>
            </w:pPr>
            <w:hyperlink r:id="rId122">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10.15**</w:t>
            </w:r>
          </w:p>
        </w:tc>
        <w:tc>
          <w:tcPr>
            <w:tcW w:w="380" w:type="dxa"/>
            <w:vAlign w:val="bottom"/>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2019</w:t>
              </w:r>
            </w:hyperlink>
          </w:p>
        </w:tc>
        <w:tc>
          <w:tcPr>
            <w:tcW w:w="9480" w:type="dxa"/>
            <w:vAlign w:val="bottom"/>
            <w:gridSpan w:val="11"/>
          </w:tcPr>
          <w:p>
            <w:pPr>
              <w:ind w:left="20"/>
              <w:spacing w:after="0"/>
              <w:rPr>
                <w:rFonts w:ascii="Arial" w:cs="Arial" w:eastAsia="Arial" w:hAnsi="Arial"/>
                <w:sz w:val="18"/>
                <w:szCs w:val="18"/>
                <w:color w:val="0000FF"/>
              </w:rPr>
            </w:pPr>
            <w:hyperlink r:id="rId123">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10.16**</w:t>
            </w:r>
          </w:p>
        </w:tc>
        <w:tc>
          <w:tcPr>
            <w:tcW w:w="38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124">
              <w:r>
                <w:rPr>
                  <w:rFonts w:ascii="Arial" w:cs="Arial" w:eastAsia="Arial" w:hAnsi="Arial"/>
                  <w:sz w:val="18"/>
                  <w:szCs w:val="18"/>
                  <w:color w:val="0000FF"/>
                  <w:w w:val="89"/>
                </w:rPr>
                <w:t>2020</w:t>
              </w:r>
            </w:hyperlink>
          </w:p>
        </w:tc>
        <w:tc>
          <w:tcPr>
            <w:tcW w:w="15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87"/>
              </w:rPr>
            </w:pPr>
            <w:hyperlink r:id="rId124">
              <w:r>
                <w:rPr>
                  <w:rFonts w:ascii="Arial" w:cs="Arial" w:eastAsia="Arial" w:hAnsi="Arial"/>
                  <w:sz w:val="18"/>
                  <w:szCs w:val="18"/>
                  <w:color w:val="0000FF"/>
                  <w:w w:val="87"/>
                </w:rPr>
                <w:t>Restricted Share Plan</w:t>
              </w:r>
            </w:hyperlink>
          </w:p>
        </w:tc>
        <w:tc>
          <w:tcPr>
            <w:tcW w:w="7900" w:type="dxa"/>
            <w:vAlign w:val="bottom"/>
            <w:gridSpan w:val="9"/>
          </w:tcPr>
          <w:p>
            <w:pPr>
              <w:spacing w:after="0"/>
              <w:rPr>
                <w:sz w:val="22"/>
                <w:szCs w:val="22"/>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10.17**</w:t>
            </w:r>
          </w:p>
        </w:tc>
        <w:tc>
          <w:tcPr>
            <w:tcW w:w="380" w:type="dxa"/>
            <w:vAlign w:val="bottom"/>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2021</w:t>
              </w:r>
            </w:hyperlink>
          </w:p>
        </w:tc>
        <w:tc>
          <w:tcPr>
            <w:tcW w:w="9480" w:type="dxa"/>
            <w:vAlign w:val="bottom"/>
            <w:gridSpan w:val="11"/>
          </w:tcPr>
          <w:p>
            <w:pPr>
              <w:ind w:left="20"/>
              <w:spacing w:after="0"/>
              <w:rPr>
                <w:rFonts w:ascii="Arial" w:cs="Arial" w:eastAsia="Arial" w:hAnsi="Arial"/>
                <w:sz w:val="18"/>
                <w:szCs w:val="18"/>
                <w:color w:val="0000FF"/>
              </w:rPr>
            </w:pPr>
            <w:hyperlink r:id="rId125">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9860" w:type="dxa"/>
            <w:vAlign w:val="bottom"/>
            <w:gridSpan w:val="1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Subsidiaries of the Registrant</w:t>
              </w:r>
            </w:hyperlink>
            <w:r>
              <w:rPr>
                <w:rFonts w:ascii="Arial" w:cs="Arial" w:eastAsia="Arial" w:hAnsi="Arial"/>
                <w:sz w:val="18"/>
                <w:szCs w:val="18"/>
                <w:color w:val="000000"/>
              </w:rPr>
              <w:t>.</w:t>
            </w: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316">
              <w:r>
                <w:rPr>
                  <w:rFonts w:ascii="Arial" w:cs="Arial" w:eastAsia="Arial" w:hAnsi="Arial"/>
                  <w:sz w:val="18"/>
                  <w:szCs w:val="18"/>
                  <w:color w:val="0000FF"/>
                  <w:w w:val="93"/>
                </w:rPr>
                <w:t>Consent of KPMG AG</w:t>
              </w:r>
            </w:hyperlink>
          </w:p>
        </w:tc>
        <w:tc>
          <w:tcPr>
            <w:tcW w:w="480" w:type="dxa"/>
            <w:vAlign w:val="bottom"/>
            <w:tcBorders>
              <w:top w:val="single" w:sz="8" w:color="0000FF"/>
            </w:tcBorders>
            <w:gridSpan w:val="3"/>
          </w:tcPr>
          <w:p>
            <w:pPr>
              <w:spacing w:after="0"/>
              <w:rPr>
                <w:sz w:val="22"/>
                <w:szCs w:val="22"/>
                <w:color w:val="auto"/>
              </w:rPr>
            </w:pPr>
          </w:p>
        </w:tc>
        <w:tc>
          <w:tcPr>
            <w:tcW w:w="7720" w:type="dxa"/>
            <w:vAlign w:val="bottom"/>
            <w:gridSpan w:val="7"/>
          </w:tcPr>
          <w:p>
            <w:pPr>
              <w:spacing w:after="0"/>
              <w:rPr>
                <w:sz w:val="22"/>
                <w:szCs w:val="22"/>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9860" w:type="dxa"/>
            <w:vAlign w:val="bottom"/>
            <w:gridSpan w:val="12"/>
          </w:tcPr>
          <w:p>
            <w:pPr>
              <w:spacing w:after="0"/>
              <w:rPr>
                <w:rFonts w:ascii="Arial" w:cs="Arial" w:eastAsia="Arial" w:hAnsi="Arial"/>
                <w:sz w:val="18"/>
                <w:szCs w:val="18"/>
                <w:color w:val="0000FF"/>
              </w:rPr>
            </w:pPr>
            <w:hyperlink r:id="rId107">
              <w:r>
                <w:rPr>
                  <w:rFonts w:ascii="Arial" w:cs="Arial" w:eastAsia="Arial" w:hAnsi="Arial"/>
                  <w:sz w:val="18"/>
                  <w:szCs w:val="18"/>
                  <w:color w:val="0000FF"/>
                </w:rPr>
                <w:t xml:space="preserve">Consent of Homburger AG (contained in Exhibits 5.1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r:id="rId108">
              <w:r>
                <w:rPr>
                  <w:rFonts w:ascii="Arial" w:cs="Arial" w:eastAsia="Arial" w:hAnsi="Arial"/>
                  <w:sz w:val="18"/>
                  <w:szCs w:val="18"/>
                  <w:color w:val="0000FF"/>
                </w:rPr>
                <w:t>8.1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24.1**</w:t>
            </w:r>
          </w:p>
        </w:tc>
        <w:tc>
          <w:tcPr>
            <w:tcW w:w="9860" w:type="dxa"/>
            <w:vAlign w:val="bottom"/>
            <w:gridSpan w:val="12"/>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Power of Attorney of each of the directors of the registrant and the principal executive, financial and accounting officers of the registrant</w:t>
              </w:r>
            </w:hyperlink>
          </w:p>
        </w:tc>
      </w:tr>
      <w:tr>
        <w:trPr>
          <w:trHeight w:val="155"/>
        </w:trPr>
        <w:tc>
          <w:tcPr>
            <w:tcW w:w="7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(included on signature page)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312" w:name="page313"/>
    <w:bookmarkEnd w:id="312"/>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56" w:lineRule="exact"/>
        <w:rPr>
          <w:sz w:val="20"/>
          <w:szCs w:val="20"/>
          <w:color w:val="auto"/>
        </w:rPr>
      </w:pPr>
    </w:p>
    <w:p>
      <w:pPr>
        <w:ind w:left="280" w:hanging="272"/>
        <w:spacing w:after="0"/>
        <w:tabs>
          <w:tab w:leader="none" w:pos="2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23" w:lineRule="exact"/>
        <w:rPr>
          <w:sz w:val="20"/>
          <w:szCs w:val="20"/>
          <w:color w:val="auto"/>
        </w:rPr>
      </w:pPr>
    </w:p>
    <w:p>
      <w:pPr>
        <w:ind w:left="240" w:hanging="232"/>
        <w:spacing w:after="0"/>
        <w:tabs>
          <w:tab w:leader="none" w:pos="24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Item 601(b)(10)(iv) of Regulation S-K.</w:t>
      </w:r>
    </w:p>
    <w:p>
      <w:pPr>
        <w:spacing w:after="0" w:line="134" w:lineRule="exact"/>
        <w:rPr>
          <w:sz w:val="20"/>
          <w:szCs w:val="20"/>
          <w:color w:val="auto"/>
        </w:rPr>
      </w:pPr>
    </w:p>
    <w:p>
      <w:pPr>
        <w:ind w:left="480" w:hanging="472"/>
        <w:spacing w:after="0"/>
        <w:tabs>
          <w:tab w:leader="none" w:pos="48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 schedules</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information for which provision is made in the applicable accounting regulations of the Securities and Exchange Commission is either included in the financial statements or is not required under the related instructions or inapplicable, and therefore has been omitted.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undertakes:</w:t>
      </w:r>
    </w:p>
    <w:p>
      <w:pPr>
        <w:spacing w:after="0" w:line="158" w:lineRule="exact"/>
        <w:rPr>
          <w:sz w:val="20"/>
          <w:szCs w:val="20"/>
          <w:color w:val="auto"/>
        </w:rPr>
      </w:pPr>
    </w:p>
    <w:p>
      <w:pPr>
        <w:ind w:left="340" w:right="60" w:hanging="332"/>
        <w:spacing w:after="0" w:line="308" w:lineRule="auto"/>
        <w:tabs>
          <w:tab w:leader="none" w:pos="33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8" w:lineRule="exact"/>
        <w:rPr>
          <w:rFonts w:ascii="Arial" w:cs="Arial" w:eastAsia="Arial" w:hAnsi="Arial"/>
          <w:sz w:val="17"/>
          <w:szCs w:val="17"/>
          <w:color w:val="auto"/>
        </w:rPr>
      </w:pPr>
    </w:p>
    <w:p>
      <w:pPr>
        <w:ind w:left="340" w:hanging="332"/>
        <w:spacing w:after="0" w:line="271" w:lineRule="auto"/>
        <w:tabs>
          <w:tab w:leader="none" w:pos="33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7" w:lineRule="exact"/>
        <w:rPr>
          <w:rFonts w:ascii="Arial" w:cs="Arial" w:eastAsia="Arial" w:hAnsi="Arial"/>
          <w:sz w:val="17"/>
          <w:szCs w:val="17"/>
          <w:color w:val="auto"/>
        </w:rPr>
      </w:pPr>
    </w:p>
    <w:p>
      <w:pPr>
        <w:ind w:left="320" w:hanging="312"/>
        <w:spacing w:after="0"/>
        <w:tabs>
          <w:tab w:leader="none" w:pos="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660" w:right="140" w:hanging="328"/>
        <w:spacing w:after="0" w:line="271" w:lineRule="auto"/>
        <w:tabs>
          <w:tab w:leader="none" w:pos="654" w:val="left"/>
        </w:tabs>
        <w:numPr>
          <w:ilvl w:val="1"/>
          <w:numId w:val="18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ind w:left="660" w:right="80" w:hanging="328"/>
        <w:spacing w:after="0" w:line="255" w:lineRule="auto"/>
        <w:tabs>
          <w:tab w:leader="none" w:pos="65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313" w:name="page314"/>
    <w:bookmarkEnd w:id="31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0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Pursuant to the requirements of the Securities Act of 1933, as amended, or the Securities Act, the registrant certifies that it has reasonable grounds to believe that it meets all of the requirements for filing on Form F-1 and has duly caused this registration statement to be signed on its behalf by the undersigned, thereunto duly authorized, in the city of Zurich, Switzerland on this 14th day of June, 2021.</w:t>
      </w:r>
    </w:p>
    <w:p>
      <w:pPr>
        <w:spacing w:after="0" w:line="1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MOLECULAR PARTNERS AG</w:t>
      </w:r>
    </w:p>
    <w:p>
      <w:pPr>
        <w:spacing w:after="0" w:line="243"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Amstutz</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20"/>
              <w:spacing w:after="0"/>
              <w:rPr>
                <w:sz w:val="20"/>
                <w:szCs w:val="20"/>
                <w:color w:val="auto"/>
              </w:rPr>
            </w:pPr>
            <w:r>
              <w:rPr>
                <w:rFonts w:ascii="Arial" w:cs="Arial" w:eastAsia="Arial" w:hAnsi="Arial"/>
                <w:sz w:val="18"/>
                <w:szCs w:val="18"/>
                <w:color w:val="auto"/>
              </w:rPr>
              <w:t>Patrick Amstutz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35" w:lineRule="exact"/>
        <w:rPr>
          <w:sz w:val="20"/>
          <w:szCs w:val="20"/>
          <w:color w:val="auto"/>
        </w:rPr>
      </w:pPr>
    </w:p>
    <w:p>
      <w:pPr>
        <w:ind w:left="1500"/>
        <w:spacing w:after="0"/>
        <w:tabs>
          <w:tab w:leader="none" w:pos="642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Patrick Amstutz</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Andreas Emmenegger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Andreas Emmenegger</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M. Burns</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Agnete Fredriksen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H. Holtzman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Sandip Kapadia</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Vito J. Palombella</w:t>
      </w:r>
    </w:p>
    <w:p>
      <w:pPr>
        <w:spacing w:after="0" w:line="32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auto"/>
        </w:rPr>
        <w:t>Dr. Michael Vasconcelles</w:t>
      </w:r>
    </w:p>
    <w:p>
      <w:pPr>
        <w:spacing w:after="0" w:line="5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Domink Höchli</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Attorney-in-Fact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Inc.</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in the United States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June 14, 2021</w:t>
      </w:r>
    </w:p>
    <w:p>
      <w:pPr>
        <w:spacing w:after="0" w:line="696" w:lineRule="exact"/>
        <w:rPr>
          <w:sz w:val="20"/>
          <w:szCs w:val="20"/>
          <w:color w:val="auto"/>
        </w:rPr>
      </w:pPr>
    </w:p>
    <w:p>
      <w:pPr>
        <w:sectPr>
          <w:pgSz w:w="11900" w:h="16838" w:orient="portrait"/>
          <w:cols w:equalWidth="0" w:num="3">
            <w:col w:w="3000" w:space="720"/>
            <w:col w:w="5780" w:space="720"/>
            <w:col w:w="10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40" w:right="359" w:bottom="1440" w:gutter="0" w:footer="0" w:header="0"/>
          <w:type w:val="continuous"/>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3" w:lineRule="exact"/>
        <w:rPr>
          <w:sz w:val="20"/>
          <w:szCs w:val="20"/>
          <w:color w:val="auto"/>
        </w:rPr>
      </w:pPr>
    </w:p>
    <w:tbl>
      <w:tblPr>
        <w:tblLayout w:type="fixed"/>
        <w:tblInd w:w="2920" w:type="dxa"/>
        <w:tblCellMar>
          <w:top w:w="0" w:type="dxa"/>
          <w:left w:w="0" w:type="dxa"/>
          <w:bottom w:w="0" w:type="dxa"/>
          <w:right w:w="0" w:type="dxa"/>
        </w:tblCellMar>
      </w:tblPr>
      <w:tr>
        <w:trPr>
          <w:trHeight w:val="178"/>
        </w:trPr>
        <w:tc>
          <w:tcPr>
            <w:tcW w:w="1880" w:type="dxa"/>
            <w:vAlign w:val="bottom"/>
          </w:tcPr>
          <w:p>
            <w:pPr>
              <w:spacing w:after="0"/>
              <w:rPr>
                <w:sz w:val="20"/>
                <w:szCs w:val="20"/>
                <w:color w:val="auto"/>
              </w:rPr>
            </w:pPr>
            <w:r>
              <w:rPr>
                <w:rFonts w:ascii="Arial" w:cs="Arial" w:eastAsia="Arial" w:hAnsi="Arial"/>
                <w:sz w:val="13"/>
                <w:szCs w:val="13"/>
                <w:b w:val="1"/>
                <w:bCs w:val="1"/>
                <w:color w:val="auto"/>
              </w:rPr>
              <w:t>KPMG AG</w:t>
            </w:r>
          </w:p>
        </w:tc>
        <w:tc>
          <w:tcPr>
            <w:tcW w:w="27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3"/>
                <w:szCs w:val="13"/>
                <w:b w:val="1"/>
                <w:bCs w:val="1"/>
                <w:color w:val="auto"/>
              </w:rPr>
              <w:t>Audit</w:t>
            </w:r>
          </w:p>
        </w:tc>
        <w:tc>
          <w:tcPr>
            <w:tcW w:w="2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3"/>
                <w:szCs w:val="13"/>
                <w:color w:val="auto"/>
              </w:rPr>
              <w:t>Räffelstrasse 28</w:t>
            </w:r>
          </w:p>
        </w:tc>
        <w:tc>
          <w:tcPr>
            <w:tcW w:w="2740" w:type="dxa"/>
            <w:vAlign w:val="bottom"/>
            <w:vMerge w:val="restart"/>
          </w:tcPr>
          <w:p>
            <w:pPr>
              <w:ind w:left="880"/>
              <w:spacing w:after="0"/>
              <w:rPr>
                <w:sz w:val="20"/>
                <w:szCs w:val="20"/>
                <w:color w:val="auto"/>
              </w:rPr>
            </w:pPr>
            <w:r>
              <w:rPr>
                <w:rFonts w:ascii="Arial" w:cs="Arial" w:eastAsia="Arial" w:hAnsi="Arial"/>
                <w:sz w:val="13"/>
                <w:szCs w:val="13"/>
                <w:color w:val="auto"/>
              </w:rPr>
              <w:t>P.O. Box</w:t>
            </w:r>
          </w:p>
        </w:tc>
        <w:tc>
          <w:tcPr>
            <w:tcW w:w="2640" w:type="dxa"/>
            <w:vAlign w:val="bottom"/>
            <w:vMerge w:val="restart"/>
          </w:tcPr>
          <w:p>
            <w:pPr>
              <w:ind w:left="920"/>
              <w:spacing w:after="0"/>
              <w:rPr>
                <w:sz w:val="20"/>
                <w:szCs w:val="20"/>
                <w:color w:val="auto"/>
              </w:rPr>
            </w:pPr>
            <w:r>
              <w:rPr>
                <w:rFonts w:ascii="Arial" w:cs="Arial" w:eastAsia="Arial" w:hAnsi="Arial"/>
                <w:sz w:val="13"/>
                <w:szCs w:val="13"/>
                <w:color w:val="auto"/>
              </w:rPr>
              <w:t>Telephone +41 58 249 31 31</w:t>
            </w:r>
          </w:p>
        </w:tc>
        <w:tc>
          <w:tcPr>
            <w:tcW w:w="0" w:type="dxa"/>
            <w:vAlign w:val="bottom"/>
          </w:tcPr>
          <w:p>
            <w:pPr>
              <w:spacing w:after="0"/>
              <w:rPr>
                <w:sz w:val="1"/>
                <w:szCs w:val="1"/>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3"/>
                <w:szCs w:val="13"/>
                <w:color w:val="auto"/>
              </w:rPr>
              <w:t>CH-8036 Zurich</w:t>
            </w:r>
          </w:p>
        </w:tc>
        <w:tc>
          <w:tcPr>
            <w:tcW w:w="27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740" w:type="dxa"/>
            <w:vAlign w:val="bottom"/>
          </w:tcPr>
          <w:p>
            <w:pPr>
              <w:ind w:left="880"/>
              <w:spacing w:after="0"/>
              <w:rPr>
                <w:sz w:val="20"/>
                <w:szCs w:val="20"/>
                <w:color w:val="auto"/>
              </w:rPr>
            </w:pPr>
            <w:r>
              <w:rPr>
                <w:rFonts w:ascii="Arial" w:cs="Arial" w:eastAsia="Arial" w:hAnsi="Arial"/>
                <w:sz w:val="13"/>
                <w:szCs w:val="13"/>
                <w:color w:val="auto"/>
              </w:rPr>
              <w:t>CH-8036 Zurich</w:t>
            </w:r>
          </w:p>
        </w:tc>
        <w:tc>
          <w:tcPr>
            <w:tcW w:w="2640" w:type="dxa"/>
            <w:vAlign w:val="bottom"/>
          </w:tcPr>
          <w:p>
            <w:pPr>
              <w:ind w:left="920"/>
              <w:spacing w:after="0"/>
              <w:rPr>
                <w:sz w:val="20"/>
                <w:szCs w:val="20"/>
                <w:color w:val="auto"/>
              </w:rPr>
            </w:pPr>
            <w:r>
              <w:rPr>
                <w:rFonts w:ascii="Arial" w:cs="Arial" w:eastAsia="Arial" w:hAnsi="Arial"/>
                <w:sz w:val="13"/>
                <w:szCs w:val="13"/>
                <w:color w:val="auto"/>
              </w:rPr>
              <w:t>Fax +41 58 249 44 06</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40" w:type="dxa"/>
            <w:vAlign w:val="bottom"/>
          </w:tcPr>
          <w:p>
            <w:pPr>
              <w:ind w:left="920"/>
              <w:spacing w:after="0"/>
              <w:rPr>
                <w:sz w:val="20"/>
                <w:szCs w:val="20"/>
                <w:color w:val="auto"/>
              </w:rPr>
            </w:pPr>
            <w:r>
              <w:rPr>
                <w:rFonts w:ascii="Arial" w:cs="Arial" w:eastAsia="Arial" w:hAnsi="Arial"/>
                <w:sz w:val="13"/>
                <w:szCs w:val="13"/>
                <w:color w:val="auto"/>
              </w:rPr>
              <w:t>www.kpmg.ch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-685165</wp:posOffset>
            </wp:positionV>
            <wp:extent cx="857250" cy="351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857250" cy="3511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1)"/>
      <w:numFmt w:val="decimal"/>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1)"/>
      <w:numFmt w:val="decimal"/>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1)"/>
      <w:numFmt w:val="decimal"/>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1)"/>
      <w:numFmt w:val="decimal"/>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
      <w:numFmt w:val="bullet"/>
      <w:start w:val="1"/>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
      <w:numFmt w:val="bullet"/>
      <w:start w:val="1"/>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
      <w:numFmt w:val="bullet"/>
      <w:start w:val="1"/>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
      <w:numFmt w:val="bullet"/>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
      <w:numFmt w:val="bullet"/>
      <w:start w:val="1"/>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1)"/>
      <w:numFmt w:val="decimal"/>
      <w:start w:val="1"/>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
      <w:numFmt w:val="bullet"/>
      <w:start w:val="1"/>
    </w:lvl>
  </w:abstractNum>
  <w:abstractNum w:abstractNumId="85">
    <w:nsid w:val="BFFAE18"/>
    <w:multiLevelType w:val="hybridMultilevel"/>
    <w:lvl w:ilvl="0">
      <w:lvlJc w:val="left"/>
      <w:lvlText w:val="•"/>
      <w:numFmt w:val="bullet"/>
      <w:start w:val="1"/>
    </w:lvl>
  </w:abstractNum>
  <w:abstractNum w:abstractNumId="86">
    <w:nsid w:val="E3E47A8"/>
    <w:multiLevelType w:val="hybridMultilevel"/>
    <w:lvl w:ilvl="0">
      <w:lvlJc w:val="left"/>
      <w:lvlText w:val="(%1)"/>
      <w:numFmt w:val="decimal"/>
      <w:start w:val="1"/>
    </w:lvl>
  </w:abstractNum>
  <w:abstractNum w:abstractNumId="87">
    <w:nsid w:val="2E48F044"/>
    <w:multiLevelType w:val="hybridMultilevel"/>
    <w:lvl w:ilvl="0">
      <w:lvlJc w:val="left"/>
      <w:lvlText w:val="(%1)"/>
      <w:numFmt w:val="decimal"/>
      <w:start w:val="10"/>
    </w:lvl>
  </w:abstractNum>
  <w:abstractNum w:abstractNumId="88">
    <w:nsid w:val="49D0FEAC"/>
    <w:multiLevelType w:val="hybridMultilevel"/>
    <w:lvl w:ilvl="0">
      <w:lvlJc w:val="left"/>
      <w:lvlText w:val="•"/>
      <w:numFmt w:val="bullet"/>
      <w:start w:val="1"/>
    </w:lvl>
  </w:abstractNum>
  <w:abstractNum w:abstractNumId="89">
    <w:nsid w:val="4BEE5A5B"/>
    <w:multiLevelType w:val="hybridMultilevel"/>
    <w:lvl w:ilvl="0">
      <w:lvlJc w:val="left"/>
      <w:lvlText w:val="(%1)"/>
      <w:numFmt w:val="decimal"/>
      <w:start w:val="1"/>
    </w:lvl>
  </w:abstractNum>
  <w:abstractNum w:abstractNumId="90">
    <w:nsid w:val="5551B9F3"/>
    <w:multiLevelType w:val="hybridMultilevel"/>
    <w:lvl w:ilvl="0">
      <w:lvlJc w:val="left"/>
      <w:lvlText w:val="•"/>
      <w:numFmt w:val="bullet"/>
      <w:start w:val="1"/>
    </w:lvl>
  </w:abstractNum>
  <w:abstractNum w:abstractNumId="91">
    <w:nsid w:val="24F6AB8E"/>
    <w:multiLevelType w:val="hybridMultilevel"/>
    <w:lvl w:ilvl="0">
      <w:lvlJc w:val="left"/>
      <w:lvlText w:val="•"/>
      <w:numFmt w:val="bullet"/>
      <w:start w:val="1"/>
    </w:lvl>
  </w:abstractNum>
  <w:abstractNum w:abstractNumId="92">
    <w:nsid w:val="634C574C"/>
    <w:multiLevelType w:val="hybridMultilevel"/>
    <w:lvl w:ilvl="0">
      <w:lvlJc w:val="left"/>
      <w:lvlText w:val="•"/>
      <w:numFmt w:val="bullet"/>
      <w:start w:val="1"/>
    </w:lvl>
  </w:abstractNum>
  <w:abstractNum w:abstractNumId="93">
    <w:nsid w:val="24E99DD7"/>
    <w:multiLevelType w:val="hybridMultilevel"/>
    <w:lvl w:ilvl="0">
      <w:lvlJc w:val="left"/>
      <w:lvlText w:val="•"/>
      <w:numFmt w:val="bullet"/>
      <w:start w:val="1"/>
    </w:lvl>
  </w:abstractNum>
  <w:abstractNum w:abstractNumId="94">
    <w:nsid w:val="2A31B62D"/>
    <w:multiLevelType w:val="hybridMultilevel"/>
    <w:lvl w:ilvl="0">
      <w:lvlJc w:val="left"/>
      <w:lvlText w:val="(%1)"/>
      <w:numFmt w:val="decimal"/>
      <w:start w:val="1"/>
    </w:lvl>
  </w:abstractNum>
  <w:abstractNum w:abstractNumId="95">
    <w:nsid w:val="1849C29B"/>
    <w:multiLevelType w:val="hybridMultilevel"/>
    <w:lvl w:ilvl="0">
      <w:lvlJc w:val="left"/>
      <w:lvlText w:val="(%1)"/>
      <w:numFmt w:val="decimal"/>
      <w:start w:val="11"/>
    </w:lvl>
  </w:abstractNum>
  <w:abstractNum w:abstractNumId="96">
    <w:nsid w:val="7DFF9D09"/>
    <w:multiLevelType w:val="hybridMultilevel"/>
    <w:lvl w:ilvl="0">
      <w:lvlJc w:val="left"/>
      <w:lvlText w:val="•"/>
      <w:numFmt w:val="bullet"/>
      <w:start w:val="1"/>
    </w:lvl>
  </w:abstractNum>
  <w:abstractNum w:abstractNumId="97">
    <w:nsid w:val="754342"/>
    <w:multiLevelType w:val="hybridMultilevel"/>
    <w:lvl w:ilvl="0">
      <w:lvlJc w:val="left"/>
      <w:lvlText w:val="•"/>
      <w:numFmt w:val="bullet"/>
      <w:start w:val="1"/>
    </w:lvl>
  </w:abstractNum>
  <w:abstractNum w:abstractNumId="98">
    <w:nsid w:val="69E7F3E5"/>
    <w:multiLevelType w:val="hybridMultilevel"/>
    <w:lvl w:ilvl="0">
      <w:lvlJc w:val="left"/>
      <w:lvlText w:val="•"/>
      <w:numFmt w:val="bullet"/>
      <w:start w:val="1"/>
    </w:lvl>
  </w:abstractNum>
  <w:abstractNum w:abstractNumId="99">
    <w:nsid w:val="2A6DE806"/>
    <w:multiLevelType w:val="hybridMultilevel"/>
    <w:lvl w:ilvl="0">
      <w:lvlJc w:val="left"/>
      <w:lvlText w:val="•"/>
      <w:numFmt w:val="bullet"/>
      <w:start w:val="1"/>
    </w:lvl>
  </w:abstractNum>
  <w:abstractNum w:abstractNumId="100">
    <w:nsid w:val="1816F8C4"/>
    <w:multiLevelType w:val="hybridMultilevel"/>
    <w:lvl w:ilvl="0">
      <w:lvlJc w:val="left"/>
      <w:lvlText w:val="•"/>
      <w:numFmt w:val="bullet"/>
      <w:start w:val="1"/>
    </w:lvl>
  </w:abstractNum>
  <w:abstractNum w:abstractNumId="101">
    <w:nsid w:val="37DF2233"/>
    <w:multiLevelType w:val="hybridMultilevel"/>
    <w:lvl w:ilvl="0">
      <w:lvlJc w:val="left"/>
      <w:lvlText w:val="•"/>
      <w:numFmt w:val="bullet"/>
      <w:start w:val="1"/>
    </w:lvl>
  </w:abstractNum>
  <w:abstractNum w:abstractNumId="102">
    <w:nsid w:val="7AB49DAF"/>
    <w:multiLevelType w:val="hybridMultilevel"/>
    <w:lvl w:ilvl="0">
      <w:lvlJc w:val="left"/>
      <w:lvlText w:val="•"/>
      <w:numFmt w:val="bullet"/>
      <w:start w:val="1"/>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
      <w:numFmt w:val="bullet"/>
      <w:start w:val="1"/>
    </w:lvl>
  </w:abstractNum>
  <w:abstractNum w:abstractNumId="107">
    <w:nsid w:val="57C7D42D"/>
    <w:multiLevelType w:val="hybridMultilevel"/>
    <w:lvl w:ilvl="0">
      <w:lvlJc w:val="left"/>
      <w:lvlText w:val="•"/>
      <w:numFmt w:val="bullet"/>
      <w:start w:val="1"/>
    </w:lvl>
  </w:abstractNum>
  <w:abstractNum w:abstractNumId="108">
    <w:nsid w:val="312167AD"/>
    <w:multiLevelType w:val="hybridMultilevel"/>
    <w:lvl w:ilvl="0">
      <w:lvlJc w:val="left"/>
      <w:lvlText w:val="•"/>
      <w:numFmt w:val="bullet"/>
      <w:start w:val="1"/>
    </w:lvl>
  </w:abstractNum>
  <w:abstractNum w:abstractNumId="109">
    <w:nsid w:val="631B64D4"/>
    <w:multiLevelType w:val="hybridMultilevel"/>
    <w:lvl w:ilvl="0">
      <w:lvlJc w:val="left"/>
      <w:lvlText w:val="•"/>
      <w:numFmt w:val="bullet"/>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
      <w:numFmt w:val="bullet"/>
      <w:start w:val="1"/>
    </w:lvl>
  </w:abstractNum>
  <w:abstractNum w:abstractNumId="113">
    <w:nsid w:val="1A0DDE32"/>
    <w:multiLevelType w:val="hybridMultilevel"/>
    <w:lvl w:ilvl="0">
      <w:lvlJc w:val="left"/>
      <w:lvlText w:val="•"/>
      <w:numFmt w:val="bullet"/>
      <w:start w:val="1"/>
    </w:lvl>
  </w:abstractNum>
  <w:abstractNum w:abstractNumId="114">
    <w:nsid w:val="65968C1C"/>
    <w:multiLevelType w:val="hybridMultilevel"/>
    <w:lvl w:ilvl="0">
      <w:lvlJc w:val="left"/>
      <w:lvlText w:val="•"/>
      <w:numFmt w:val="bullet"/>
      <w:start w:val="1"/>
    </w:lvl>
  </w:abstractNum>
  <w:abstractNum w:abstractNumId="115">
    <w:nsid w:val="46263DEC"/>
    <w:multiLevelType w:val="hybridMultilevel"/>
    <w:lvl w:ilvl="0">
      <w:lvlJc w:val="left"/>
      <w:lvlText w:val="•"/>
      <w:numFmt w:val="bullet"/>
      <w:start w:val="1"/>
    </w:lvl>
  </w:abstractNum>
  <w:abstractNum w:abstractNumId="116">
    <w:nsid w:val="260D8C4A"/>
    <w:multiLevelType w:val="hybridMultilevel"/>
    <w:lvl w:ilvl="0">
      <w:lvlJc w:val="left"/>
      <w:lvlText w:val="•"/>
      <w:numFmt w:val="bullet"/>
      <w:start w:val="1"/>
    </w:lvl>
  </w:abstractNum>
  <w:abstractNum w:abstractNumId="117">
    <w:nsid w:val="73D4D3C4"/>
    <w:multiLevelType w:val="hybridMultilevel"/>
    <w:lvl w:ilvl="0">
      <w:lvlJc w:val="left"/>
      <w:lvlText w:val="•"/>
      <w:numFmt w:val="bullet"/>
      <w:start w:val="1"/>
    </w:lvl>
  </w:abstractNum>
  <w:abstractNum w:abstractNumId="118">
    <w:nsid w:val="746F2E30"/>
    <w:multiLevelType w:val="hybridMultilevel"/>
    <w:lvl w:ilvl="0">
      <w:lvlJc w:val="left"/>
      <w:lvlText w:val="•"/>
      <w:numFmt w:val="bullet"/>
      <w:start w:val="1"/>
    </w:lvl>
  </w:abstractNum>
  <w:abstractNum w:abstractNumId="119">
    <w:nsid w:val="6FDE8AF6"/>
    <w:multiLevelType w:val="hybridMultilevel"/>
    <w:lvl w:ilvl="0">
      <w:lvlJc w:val="left"/>
      <w:lvlText w:val="•"/>
      <w:numFmt w:val="bullet"/>
      <w:start w:val="1"/>
    </w:lvl>
  </w:abstractNum>
  <w:abstractNum w:abstractNumId="120">
    <w:nsid w:val="3FC32E20"/>
    <w:multiLevelType w:val="hybridMultilevel"/>
    <w:lvl w:ilvl="0">
      <w:lvlJc w:val="left"/>
      <w:lvlText w:val="•"/>
      <w:numFmt w:val="bullet"/>
      <w:start w:val="1"/>
    </w:lvl>
  </w:abstractNum>
  <w:abstractNum w:abstractNumId="121">
    <w:nsid w:val="49C0E823"/>
    <w:multiLevelType w:val="hybridMultilevel"/>
    <w:lvl w:ilvl="0">
      <w:lvlJc w:val="left"/>
      <w:lvlText w:val="•"/>
      <w:numFmt w:val="bullet"/>
      <w:start w:val="1"/>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
      <w:numFmt w:val="bullet"/>
      <w:start w:val="1"/>
    </w:lvl>
  </w:abstractNum>
  <w:abstractNum w:abstractNumId="124">
    <w:nsid w:val="6EAA85FB"/>
    <w:multiLevelType w:val="hybridMultilevel"/>
    <w:lvl w:ilvl="0">
      <w:lvlJc w:val="left"/>
      <w:lvlText w:val="•"/>
      <w:numFmt w:val="bullet"/>
      <w:start w:val="1"/>
    </w:lvl>
  </w:abstractNum>
  <w:abstractNum w:abstractNumId="125">
    <w:nsid w:val="3F06ECB2"/>
    <w:multiLevelType w:val="hybridMultilevel"/>
    <w:lvl w:ilvl="0">
      <w:lvlJc w:val="left"/>
      <w:lvlText w:val="•"/>
      <w:numFmt w:val="bullet"/>
      <w:start w:val="1"/>
    </w:lvl>
  </w:abstractNum>
  <w:abstractNum w:abstractNumId="126">
    <w:nsid w:val="3B594807"/>
    <w:multiLevelType w:val="hybridMultilevel"/>
    <w:lvl w:ilvl="0">
      <w:lvlJc w:val="left"/>
      <w:lvlText w:val="•"/>
      <w:numFmt w:val="bullet"/>
      <w:start w:val="1"/>
    </w:lvl>
  </w:abstractNum>
  <w:abstractNum w:abstractNumId="127">
    <w:nsid w:val="6CAA2304"/>
    <w:multiLevelType w:val="hybridMultilevel"/>
    <w:lvl w:ilvl="0">
      <w:lvlJc w:val="left"/>
      <w:lvlText w:val="•"/>
      <w:numFmt w:val="bullet"/>
      <w:start w:val="1"/>
    </w:lvl>
  </w:abstractNum>
  <w:abstractNum w:abstractNumId="128">
    <w:nsid w:val="3F7C2FF4"/>
    <w:multiLevelType w:val="hybridMultilevel"/>
    <w:lvl w:ilvl="0">
      <w:lvlJc w:val="left"/>
      <w:lvlText w:val="•"/>
      <w:numFmt w:val="bullet"/>
      <w:start w:val="1"/>
    </w:lvl>
  </w:abstractNum>
  <w:abstractNum w:abstractNumId="129">
    <w:nsid w:val="25413BEC"/>
    <w:multiLevelType w:val="hybridMultilevel"/>
    <w:lvl w:ilvl="0">
      <w:lvlJc w:val="left"/>
      <w:lvlText w:val="•"/>
      <w:numFmt w:val="bullet"/>
      <w:start w:val="1"/>
    </w:lvl>
  </w:abstractNum>
  <w:abstractNum w:abstractNumId="130">
    <w:nsid w:val="17180B0B"/>
    <w:multiLevelType w:val="hybridMultilevel"/>
    <w:lvl w:ilvl="0">
      <w:lvlJc w:val="left"/>
      <w:lvlText w:val="•"/>
      <w:numFmt w:val="bullet"/>
      <w:start w:val="1"/>
    </w:lvl>
  </w:abstractNum>
  <w:abstractNum w:abstractNumId="131">
    <w:nsid w:val="579328B9"/>
    <w:multiLevelType w:val="hybridMultilevel"/>
    <w:lvl w:ilvl="0">
      <w:lvlJc w:val="left"/>
      <w:lvlText w:val="(%1)"/>
      <w:numFmt w:val="decimal"/>
      <w:start w:val="1"/>
    </w:lvl>
  </w:abstractNum>
  <w:abstractNum w:abstractNumId="132">
    <w:nsid w:val="5D205E20"/>
    <w:multiLevelType w:val="hybridMultilevel"/>
    <w:lvl w:ilvl="0">
      <w:lvlJc w:val="left"/>
      <w:lvlText w:val="•"/>
      <w:numFmt w:val="bullet"/>
      <w:start w:val="1"/>
    </w:lvl>
  </w:abstractNum>
  <w:abstractNum w:abstractNumId="133">
    <w:nsid w:val="11CCA8BA"/>
    <w:multiLevelType w:val="hybridMultilevel"/>
    <w:lvl w:ilvl="0">
      <w:lvlJc w:val="left"/>
      <w:lvlText w:val="•"/>
      <w:numFmt w:val="bullet"/>
      <w:start w:val="1"/>
    </w:lvl>
  </w:abstractNum>
  <w:abstractNum w:abstractNumId="134">
    <w:nsid w:val="4D32AB86"/>
    <w:multiLevelType w:val="hybridMultilevel"/>
    <w:lvl w:ilvl="0">
      <w:lvlJc w:val="left"/>
      <w:lvlText w:val="•"/>
      <w:numFmt w:val="bullet"/>
      <w:start w:val="1"/>
    </w:lvl>
  </w:abstractNum>
  <w:abstractNum w:abstractNumId="135">
    <w:nsid w:val="3F07ACC3"/>
    <w:multiLevelType w:val="hybridMultilevel"/>
    <w:lvl w:ilvl="0">
      <w:lvlJc w:val="left"/>
      <w:lvlText w:val="•"/>
      <w:numFmt w:val="bullet"/>
      <w:start w:val="1"/>
    </w:lvl>
  </w:abstractNum>
  <w:abstractNum w:abstractNumId="136">
    <w:nsid w:val="6B47F63E"/>
    <w:multiLevelType w:val="hybridMultilevel"/>
    <w:lvl w:ilvl="0">
      <w:lvlJc w:val="left"/>
      <w:lvlText w:val="•"/>
      <w:numFmt w:val="bullet"/>
      <w:start w:val="1"/>
    </w:lvl>
  </w:abstractNum>
  <w:abstractNum w:abstractNumId="137">
    <w:nsid w:val="5CB44A05"/>
    <w:multiLevelType w:val="hybridMultilevel"/>
    <w:lvl w:ilvl="0">
      <w:lvlJc w:val="left"/>
      <w:lvlText w:val="•"/>
      <w:numFmt w:val="bullet"/>
      <w:start w:val="1"/>
    </w:lvl>
  </w:abstractNum>
  <w:abstractNum w:abstractNumId="138">
    <w:nsid w:val="16CF80F1"/>
    <w:multiLevelType w:val="hybridMultilevel"/>
    <w:lvl w:ilvl="0">
      <w:lvlJc w:val="left"/>
      <w:lvlText w:val="•"/>
      <w:numFmt w:val="bullet"/>
      <w:start w:val="1"/>
    </w:lvl>
  </w:abstractNum>
  <w:abstractNum w:abstractNumId="139">
    <w:nsid w:val="1C695DEC"/>
    <w:multiLevelType w:val="hybridMultilevel"/>
    <w:lvl w:ilvl="0">
      <w:lvlJc w:val="left"/>
      <w:lvlText w:val="•"/>
      <w:numFmt w:val="bullet"/>
      <w:start w:val="1"/>
    </w:lvl>
  </w:abstractNum>
  <w:abstractNum w:abstractNumId="140">
    <w:nsid w:val="3FCFAED9"/>
    <w:multiLevelType w:val="hybridMultilevel"/>
    <w:lvl w:ilvl="0">
      <w:lvlJc w:val="left"/>
      <w:lvlText w:val="•"/>
      <w:numFmt w:val="bullet"/>
      <w:start w:val="1"/>
    </w:lvl>
  </w:abstractNum>
  <w:abstractNum w:abstractNumId="141">
    <w:nsid w:val="F856867"/>
    <w:multiLevelType w:val="hybridMultilevel"/>
    <w:lvl w:ilvl="0">
      <w:lvlJc w:val="left"/>
      <w:lvlText w:val="•"/>
      <w:numFmt w:val="bullet"/>
      <w:start w:val="1"/>
    </w:lvl>
  </w:abstractNum>
  <w:abstractNum w:abstractNumId="142">
    <w:nsid w:val="11B1CC33"/>
    <w:multiLevelType w:val="hybridMultilevel"/>
    <w:lvl w:ilvl="0">
      <w:lvlJc w:val="left"/>
      <w:lvlText w:val="•"/>
      <w:numFmt w:val="bullet"/>
      <w:start w:val="1"/>
    </w:lvl>
  </w:abstractNum>
  <w:abstractNum w:abstractNumId="143">
    <w:nsid w:val="2E22FBB7"/>
    <w:multiLevelType w:val="hybridMultilevel"/>
    <w:lvl w:ilvl="0">
      <w:lvlJc w:val="left"/>
      <w:lvlText w:val="•"/>
      <w:numFmt w:val="bullet"/>
      <w:start w:val="1"/>
    </w:lvl>
  </w:abstractNum>
  <w:abstractNum w:abstractNumId="144">
    <w:nsid w:val="29934699"/>
    <w:multiLevelType w:val="hybridMultilevel"/>
    <w:lvl w:ilvl="0">
      <w:lvlJc w:val="left"/>
      <w:lvlText w:val="\endash "/>
      <w:numFmt w:val="bullet"/>
      <w:start w:val="1"/>
    </w:lvl>
  </w:abstractNum>
  <w:abstractNum w:abstractNumId="145">
    <w:nsid w:val="77485850"/>
    <w:multiLevelType w:val="hybridMultilevel"/>
    <w:lvl w:ilvl="0">
      <w:lvlJc w:val="left"/>
      <w:lvlText w:val="(%1)"/>
      <w:numFmt w:val="decimal"/>
      <w:start w:val="1"/>
    </w:lvl>
  </w:abstractNum>
  <w:abstractNum w:abstractNumId="146">
    <w:nsid w:val="744939A3"/>
    <w:multiLevelType w:val="hybridMultilevel"/>
    <w:lvl w:ilvl="0">
      <w:lvlJc w:val="left"/>
      <w:lvlText w:val="%1."/>
      <w:numFmt w:val="decimal"/>
      <w:start w:val="1"/>
    </w:lvl>
  </w:abstractNum>
  <w:abstractNum w:abstractNumId="147">
    <w:nsid w:val="4FA0D2E3"/>
    <w:multiLevelType w:val="hybridMultilevel"/>
    <w:lvl w:ilvl="0">
      <w:lvlJc w:val="left"/>
      <w:lvlText w:val="%1."/>
      <w:numFmt w:val="decimal"/>
      <w:start w:val="2"/>
    </w:lvl>
  </w:abstractNum>
  <w:abstractNum w:abstractNumId="148">
    <w:nsid w:val="6B1D2C14"/>
    <w:multiLevelType w:val="hybridMultilevel"/>
    <w:lvl w:ilvl="0">
      <w:lvlJc w:val="left"/>
      <w:lvlText w:val="•"/>
      <w:numFmt w:val="bullet"/>
      <w:start w:val="1"/>
    </w:lvl>
  </w:abstractNum>
  <w:abstractNum w:abstractNumId="149">
    <w:nsid w:val="68B867D3"/>
    <w:multiLevelType w:val="hybridMultilevel"/>
    <w:lvl w:ilvl="0">
      <w:lvlJc w:val="left"/>
      <w:lvlText w:val="•"/>
      <w:numFmt w:val="bullet"/>
      <w:start w:val="1"/>
    </w:lvl>
  </w:abstractNum>
  <w:abstractNum w:abstractNumId="150">
    <w:nsid w:val="3F7F5DD9"/>
    <w:multiLevelType w:val="hybridMultilevel"/>
    <w:lvl w:ilvl="0">
      <w:lvlJc w:val="left"/>
      <w:lvlText w:val="•"/>
      <w:numFmt w:val="bullet"/>
      <w:start w:val="1"/>
    </w:lvl>
  </w:abstractNum>
  <w:abstractNum w:abstractNumId="151">
    <w:nsid w:val="2AE05A34"/>
    <w:multiLevelType w:val="hybridMultilevel"/>
    <w:lvl w:ilvl="0">
      <w:lvlJc w:val="left"/>
      <w:lvlText w:val="%1."/>
      <w:numFmt w:val="decimal"/>
      <w:start w:val="3"/>
    </w:lvl>
  </w:abstractNum>
  <w:abstractNum w:abstractNumId="152">
    <w:nsid w:val="32794FF7"/>
    <w:multiLevelType w:val="hybridMultilevel"/>
    <w:lvl w:ilvl="0">
      <w:lvlJc w:val="left"/>
      <w:lvlText w:val="%1."/>
      <w:numFmt w:val="decimal"/>
      <w:start w:val="4"/>
    </w:lvl>
  </w:abstractNum>
  <w:abstractNum w:abstractNumId="153">
    <w:nsid w:val="5454945E"/>
    <w:multiLevelType w:val="hybridMultilevel"/>
    <w:lvl w:ilvl="0">
      <w:lvlJc w:val="left"/>
      <w:lvlText w:val="%1."/>
      <w:numFmt w:val="decimal"/>
      <w:start w:val="5"/>
    </w:lvl>
  </w:abstractNum>
  <w:abstractNum w:abstractNumId="154">
    <w:nsid w:val="4DEFDFA0"/>
    <w:multiLevelType w:val="hybridMultilevel"/>
    <w:lvl w:ilvl="0">
      <w:lvlJc w:val="left"/>
      <w:lvlText w:val="%1."/>
      <w:numFmt w:val="decimal"/>
      <w:start w:val="6"/>
    </w:lvl>
  </w:abstractNum>
  <w:abstractNum w:abstractNumId="155">
    <w:nsid w:val="2123D5F2"/>
    <w:multiLevelType w:val="hybridMultilevel"/>
    <w:lvl w:ilvl="0">
      <w:lvlJc w:val="left"/>
      <w:lvlText w:val="%1."/>
      <w:numFmt w:val="decimal"/>
      <w:start w:val="8"/>
    </w:lvl>
  </w:abstractNum>
  <w:abstractNum w:abstractNumId="156">
    <w:nsid w:val="135B8110"/>
    <w:multiLevelType w:val="hybridMultilevel"/>
    <w:lvl w:ilvl="0">
      <w:lvlJc w:val="left"/>
      <w:lvlText w:val="%1."/>
      <w:numFmt w:val="decimal"/>
      <w:start w:val="11"/>
    </w:lvl>
  </w:abstractNum>
  <w:abstractNum w:abstractNumId="157">
    <w:nsid w:val="94927A8"/>
    <w:multiLevelType w:val="hybridMultilevel"/>
    <w:lvl w:ilvl="0">
      <w:lvlJc w:val="left"/>
      <w:lvlText w:val="%1."/>
      <w:numFmt w:val="decimal"/>
      <w:start w:val="12"/>
    </w:lvl>
  </w:abstractNum>
  <w:abstractNum w:abstractNumId="158">
    <w:nsid w:val="DCDF8F6"/>
    <w:multiLevelType w:val="hybridMultilevel"/>
    <w:lvl w:ilvl="0">
      <w:lvlJc w:val="left"/>
      <w:lvlText w:val="%1."/>
      <w:numFmt w:val="decimal"/>
      <w:start w:val="15"/>
    </w:lvl>
  </w:abstractNum>
  <w:abstractNum w:abstractNumId="159">
    <w:nsid w:val="52D7B105"/>
    <w:multiLevelType w:val="hybridMultilevel"/>
    <w:lvl w:ilvl="0">
      <w:lvlJc w:val="left"/>
      <w:lvlText w:val="(%1)"/>
      <w:numFmt w:val="decimal"/>
      <w:start w:val="1"/>
    </w:lvl>
  </w:abstractNum>
  <w:abstractNum w:abstractNumId="160">
    <w:nsid w:val="2E8A6394"/>
    <w:multiLevelType w:val="hybridMultilevel"/>
    <w:lvl w:ilvl="0">
      <w:lvlJc w:val="left"/>
      <w:lvlText w:val="%1."/>
      <w:numFmt w:val="decimal"/>
      <w:start w:val="17"/>
    </w:lvl>
  </w:abstractNum>
  <w:abstractNum w:abstractNumId="161">
    <w:nsid w:val="24E60401"/>
    <w:multiLevelType w:val="hybridMultilevel"/>
    <w:lvl w:ilvl="0">
      <w:lvlJc w:val="left"/>
      <w:lvlText w:val="(%1)"/>
      <w:numFmt w:val="decimal"/>
      <w:start w:val="1"/>
    </w:lvl>
  </w:abstractNum>
  <w:abstractNum w:abstractNumId="162">
    <w:nsid w:val="2A6AD9BE"/>
    <w:multiLevelType w:val="hybridMultilevel"/>
    <w:lvl w:ilvl="0">
      <w:lvlJc w:val="left"/>
      <w:lvlText w:val="%1."/>
      <w:numFmt w:val="decimal"/>
      <w:start w:val="1"/>
    </w:lvl>
  </w:abstractNum>
  <w:abstractNum w:abstractNumId="163">
    <w:nsid w:val="BAAC1B4"/>
    <w:multiLevelType w:val="hybridMultilevel"/>
    <w:lvl w:ilvl="0">
      <w:lvlJc w:val="left"/>
      <w:lvlText w:val="\endash "/>
      <w:numFmt w:val="bullet"/>
      <w:start w:val="1"/>
    </w:lvl>
  </w:abstractNum>
  <w:abstractNum w:abstractNumId="164">
    <w:nsid w:val="36B2ACBC"/>
    <w:multiLevelType w:val="hybridMultilevel"/>
    <w:lvl w:ilvl="0">
      <w:lvlJc w:val="left"/>
      <w:lvlText w:val="\endash "/>
      <w:numFmt w:val="bullet"/>
      <w:start w:val="1"/>
    </w:lvl>
  </w:abstractNum>
  <w:abstractNum w:abstractNumId="165">
    <w:nsid w:val="779D8544"/>
    <w:multiLevelType w:val="hybridMultilevel"/>
    <w:lvl w:ilvl="0">
      <w:lvlJc w:val="left"/>
      <w:lvlText w:val="•"/>
      <w:numFmt w:val="bullet"/>
      <w:start w:val="1"/>
    </w:lvl>
  </w:abstractNum>
  <w:abstractNum w:abstractNumId="166">
    <w:nsid w:val="4AB26E78"/>
    <w:multiLevelType w:val="hybridMultilevel"/>
    <w:lvl w:ilvl="0">
      <w:lvlJc w:val="left"/>
      <w:lvlText w:val="(%1)"/>
      <w:numFmt w:val="decimal"/>
      <w:start w:val="1"/>
    </w:lvl>
  </w:abstractNum>
  <w:abstractNum w:abstractNumId="167">
    <w:nsid w:val="21FAA2FA"/>
    <w:multiLevelType w:val="hybridMultilevel"/>
    <w:lvl w:ilvl="0">
      <w:lvlJc w:val="left"/>
      <w:lvlText w:val="%1."/>
      <w:numFmt w:val="decimal"/>
      <w:start w:val="21"/>
    </w:lvl>
  </w:abstractNum>
  <w:abstractNum w:abstractNumId="168">
    <w:nsid w:val="5451CF49"/>
    <w:multiLevelType w:val="hybridMultilevel"/>
    <w:lvl w:ilvl="0">
      <w:lvlJc w:val="left"/>
      <w:lvlText w:val="%1."/>
      <w:numFmt w:val="decimal"/>
      <w:start w:val="22"/>
    </w:lvl>
  </w:abstractNum>
  <w:abstractNum w:abstractNumId="169">
    <w:nsid w:val="6181EF69"/>
    <w:multiLevelType w:val="hybridMultilevel"/>
    <w:lvl w:ilvl="0">
      <w:lvlJc w:val="left"/>
      <w:lvlText w:val="(%1)"/>
      <w:numFmt w:val="decimal"/>
      <w:start w:val="1"/>
    </w:lvl>
  </w:abstractNum>
  <w:abstractNum w:abstractNumId="170">
    <w:nsid w:val="3E6400E6"/>
    <w:multiLevelType w:val="hybridMultilevel"/>
    <w:lvl w:ilvl="0">
      <w:lvlJc w:val="left"/>
      <w:lvlText w:val="%1."/>
      <w:numFmt w:val="decimal"/>
      <w:start w:val="24"/>
    </w:lvl>
  </w:abstractNum>
  <w:abstractNum w:abstractNumId="171">
    <w:nsid w:val="14217E23"/>
    <w:multiLevelType w:val="hybridMultilevel"/>
    <w:lvl w:ilvl="0">
      <w:lvlJc w:val="left"/>
      <w:lvlText w:val="%1."/>
      <w:numFmt w:val="decimal"/>
      <w:start w:val="25"/>
    </w:lvl>
  </w:abstractNum>
  <w:abstractNum w:abstractNumId="172">
    <w:nsid w:val="710757D0"/>
    <w:multiLevelType w:val="hybridMultilevel"/>
    <w:lvl w:ilvl="0">
      <w:lvlJc w:val="left"/>
      <w:lvlText w:val="%1."/>
      <w:numFmt w:val="decimal"/>
      <w:start w:val="26"/>
    </w:lvl>
  </w:abstractNum>
  <w:abstractNum w:abstractNumId="173">
    <w:nsid w:val="5015CD1A"/>
    <w:multiLevelType w:val="hybridMultilevel"/>
    <w:lvl w:ilvl="0">
      <w:lvlJc w:val="left"/>
      <w:lvlText w:val="%1."/>
      <w:numFmt w:val="decimal"/>
      <w:start w:val="1"/>
    </w:lvl>
  </w:abstractNum>
  <w:abstractNum w:abstractNumId="174">
    <w:nsid w:val="424479DA"/>
    <w:multiLevelType w:val="hybridMultilevel"/>
    <w:lvl w:ilvl="0">
      <w:lvlJc w:val="left"/>
      <w:lvlText w:val="%1."/>
      <w:numFmt w:val="decimal"/>
      <w:start w:val="2"/>
    </w:lvl>
  </w:abstractNum>
  <w:abstractNum w:abstractNumId="175">
    <w:nsid w:val="1A9A9E69"/>
    <w:multiLevelType w:val="hybridMultilevel"/>
    <w:lvl w:ilvl="0">
      <w:lvlJc w:val="left"/>
      <w:lvlText w:val="%1."/>
      <w:numFmt w:val="decimal"/>
      <w:start w:val="3"/>
    </w:lvl>
  </w:abstractNum>
  <w:abstractNum w:abstractNumId="176">
    <w:nsid w:val="475E256A"/>
    <w:multiLevelType w:val="hybridMultilevel"/>
    <w:lvl w:ilvl="0">
      <w:lvlJc w:val="left"/>
      <w:lvlText w:val="%1."/>
      <w:numFmt w:val="decimal"/>
      <w:start w:val="4"/>
    </w:lvl>
  </w:abstractNum>
  <w:abstractNum w:abstractNumId="177">
    <w:nsid w:val="368DB37E"/>
    <w:multiLevelType w:val="hybridMultilevel"/>
    <w:lvl w:ilvl="0">
      <w:lvlJc w:val="left"/>
      <w:lvlText w:val="%1."/>
      <w:numFmt w:val="decimal"/>
      <w:start w:val="5"/>
    </w:lvl>
  </w:abstractNum>
  <w:abstractNum w:abstractNumId="178">
    <w:nsid w:val="6A3B714C"/>
    <w:multiLevelType w:val="hybridMultilevel"/>
    <w:lvl w:ilvl="0">
      <w:lvlJc w:val="left"/>
      <w:lvlText w:val="•"/>
      <w:numFmt w:val="bullet"/>
      <w:start w:val="1"/>
    </w:lvl>
  </w:abstractNum>
  <w:abstractNum w:abstractNumId="179">
    <w:nsid w:val="327B517E"/>
    <w:multiLevelType w:val="hybridMultilevel"/>
    <w:lvl w:ilvl="0">
      <w:lvlJc w:val="left"/>
      <w:lvlText w:val="(%1)"/>
      <w:numFmt w:val="lowerLetter"/>
      <w:start w:val="1"/>
    </w:lvl>
  </w:abstractNum>
  <w:abstractNum w:abstractNumId="180">
    <w:nsid w:val="1F461B51"/>
    <w:multiLevelType w:val="hybridMultilevel"/>
    <w:lvl w:ilvl="0">
      <w:lvlJc w:val="left"/>
      <w:lvlText w:val="**"/>
      <w:numFmt w:val="bullet"/>
      <w:start w:val="1"/>
    </w:lvl>
  </w:abstractNum>
  <w:abstractNum w:abstractNumId="181">
    <w:nsid w:val="29BACF25"/>
    <w:multiLevelType w:val="hybridMultilevel"/>
    <w:lvl w:ilvl="0">
      <w:lvlJc w:val="left"/>
      <w:lvlText w:val="†"/>
      <w:numFmt w:val="bullet"/>
      <w:start w:val="1"/>
    </w:lvl>
  </w:abstractNum>
  <w:abstractNum w:abstractNumId="182">
    <w:nsid w:val="5D5BABB3"/>
    <w:multiLevelType w:val="hybridMultilevel"/>
    <w:lvl w:ilvl="0">
      <w:lvlJc w:val="left"/>
      <w:lvlText w:val="(%1)"/>
      <w:numFmt w:val="lowerLetter"/>
      <w:start w:val="2"/>
    </w:lvl>
  </w:abstractNum>
  <w:abstractNum w:abstractNumId="183">
    <w:nsid w:val="51BF6B4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jpeg"/><Relationship Id="rId103" Type="http://schemas.openxmlformats.org/officeDocument/2006/relationships/hyperlink" Target="https://www.sec.gov/Archives/edgar/data/1745114/000162828021011854/exhibit11-formofunderwriti.htm" TargetMode="External"/><Relationship Id="rId104" Type="http://schemas.openxmlformats.org/officeDocument/2006/relationships/hyperlink" Target="https://www.sec.gov/Archives/edgar/data/1745114/000162828021007388/exhibit31-fx1.htm" TargetMode="External"/><Relationship Id="rId105" Type="http://schemas.openxmlformats.org/officeDocument/2006/relationships/hyperlink" Target="https://www.sec.gov/Archives/edgar/data/1745114/000162828021007388/exhibit32-fx1.htm" TargetMode="External"/><Relationship Id="rId106" Type="http://schemas.openxmlformats.org/officeDocument/2006/relationships/hyperlink" Target="https://www.sec.gov/Archives/edgar/data/1745114/000162828021011854/exhibit41-formofdepositagr.htm" TargetMode="External"/><Relationship Id="rId107" Type="http://schemas.openxmlformats.org/officeDocument/2006/relationships/hyperlink" Target="https://www.sec.gov/Archives/edgar/data/1745114/000162828021011854/exhibit51-fx1a3.htm" TargetMode="External"/><Relationship Id="rId108" Type="http://schemas.openxmlformats.org/officeDocument/2006/relationships/hyperlink" Target="https://www.sec.gov/Archives/edgar/data/1745114/000162828021012036/exhibit81-fx1a4.htm" TargetMode="External"/><Relationship Id="rId109" Type="http://schemas.openxmlformats.org/officeDocument/2006/relationships/hyperlink" Target="https://www.sec.gov/Archives/edgar/data/1745114/000162828021007388/exhibit101-fx1.htm" TargetMode="External"/><Relationship Id="rId110" Type="http://schemas.openxmlformats.org/officeDocument/2006/relationships/hyperlink" Target="https://www.sec.gov/Archives/edgar/data/1745114/000162828021007388/exhibit102-fx1.htm" TargetMode="External"/><Relationship Id="rId111" Type="http://schemas.openxmlformats.org/officeDocument/2006/relationships/hyperlink" Target="https://www.sec.gov/Archives/edgar/data/1745114/000162828021007388/exhibit103-fx1.htm" TargetMode="External"/><Relationship Id="rId112" Type="http://schemas.openxmlformats.org/officeDocument/2006/relationships/hyperlink" Target="https://www.sec.gov/Archives/edgar/data/1745114/000162828021007388/exhibit104-fx1.htm" TargetMode="External"/><Relationship Id="rId113" Type="http://schemas.openxmlformats.org/officeDocument/2006/relationships/hyperlink" Target="https://www.sec.gov/Archives/edgar/data/1745114/000162828021007388/exhibit105-fx1.htm" TargetMode="External"/><Relationship Id="rId114" Type="http://schemas.openxmlformats.org/officeDocument/2006/relationships/hyperlink" Target="https://www.sec.gov/Archives/edgar/data/1745114/000162828021007388/exhibit106-fx1.htm" TargetMode="External"/><Relationship Id="rId115" Type="http://schemas.openxmlformats.org/officeDocument/2006/relationships/hyperlink" Target="https://www.sec.gov/Archives/edgar/data/1745114/000162828021007388/exhibit107-fx1.htm" TargetMode="External"/><Relationship Id="rId116" Type="http://schemas.openxmlformats.org/officeDocument/2006/relationships/hyperlink" Target="https://www.sec.gov/Archives/edgar/data/1745114/000162828021007388/exhibit108-fx1.htm" TargetMode="External"/><Relationship Id="rId117" Type="http://schemas.openxmlformats.org/officeDocument/2006/relationships/hyperlink" Target="https://www.sec.gov/Archives/edgar/data/1745114/000162828021007388/exhbit109-fx1.htm" TargetMode="External"/><Relationship Id="rId118" Type="http://schemas.openxmlformats.org/officeDocument/2006/relationships/hyperlink" Target="https://www.sec.gov/Archives/edgar/data/1745114/000162828021007388/exhibit1010-fx1.htm" TargetMode="External"/><Relationship Id="rId119" Type="http://schemas.openxmlformats.org/officeDocument/2006/relationships/hyperlink" Target="https://www.sec.gov/Archives/edgar/data/1745114/000162828021007388/exhibit1011-fx1.htm" TargetMode="External"/><Relationship Id="rId120" Type="http://schemas.openxmlformats.org/officeDocument/2006/relationships/hyperlink" Target="https://www.sec.gov/Archives/edgar/data/1745114/000162828021007388/exhibit1012-fx1.htm" TargetMode="External"/><Relationship Id="rId121" Type="http://schemas.openxmlformats.org/officeDocument/2006/relationships/hyperlink" Target="https://www.sec.gov/Archives/edgar/data/1745114/000162828021007388/exhibit1013-fx1.htm" TargetMode="External"/><Relationship Id="rId122" Type="http://schemas.openxmlformats.org/officeDocument/2006/relationships/hyperlink" Target="https://www.sec.gov/Archives/edgar/data/1745114/000162828021007388/exhibit1014-fx1.htm" TargetMode="External"/><Relationship Id="rId123" Type="http://schemas.openxmlformats.org/officeDocument/2006/relationships/hyperlink" Target="https://www.sec.gov/Archives/edgar/data/1745114/000162828021007388/exhibit1015-fx1.htm" TargetMode="External"/><Relationship Id="rId124" Type="http://schemas.openxmlformats.org/officeDocument/2006/relationships/hyperlink" Target="https://www.sec.gov/Archives/edgar/data/1745114/000162828021007388/exhibit1016-fx1.htm" TargetMode="External"/><Relationship Id="rId125" Type="http://schemas.openxmlformats.org/officeDocument/2006/relationships/hyperlink" Target="https://www.sec.gov/Archives/edgar/data/1745114/000162828021007388/exhibit1017-fx1.htm" TargetMode="External"/><Relationship Id="rId126" Type="http://schemas.openxmlformats.org/officeDocument/2006/relationships/hyperlink" Target="https://www.sec.gov/Archives/edgar/data/1745114/000162828021007388/exhibit211-fx1.htm" TargetMode="External"/><Relationship Id="rId127" Type="http://schemas.openxmlformats.org/officeDocument/2006/relationships/hyperlink" Target="https://www.sec.gov/Archives/edgar/data/1745114/000162828021007388/molecularpartnersf-1.htm#iae433ad4a4734c849aad6029347be986_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2021-06-14T08:11:55Z</dcterms:created>
  <dcterms:modified xsi:type="dcterms:W3CDTF">2021-06-14T08:11:55Z</dcterms:modified>
</cp:coreProperties>
</file>