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1297305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1263015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6" w:lineRule="exact"/>
        <w:rPr>
          <w:sz w:val="24"/>
          <w:szCs w:val="24"/>
          <w:color w:val="auto"/>
        </w:rPr>
      </w:pPr>
    </w:p>
    <w:p>
      <w:pPr>
        <w:ind w:left="480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266" w:lineRule="exact"/>
        <w:rPr>
          <w:sz w:val="24"/>
          <w:szCs w:val="24"/>
          <w:color w:val="auto"/>
        </w:rPr>
      </w:pPr>
    </w:p>
    <w:p>
      <w:pPr>
        <w:ind w:left="29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5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2268220</wp:posOffset>
            </wp:positionH>
            <wp:positionV relativeFrom="paragraph">
              <wp:posOffset>320040</wp:posOffset>
            </wp:positionV>
            <wp:extent cx="12941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4130" cy="8890"/>
                    </a:xfrm>
                    <a:prstGeom prst="rect">
                      <a:avLst/>
                    </a:prstGeom>
                    <a:noFill/>
                  </pic:spPr>
                </pic:pic>
              </a:graphicData>
            </a:graphic>
          </wp:anchor>
        </w:drawing>
      </w:r>
    </w:p>
    <w:p>
      <w:pPr>
        <w:spacing w:after="0" w:line="200" w:lineRule="exact"/>
        <w:rPr>
          <w:sz w:val="24"/>
          <w:szCs w:val="24"/>
          <w:color w:val="auto"/>
        </w:rPr>
      </w:pPr>
    </w:p>
    <w:p>
      <w:pPr>
        <w:spacing w:after="0" w:line="390"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2268220</wp:posOffset>
            </wp:positionH>
            <wp:positionV relativeFrom="paragraph">
              <wp:posOffset>195580</wp:posOffset>
            </wp:positionV>
            <wp:extent cx="12941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94130" cy="8255"/>
                    </a:xfrm>
                    <a:prstGeom prst="rect">
                      <a:avLst/>
                    </a:prstGeom>
                    <a:noFill/>
                  </pic:spPr>
                </pic:pic>
              </a:graphicData>
            </a:graphic>
          </wp:anchor>
        </w:drawing>
      </w:r>
    </w:p>
    <w:p>
      <w:pPr>
        <w:spacing w:after="0" w:line="37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5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5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5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May 2026</w:t>
      </w:r>
    </w:p>
    <w:p>
      <w:pPr>
        <w:spacing w:after="0" w:line="266"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001-40488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2268220</wp:posOffset>
            </wp:positionH>
            <wp:positionV relativeFrom="paragraph">
              <wp:posOffset>182880</wp:posOffset>
            </wp:positionV>
            <wp:extent cx="12941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4130" cy="8890"/>
                    </a:xfrm>
                    <a:prstGeom prst="rect">
                      <a:avLst/>
                    </a:prstGeom>
                    <a:noFill/>
                  </pic:spPr>
                </pic:pic>
              </a:graphicData>
            </a:graphic>
          </wp:anchor>
        </w:drawing>
      </w:r>
    </w:p>
    <w:p>
      <w:pPr>
        <w:spacing w:after="0" w:line="37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MOLECULAR PARTNERS AG</w:t>
      </w:r>
    </w:p>
    <w:p>
      <w:pPr>
        <w:spacing w:after="0" w:line="57"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2268220</wp:posOffset>
            </wp:positionH>
            <wp:positionV relativeFrom="paragraph">
              <wp:posOffset>182880</wp:posOffset>
            </wp:positionV>
            <wp:extent cx="12941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94130" cy="8255"/>
                    </a:xfrm>
                    <a:prstGeom prst="rect">
                      <a:avLst/>
                    </a:prstGeom>
                    <a:noFill/>
                  </pic:spPr>
                </pic:pic>
              </a:graphicData>
            </a:graphic>
          </wp:anchor>
        </w:drawing>
      </w:r>
    </w:p>
    <w:p>
      <w:pPr>
        <w:spacing w:after="0" w:line="36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Wagistrasse 14</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8952 Zürich-Schlieren</w:t>
      </w:r>
    </w:p>
    <w:p>
      <w:pPr>
        <w:spacing w:after="0" w:line="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Switzerland</w:t>
      </w:r>
    </w:p>
    <w:p>
      <w:pPr>
        <w:spacing w:after="0" w:line="4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Telephone: +41 447557700</w:t>
      </w:r>
    </w:p>
    <w:p>
      <w:pPr>
        <w:spacing w:after="0" w:line="5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(Address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2268220</wp:posOffset>
            </wp:positionH>
            <wp:positionV relativeFrom="paragraph">
              <wp:posOffset>80010</wp:posOffset>
            </wp:positionV>
            <wp:extent cx="12941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94130" cy="8890"/>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211" w:lineRule="exact"/>
        <w:rPr>
          <w:sz w:val="24"/>
          <w:szCs w:val="24"/>
          <w:color w:val="auto"/>
        </w:rPr>
      </w:pPr>
    </w:p>
    <w:p>
      <w:pPr>
        <w:ind w:left="220" w:hanging="212"/>
        <w:spacing w:after="0" w:line="207" w:lineRule="exact"/>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w:t>
      </w:r>
    </w:p>
    <w:p>
      <w:pPr>
        <w:sectPr>
          <w:pgSz w:w="11900" w:h="16838" w:orient="portrait"/>
          <w:cols w:equalWidth="0" w:num="1">
            <w:col w:w="10139"/>
          </w:cols>
          <w:pgMar w:left="320" w:top="1440"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4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Molecular Partners AG (the "Company") is filing this Form 6-K to furnish (i) a press release the Company issued on May 12, 2026 and (ii) condensed consolidated interim financial statements (unaudited) as of, and for</w:t>
      </w:r>
      <w:r>
        <w:rPr>
          <w:rFonts w:ascii="Times New Roman" w:cs="Times New Roman" w:eastAsia="Times New Roman" w:hAnsi="Times New Roman"/>
          <w:sz w:val="18"/>
          <w:szCs w:val="18"/>
          <w:color w:val="FF0000"/>
        </w:rPr>
        <w:t>,</w:t>
      </w:r>
      <w:r>
        <w:rPr>
          <w:rFonts w:ascii="Times New Roman" w:cs="Times New Roman" w:eastAsia="Times New Roman" w:hAnsi="Times New Roman"/>
          <w:sz w:val="18"/>
          <w:szCs w:val="18"/>
          <w:color w:val="auto"/>
        </w:rPr>
        <w:t xml:space="preserve"> the three months ended, March 31, 2026 (including accompanying notes thereto), which are furnished herewith as Exhibits 99.1 and 99.2, respectively.</w:t>
      </w:r>
    </w:p>
    <w:p>
      <w:pPr>
        <w:spacing w:after="0" w:line="184"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Exhibit 99.1 (excluding any quotes of management) and Exhibit 99.2 to this Report on Form 6-K shall be deemed to be incorporated by reference into the registrant’s Registration Statements on Form F-3 (File No. 333-286488) and Form S-8 (File Nos. 333-272974 and 333-280491) and to be a part thereof from the date on which this report is filed, to the extent not superseded by documents or reports subsequently filed or furnished.</w:t>
      </w:r>
    </w:p>
    <w:p>
      <w:pPr>
        <w:spacing w:after="0" w:line="200" w:lineRule="exact"/>
        <w:rPr>
          <w:sz w:val="20"/>
          <w:szCs w:val="20"/>
          <w:color w:val="auto"/>
        </w:rPr>
      </w:pP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1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98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459"/>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19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Press release May 12, 2026</w:t>
            </w:r>
          </w:p>
        </w:tc>
        <w:tc>
          <w:tcPr>
            <w:tcW w:w="2680" w:type="dxa"/>
            <w:vAlign w:val="bottom"/>
          </w:tcPr>
          <w:p>
            <w:pPr>
              <w:spacing w:after="0"/>
              <w:rPr>
                <w:sz w:val="24"/>
                <w:szCs w:val="24"/>
                <w:color w:val="auto"/>
              </w:rPr>
            </w:pPr>
          </w:p>
        </w:tc>
      </w:tr>
      <w:tr>
        <w:trPr>
          <w:trHeight w:val="210"/>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99.2</w:t>
            </w:r>
          </w:p>
        </w:tc>
        <w:tc>
          <w:tcPr>
            <w:tcW w:w="46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Condensed consolidated interim financial statements (unaudited)</w:t>
            </w:r>
          </w:p>
        </w:tc>
      </w:tr>
    </w:tbl>
    <w:p>
      <w:pPr>
        <w:sectPr>
          <w:pgSz w:w="11900" w:h="16838" w:orient="portrait"/>
          <w:cols w:equalWidth="0" w:num="1">
            <w:col w:w="11240"/>
          </w:cols>
          <w:pgMar w:left="320" w:top="142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70" w:lineRule="exact"/>
        <w:rPr>
          <w:sz w:val="20"/>
          <w:szCs w:val="20"/>
          <w:color w:val="auto"/>
        </w:rPr>
      </w:pPr>
    </w:p>
    <w:p>
      <w:pPr>
        <w:spacing w:after="0" w:line="31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MOLECULAR PARTNERS AG</w:t>
      </w:r>
    </w:p>
    <w:p>
      <w:pPr>
        <w:spacing w:after="0" w:line="4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(Registrant)</w:t>
      </w:r>
    </w:p>
    <w:p>
      <w:pPr>
        <w:spacing w:after="0" w:line="264" w:lineRule="exact"/>
        <w:rPr>
          <w:sz w:val="20"/>
          <w:szCs w:val="20"/>
          <w:color w:val="auto"/>
        </w:rPr>
      </w:pPr>
    </w:p>
    <w:p>
      <w:pPr>
        <w:spacing w:after="0"/>
        <w:tabs>
          <w:tab w:leader="none" w:pos="1660" w:val="left"/>
        </w:tabs>
        <w:rPr>
          <w:sz w:val="20"/>
          <w:szCs w:val="20"/>
          <w:color w:val="auto"/>
        </w:rPr>
      </w:pPr>
      <w:r>
        <w:rPr>
          <w:rFonts w:ascii="Times New Roman" w:cs="Times New Roman" w:eastAsia="Times New Roman" w:hAnsi="Times New Roman"/>
          <w:sz w:val="18"/>
          <w:szCs w:val="18"/>
          <w:color w:val="auto"/>
        </w:rPr>
        <w:t>Date: May 12, 2026</w:t>
      </w:r>
      <w:r>
        <w:rPr>
          <w:sz w:val="20"/>
          <w:szCs w:val="20"/>
          <w:color w:val="auto"/>
        </w:rPr>
        <w:tab/>
      </w:r>
      <w:r>
        <w:rPr>
          <w:rFonts w:ascii="Times New Roman" w:cs="Times New Roman" w:eastAsia="Times New Roman" w:hAnsi="Times New Roman"/>
          <w:sz w:val="17"/>
          <w:szCs w:val="17"/>
          <w:i w:val="1"/>
          <w:iCs w:val="1"/>
          <w:color w:val="auto"/>
        </w:rPr>
        <w:t>/s/ PATRICK AMSTUTZ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1033145</wp:posOffset>
            </wp:positionH>
            <wp:positionV relativeFrom="paragraph">
              <wp:posOffset>-6350</wp:posOffset>
            </wp:positionV>
            <wp:extent cx="12471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47140" cy="8890"/>
                    </a:xfrm>
                    <a:prstGeom prst="rect">
                      <a:avLst/>
                    </a:prstGeom>
                    <a:noFill/>
                  </pic:spPr>
                </pic:pic>
              </a:graphicData>
            </a:graphic>
          </wp:anchor>
        </w:drawing>
      </w:r>
    </w:p>
    <w:p>
      <w:pPr>
        <w:spacing w:after="0" w:line="1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Name: Patrick Amstutz</w:t>
      </w:r>
    </w:p>
    <w:p>
      <w:pPr>
        <w:spacing w:after="0" w:line="5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Title: Chief Executive Officer</w:t>
      </w:r>
    </w:p>
    <w:p>
      <w:pPr>
        <w:sectPr>
          <w:pgSz w:w="11900" w:h="16838" w:orient="portrait"/>
          <w:cols w:equalWidth="0" w:num="1">
            <w:col w:w="11240"/>
          </w:cols>
          <w:pgMar w:left="320" w:top="1427" w:right="339" w:bottom="1440" w:gutter="0" w:footer="0" w:header="0"/>
        </w:sectPr>
      </w:pPr>
    </w:p>
    <w:bookmarkStart w:id="3" w:name="page4"/>
    <w:bookmarkEnd w:id="3"/>
    <w:p>
      <w:pPr>
        <w:ind w:left="8080"/>
        <w:spacing w:after="0"/>
        <w:rPr>
          <w:sz w:val="20"/>
          <w:szCs w:val="20"/>
          <w:color w:val="auto"/>
        </w:rPr>
      </w:pPr>
      <w:r>
        <w:rPr>
          <w:rFonts w:ascii="Arial" w:cs="Arial" w:eastAsia="Arial" w:hAnsi="Arial"/>
          <w:sz w:val="18"/>
          <w:szCs w:val="18"/>
          <w:i w:val="1"/>
          <w:iCs w:val="1"/>
          <w:color w:val="404040"/>
        </w:rPr>
        <w:drawing>
          <wp:anchor simplePos="0" relativeHeight="251657728" behindDoc="1" locked="0" layoutInCell="0" allowOverlap="1">
            <wp:simplePos x="0" y="0"/>
            <wp:positionH relativeFrom="page">
              <wp:posOffset>3062605</wp:posOffset>
            </wp:positionH>
            <wp:positionV relativeFrom="page">
              <wp:posOffset>88900</wp:posOffset>
            </wp:positionV>
            <wp:extent cx="1637665" cy="3771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637665" cy="377190"/>
                    </a:xfrm>
                    <a:prstGeom prst="rect">
                      <a:avLst/>
                    </a:prstGeom>
                    <a:noFill/>
                  </pic:spPr>
                </pic:pic>
              </a:graphicData>
            </a:graphic>
          </wp:anchor>
        </w:drawing>
        <w:t>PRESS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left="380" w:right="220"/>
        <w:spacing w:after="0" w:line="327" w:lineRule="auto"/>
        <w:rPr>
          <w:sz w:val="20"/>
          <w:szCs w:val="20"/>
          <w:color w:val="auto"/>
        </w:rPr>
      </w:pPr>
      <w:r>
        <w:rPr>
          <w:rFonts w:ascii="Arial" w:cs="Arial" w:eastAsia="Arial" w:hAnsi="Arial"/>
          <w:sz w:val="29"/>
          <w:szCs w:val="29"/>
          <w:b w:val="1"/>
          <w:bCs w:val="1"/>
          <w:color w:val="auto"/>
        </w:rPr>
        <w:t>Molecular Partners Reports Financial Results and Highlights for Q1 2026, with Clinical Studies Initiated on MP0712 and MP0317</w:t>
      </w:r>
    </w:p>
    <w:p>
      <w:pPr>
        <w:spacing w:after="0" w:line="143" w:lineRule="exact"/>
        <w:rPr>
          <w:sz w:val="20"/>
          <w:szCs w:val="20"/>
          <w:color w:val="auto"/>
        </w:rPr>
      </w:pPr>
    </w:p>
    <w:p>
      <w:pPr>
        <w:ind w:left="660" w:right="240" w:hanging="328"/>
        <w:spacing w:after="0" w:line="313" w:lineRule="auto"/>
        <w:tabs>
          <w:tab w:leader="none" w:pos="648"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i w:val="1"/>
          <w:iCs w:val="1"/>
          <w:color w:val="auto"/>
        </w:rPr>
        <w:t>Lead Radio-DARPin MP0712 progressing in Phase 1/2a trial with multiple clinical sites opening and initial clinical data expected in 2026</w:t>
      </w:r>
    </w:p>
    <w:p>
      <w:pPr>
        <w:spacing w:after="0" w:line="195" w:lineRule="exact"/>
        <w:rPr>
          <w:rFonts w:ascii="Times New Roman" w:cs="Times New Roman" w:eastAsia="Times New Roman" w:hAnsi="Times New Roman"/>
          <w:sz w:val="20"/>
          <w:szCs w:val="20"/>
          <w:color w:val="auto"/>
        </w:rPr>
      </w:pPr>
    </w:p>
    <w:p>
      <w:pPr>
        <w:ind w:left="660" w:right="820" w:hanging="328"/>
        <w:spacing w:after="0" w:line="313" w:lineRule="auto"/>
        <w:tabs>
          <w:tab w:leader="none" w:pos="648"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i w:val="1"/>
          <w:iCs w:val="1"/>
          <w:color w:val="auto"/>
        </w:rPr>
        <w:t>New data on Radio-DARPins’ amenability to range of therapeutic payloads enable isotope-agnostic strategy for expanding pipeline</w:t>
      </w:r>
    </w:p>
    <w:p>
      <w:pPr>
        <w:spacing w:after="0" w:line="195" w:lineRule="exact"/>
        <w:rPr>
          <w:rFonts w:ascii="Times New Roman" w:cs="Times New Roman" w:eastAsia="Times New Roman" w:hAnsi="Times New Roman"/>
          <w:sz w:val="20"/>
          <w:szCs w:val="20"/>
          <w:color w:val="auto"/>
        </w:rPr>
      </w:pPr>
    </w:p>
    <w:p>
      <w:pPr>
        <w:ind w:left="660" w:right="600" w:hanging="328"/>
        <w:spacing w:after="0" w:line="313" w:lineRule="auto"/>
        <w:tabs>
          <w:tab w:leader="none" w:pos="648"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i w:val="1"/>
          <w:iCs w:val="1"/>
          <w:color w:val="auto"/>
        </w:rPr>
        <w:t>Strong financial position with cash including short-term time deposits of CHF 79 million (approx. USD 100 million), providing runway until late 2027</w:t>
      </w:r>
    </w:p>
    <w:p>
      <w:pPr>
        <w:spacing w:after="0" w:line="200" w:lineRule="exact"/>
        <w:rPr>
          <w:sz w:val="20"/>
          <w:szCs w:val="20"/>
          <w:color w:val="auto"/>
        </w:rPr>
      </w:pPr>
    </w:p>
    <w:p>
      <w:pPr>
        <w:spacing w:after="0" w:line="223" w:lineRule="exact"/>
        <w:rPr>
          <w:sz w:val="20"/>
          <w:szCs w:val="20"/>
          <w:color w:val="auto"/>
        </w:rPr>
      </w:pPr>
    </w:p>
    <w:p>
      <w:pPr>
        <w:ind w:right="200"/>
        <w:spacing w:after="0" w:line="297" w:lineRule="auto"/>
        <w:rPr>
          <w:sz w:val="20"/>
          <w:szCs w:val="20"/>
          <w:color w:val="auto"/>
        </w:rPr>
      </w:pPr>
      <w:r>
        <w:rPr>
          <w:rFonts w:ascii="Arial" w:cs="Arial" w:eastAsia="Arial" w:hAnsi="Arial"/>
          <w:sz w:val="20"/>
          <w:szCs w:val="20"/>
          <w:b w:val="1"/>
          <w:bCs w:val="1"/>
          <w:color w:val="auto"/>
        </w:rPr>
        <w:t xml:space="preserve">Zurich-Schlieren, Switzerland and Concord, Mass., May 12, 2026 </w:t>
      </w:r>
      <w:r>
        <w:rPr>
          <w:rFonts w:ascii="Arial" w:cs="Arial" w:eastAsia="Arial" w:hAnsi="Arial"/>
          <w:sz w:val="20"/>
          <w:szCs w:val="20"/>
          <w:color w:val="auto"/>
        </w:rPr>
        <w:t>–</w:t>
      </w:r>
      <w:r>
        <w:rPr>
          <w:rFonts w:ascii="Arial" w:cs="Arial" w:eastAsia="Arial" w:hAnsi="Arial"/>
          <w:sz w:val="20"/>
          <w:szCs w:val="20"/>
          <w:b w:val="1"/>
          <w:bCs w:val="1"/>
          <w:color w:val="auto"/>
        </w:rPr>
        <w:t xml:space="preserve"> Ad hoc announcement pursuant to Art. 53 LR </w:t>
      </w:r>
      <w:r>
        <w:rPr>
          <w:rFonts w:ascii="Arial" w:cs="Arial" w:eastAsia="Arial" w:hAnsi="Arial"/>
          <w:sz w:val="20"/>
          <w:szCs w:val="20"/>
          <w:color w:val="auto"/>
        </w:rPr>
        <w:t>Molecular Partners AG (SIX: MOLN; NASDAQ: MOLN), a clinical-stage biotech company developing a novel class of custom-built protein drugs known as DARPin therapeutics (“Molecular Partners” or the “Company”), today announced corporate highlights and unaudited financial results for the first quarter of 2026.</w:t>
      </w:r>
    </w:p>
    <w:p>
      <w:pPr>
        <w:spacing w:after="0" w:line="200" w:lineRule="exact"/>
        <w:rPr>
          <w:sz w:val="20"/>
          <w:szCs w:val="20"/>
          <w:color w:val="auto"/>
        </w:rPr>
      </w:pPr>
    </w:p>
    <w:p>
      <w:pPr>
        <w:ind w:right="40"/>
        <w:spacing w:after="0" w:line="278" w:lineRule="auto"/>
        <w:rPr>
          <w:sz w:val="20"/>
          <w:szCs w:val="20"/>
          <w:color w:val="auto"/>
        </w:rPr>
      </w:pPr>
      <w:r>
        <w:rPr>
          <w:rFonts w:ascii="Arial" w:cs="Arial" w:eastAsia="Arial" w:hAnsi="Arial"/>
          <w:sz w:val="20"/>
          <w:szCs w:val="20"/>
          <w:color w:val="auto"/>
        </w:rPr>
        <w:t xml:space="preserve">"Molecular Partners had a strong start to 2026, with two clinical studies initiated. Our lead Radio-DARPin program, MP0712 targeting DLL3, is advancing in a Phase 1/2a trial, with clinical sites open and initial data anticipated this year. In addition, our new data highlight the ability to interchange isotopes on Radio-DARPins, including Lead-212 and Actinium-225, enabling our isotope-agnostic strategy in Radio. It is an exciting time for our company, and we have a strong financial position supporting the development of our growing pipeline of candidates,” said </w:t>
      </w:r>
      <w:r>
        <w:rPr>
          <w:rFonts w:ascii="Arial" w:cs="Arial" w:eastAsia="Arial" w:hAnsi="Arial"/>
          <w:sz w:val="20"/>
          <w:szCs w:val="20"/>
          <w:b w:val="1"/>
          <w:bCs w:val="1"/>
          <w:color w:val="auto"/>
        </w:rPr>
        <w:t>Patrick Amstutz, Ph.D., CEO of Molecular Partners</w:t>
      </w:r>
      <w:r>
        <w:rPr>
          <w:rFonts w:ascii="Arial" w:cs="Arial" w:eastAsia="Arial" w:hAnsi="Arial"/>
          <w:sz w:val="20"/>
          <w:szCs w:val="20"/>
          <w:color w:val="auto"/>
        </w:rPr>
        <w:t>.</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Research &amp; Development Highlights</w:t>
      </w: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MP0712 &amp; Radio-DARPin Pipeline</w:t>
      </w:r>
    </w:p>
    <w:p>
      <w:pPr>
        <w:spacing w:after="0" w:line="299" w:lineRule="exact"/>
        <w:rPr>
          <w:sz w:val="20"/>
          <w:szCs w:val="20"/>
          <w:color w:val="auto"/>
        </w:rPr>
      </w:pPr>
    </w:p>
    <w:p>
      <w:pPr>
        <w:spacing w:after="0" w:line="317" w:lineRule="auto"/>
        <w:rPr>
          <w:sz w:val="20"/>
          <w:szCs w:val="20"/>
          <w:color w:val="auto"/>
        </w:rPr>
      </w:pPr>
      <w:r>
        <w:rPr>
          <w:rFonts w:ascii="Arial" w:cs="Arial" w:eastAsia="Arial" w:hAnsi="Arial"/>
          <w:sz w:val="19"/>
          <w:szCs w:val="19"/>
          <w:color w:val="231F20"/>
        </w:rPr>
        <w:t>The US multicenter Phase 1/2a study of MP0712 has started (ClinicalTrials.gov: NCT07278479) and is recruiting. Four clinical sites are now open, with a total of nine expected by the end of 2026. Molecular Partners will present trial-in-progress posters on the Phase 1/2a study at the 2026 Annual Meeting of the Society of Nuclear Medicine and Molecular Imaging (SNMMI) and 2026 American Society of Clinical Oncology (ASCO) Annual Meeting and expects to share initial clinical data from this study in 2026.</w:t>
      </w:r>
    </w:p>
    <w:p>
      <w:pPr>
        <w:sectPr>
          <w:pgSz w:w="11900" w:h="16838" w:orient="portrait"/>
          <w:cols w:equalWidth="0" w:num="1">
            <w:col w:w="11180"/>
          </w:cols>
          <w:pgMar w:left="320" w:top="609" w:right="399" w:bottom="1440" w:gutter="0" w:footer="0" w:header="0"/>
        </w:sectPr>
      </w:pPr>
    </w:p>
    <w:bookmarkStart w:id="4" w:name="page5"/>
    <w:bookmarkEnd w:id="4"/>
    <w:p>
      <w:pPr>
        <w:spacing w:after="0" w:line="200" w:lineRule="exact"/>
        <w:rPr>
          <w:sz w:val="20"/>
          <w:szCs w:val="20"/>
          <w:color w:val="auto"/>
        </w:rPr>
      </w:pPr>
    </w:p>
    <w:p>
      <w:pPr>
        <w:spacing w:after="0" w:line="395" w:lineRule="exact"/>
        <w:rPr>
          <w:sz w:val="20"/>
          <w:szCs w:val="20"/>
          <w:color w:val="auto"/>
        </w:rPr>
      </w:pPr>
    </w:p>
    <w:p>
      <w:pPr>
        <w:ind w:right="80"/>
        <w:spacing w:after="0" w:line="280" w:lineRule="auto"/>
        <w:rPr>
          <w:sz w:val="20"/>
          <w:szCs w:val="20"/>
          <w:color w:val="auto"/>
        </w:rPr>
      </w:pPr>
      <w:r>
        <w:rPr>
          <w:rFonts w:ascii="Arial" w:cs="Arial" w:eastAsia="Arial" w:hAnsi="Arial"/>
          <w:sz w:val="20"/>
          <w:szCs w:val="20"/>
          <w:color w:val="231F20"/>
        </w:rPr>
        <w:t xml:space="preserve">MP0712 is the Company’s lead Radio-DARPin Therapy (RDT) targeting the tumor-associated protein delta-like ligand 3 (DLL3) and carrying the therapeutic payload </w:t>
      </w:r>
      <w:r>
        <w:rPr>
          <w:rFonts w:ascii="Arial" w:cs="Arial" w:eastAsia="Arial" w:hAnsi="Arial"/>
          <w:sz w:val="25"/>
          <w:szCs w:val="25"/>
          <w:color w:val="231F20"/>
          <w:vertAlign w:val="superscript"/>
        </w:rPr>
        <w:t>212</w:t>
      </w:r>
      <w:r>
        <w:rPr>
          <w:rFonts w:ascii="Arial" w:cs="Arial" w:eastAsia="Arial" w:hAnsi="Arial"/>
          <w:sz w:val="20"/>
          <w:szCs w:val="20"/>
          <w:color w:val="231F20"/>
        </w:rPr>
        <w:t xml:space="preserve">Pb. MP0712 is being co-developed with Molecular Partners’ strategic partner Orano Med, a pioneer in targeted alpha therapy, for the treatment of patients with small cell lung cancer (SCLC) and other neuroendocrine cancers. The Phase 1/2a study objectives are to assess safety and determine a recommended Phase 2 dose for MP0712. The study contains a pre-treatment imaging and dosimetry step with </w:t>
      </w:r>
      <w:r>
        <w:rPr>
          <w:rFonts w:ascii="Arial" w:cs="Arial" w:eastAsia="Arial" w:hAnsi="Arial"/>
          <w:sz w:val="25"/>
          <w:szCs w:val="25"/>
          <w:color w:val="231F20"/>
          <w:vertAlign w:val="superscript"/>
        </w:rPr>
        <w:t>203</w:t>
      </w:r>
      <w:r>
        <w:rPr>
          <w:rFonts w:ascii="Arial" w:cs="Arial" w:eastAsia="Arial" w:hAnsi="Arial"/>
          <w:sz w:val="20"/>
          <w:szCs w:val="20"/>
          <w:color w:val="231F20"/>
        </w:rPr>
        <w:t>Pb-labeled MP0712.</w:t>
      </w:r>
    </w:p>
    <w:p>
      <w:pPr>
        <w:spacing w:after="0" w:line="144" w:lineRule="exact"/>
        <w:rPr>
          <w:sz w:val="20"/>
          <w:szCs w:val="20"/>
          <w:color w:val="auto"/>
        </w:rPr>
      </w:pPr>
    </w:p>
    <w:p>
      <w:pPr>
        <w:ind w:right="120"/>
        <w:spacing w:after="0" w:line="282" w:lineRule="auto"/>
        <w:rPr>
          <w:sz w:val="20"/>
          <w:szCs w:val="20"/>
          <w:color w:val="auto"/>
        </w:rPr>
      </w:pPr>
      <w:r>
        <w:rPr>
          <w:rFonts w:ascii="Arial" w:cs="Arial" w:eastAsia="Arial" w:hAnsi="Arial"/>
          <w:sz w:val="20"/>
          <w:szCs w:val="20"/>
          <w:color w:val="231F20"/>
        </w:rPr>
        <w:t xml:space="preserve">Molecular Partners and the NuMeRI team of Dr. Mike Sathekge presented first patient imaging and dosimetry data on MP0712 at the 8th Theranostics World Congress (TWC) in January 2026. The data from five evaluable patients with various DLL3-expressing cancers, including SCLC, urothelial, and other neuroendocrine cancers, were generated with MP0712 carrying the diagnostic isotope </w:t>
      </w:r>
      <w:r>
        <w:rPr>
          <w:rFonts w:ascii="Arial" w:cs="Arial" w:eastAsia="Arial" w:hAnsi="Arial"/>
          <w:sz w:val="25"/>
          <w:szCs w:val="25"/>
          <w:color w:val="231F20"/>
          <w:vertAlign w:val="superscript"/>
        </w:rPr>
        <w:t>203</w:t>
      </w:r>
      <w:r>
        <w:rPr>
          <w:rFonts w:ascii="Arial" w:cs="Arial" w:eastAsia="Arial" w:hAnsi="Arial"/>
          <w:sz w:val="20"/>
          <w:szCs w:val="20"/>
          <w:color w:val="231F20"/>
        </w:rPr>
        <w:t xml:space="preserve">Pb as part of a Named Patient Access Program under the legal framework for compassionate care in South Africa. The dosimetry data and the images, which showed specific uptake as well as robust accumulation of MP0712 in tumor lesions and limited uptake in healthy tissues, as intended, are supportive of the clinical development plans of MP0712 carrying the therapeutic isotope </w:t>
      </w:r>
      <w:r>
        <w:rPr>
          <w:rFonts w:ascii="Arial" w:cs="Arial" w:eastAsia="Arial" w:hAnsi="Arial"/>
          <w:sz w:val="25"/>
          <w:szCs w:val="25"/>
          <w:color w:val="231F20"/>
          <w:vertAlign w:val="superscript"/>
        </w:rPr>
        <w:t>212</w:t>
      </w:r>
      <w:r>
        <w:rPr>
          <w:rFonts w:ascii="Arial" w:cs="Arial" w:eastAsia="Arial" w:hAnsi="Arial"/>
          <w:sz w:val="20"/>
          <w:szCs w:val="20"/>
          <w:color w:val="231F20"/>
        </w:rPr>
        <w:t>Pb.</w:t>
      </w:r>
    </w:p>
    <w:p>
      <w:pPr>
        <w:spacing w:after="0" w:line="133" w:lineRule="exact"/>
        <w:rPr>
          <w:sz w:val="20"/>
          <w:szCs w:val="20"/>
          <w:color w:val="auto"/>
        </w:rPr>
      </w:pPr>
    </w:p>
    <w:p>
      <w:pPr>
        <w:ind w:right="620"/>
        <w:spacing w:after="0" w:line="288" w:lineRule="auto"/>
        <w:rPr>
          <w:sz w:val="20"/>
          <w:szCs w:val="20"/>
          <w:color w:val="auto"/>
        </w:rPr>
      </w:pPr>
      <w:r>
        <w:rPr>
          <w:rFonts w:ascii="Arial" w:cs="Arial" w:eastAsia="Arial" w:hAnsi="Arial"/>
          <w:sz w:val="20"/>
          <w:szCs w:val="20"/>
          <w:color w:val="231F20"/>
        </w:rPr>
        <w:t>The Company’s second RDT program MP0726 targets mesothelin (MSLN), a tumor target overexpressed across several cancers with high unmet need, such as ovarian cancer.</w:t>
      </w:r>
    </w:p>
    <w:p>
      <w:pPr>
        <w:spacing w:after="0" w:line="2" w:lineRule="exact"/>
        <w:rPr>
          <w:sz w:val="20"/>
          <w:szCs w:val="20"/>
          <w:color w:val="auto"/>
        </w:rPr>
      </w:pPr>
    </w:p>
    <w:p>
      <w:pPr>
        <w:spacing w:after="0" w:line="305" w:lineRule="auto"/>
        <w:rPr>
          <w:sz w:val="20"/>
          <w:szCs w:val="20"/>
          <w:color w:val="auto"/>
        </w:rPr>
      </w:pPr>
      <w:r>
        <w:rPr>
          <w:rFonts w:ascii="Arial" w:cs="Arial" w:eastAsia="Arial" w:hAnsi="Arial"/>
          <w:sz w:val="20"/>
          <w:szCs w:val="20"/>
          <w:color w:val="231F20"/>
        </w:rPr>
        <w:t>Molecular Partners has developed Radio-DARPins able to selectively bind to membrane-bound MSLN without being impacted by shed MSLN – a mechanism which has hampered the development of other MSLN-targeting therapeutics. Molecular Partners intends to advance MP0726 towards first-in-human imaging within the second half of 2026.</w:t>
      </w:r>
    </w:p>
    <w:p>
      <w:pPr>
        <w:spacing w:after="0" w:line="190" w:lineRule="exact"/>
        <w:rPr>
          <w:sz w:val="20"/>
          <w:szCs w:val="20"/>
          <w:color w:val="auto"/>
        </w:rPr>
      </w:pPr>
    </w:p>
    <w:p>
      <w:pPr>
        <w:ind w:right="480"/>
        <w:spacing w:after="0" w:line="328" w:lineRule="auto"/>
        <w:rPr>
          <w:sz w:val="20"/>
          <w:szCs w:val="20"/>
          <w:color w:val="auto"/>
        </w:rPr>
      </w:pPr>
      <w:r>
        <w:rPr>
          <w:rFonts w:ascii="Arial" w:cs="Arial" w:eastAsia="Arial" w:hAnsi="Arial"/>
          <w:sz w:val="20"/>
          <w:szCs w:val="20"/>
          <w:color w:val="231F20"/>
        </w:rPr>
        <w:t>Molecular Partners is evaluating tumor targets in an isotope-agnostic manner for its Radio-DARPin pipeline and expects to nominate a new target in the second half of the year.</w:t>
      </w:r>
    </w:p>
    <w:p>
      <w:pPr>
        <w:spacing w:after="0" w:line="168" w:lineRule="exact"/>
        <w:rPr>
          <w:sz w:val="20"/>
          <w:szCs w:val="20"/>
          <w:color w:val="auto"/>
        </w:rPr>
      </w:pPr>
    </w:p>
    <w:p>
      <w:pPr>
        <w:ind w:right="300"/>
        <w:spacing w:after="0" w:line="255" w:lineRule="auto"/>
        <w:rPr>
          <w:sz w:val="20"/>
          <w:szCs w:val="20"/>
          <w:color w:val="auto"/>
        </w:rPr>
      </w:pPr>
      <w:r>
        <w:rPr>
          <w:rFonts w:ascii="Arial" w:cs="Arial" w:eastAsia="Arial" w:hAnsi="Arial"/>
          <w:sz w:val="20"/>
          <w:szCs w:val="20"/>
          <w:color w:val="auto"/>
        </w:rPr>
        <w:t>Molecular Partners presented pre-clinical data at the 3</w:t>
      </w:r>
      <w:r>
        <w:rPr>
          <w:rFonts w:ascii="Arial" w:cs="Arial" w:eastAsia="Arial" w:hAnsi="Arial"/>
          <w:sz w:val="25"/>
          <w:szCs w:val="25"/>
          <w:color w:val="auto"/>
          <w:vertAlign w:val="superscript"/>
        </w:rPr>
        <w:t>rd</w:t>
      </w:r>
      <w:r>
        <w:rPr>
          <w:rFonts w:ascii="Arial" w:cs="Arial" w:eastAsia="Arial" w:hAnsi="Arial"/>
          <w:sz w:val="20"/>
          <w:szCs w:val="20"/>
          <w:color w:val="auto"/>
        </w:rPr>
        <w:t xml:space="preserve"> Global Radiopharmaceuticals Development Summit (RDS) in March 2026, outlining the suitability of Radio-DARPins to different isotopes. The data showed that the Company’s Radio-DARPin vector design allows interchangeability of alpha isotopes, including </w:t>
      </w:r>
      <w:r>
        <w:rPr>
          <w:rFonts w:ascii="Arial" w:cs="Arial" w:eastAsia="Arial" w:hAnsi="Arial"/>
          <w:sz w:val="25"/>
          <w:szCs w:val="25"/>
          <w:color w:val="auto"/>
          <w:vertAlign w:val="superscript"/>
        </w:rPr>
        <w:t>212</w:t>
      </w:r>
      <w:r>
        <w:rPr>
          <w:rFonts w:ascii="Arial" w:cs="Arial" w:eastAsia="Arial" w:hAnsi="Arial"/>
          <w:sz w:val="20"/>
          <w:szCs w:val="20"/>
          <w:color w:val="auto"/>
        </w:rPr>
        <w:t xml:space="preserve">Pb and </w:t>
      </w:r>
      <w:r>
        <w:rPr>
          <w:rFonts w:ascii="Arial" w:cs="Arial" w:eastAsia="Arial" w:hAnsi="Arial"/>
          <w:sz w:val="25"/>
          <w:szCs w:val="25"/>
          <w:color w:val="auto"/>
          <w:vertAlign w:val="superscript"/>
        </w:rPr>
        <w:t>225</w:t>
      </w:r>
      <w:r>
        <w:rPr>
          <w:rFonts w:ascii="Arial" w:cs="Arial" w:eastAsia="Arial" w:hAnsi="Arial"/>
          <w:sz w:val="20"/>
          <w:szCs w:val="20"/>
          <w:color w:val="auto"/>
        </w:rPr>
        <w:t>Ac, enabling an isotope-agnostic strategy to tailor therapeutic candidates to a specific target and disease biology.</w:t>
      </w:r>
    </w:p>
    <w:p>
      <w:pPr>
        <w:spacing w:after="0" w:line="237" w:lineRule="exact"/>
        <w:rPr>
          <w:sz w:val="20"/>
          <w:szCs w:val="20"/>
          <w:color w:val="auto"/>
        </w:rPr>
      </w:pPr>
    </w:p>
    <w:p>
      <w:pPr>
        <w:ind w:right="400"/>
        <w:spacing w:after="0" w:line="281" w:lineRule="auto"/>
        <w:rPr>
          <w:sz w:val="20"/>
          <w:szCs w:val="20"/>
          <w:color w:val="auto"/>
        </w:rPr>
      </w:pPr>
      <w:r>
        <w:rPr>
          <w:rFonts w:ascii="Arial" w:cs="Arial" w:eastAsia="Arial" w:hAnsi="Arial"/>
          <w:sz w:val="20"/>
          <w:szCs w:val="20"/>
          <w:color w:val="231F20"/>
        </w:rPr>
        <w:t xml:space="preserve">In February 2026, the Company announced it entered into a non-exclusive development agreement with Eckert &amp; Ziegler, a global leader in radiopharmaceutical manufacturing. This will expand the potential of Radio-DARPins as vectors for precise delivery of therapeutic alpha-emitting isotopes to tumors, now including </w:t>
      </w:r>
      <w:r>
        <w:rPr>
          <w:rFonts w:ascii="Arial" w:cs="Arial" w:eastAsia="Arial" w:hAnsi="Arial"/>
          <w:sz w:val="25"/>
          <w:szCs w:val="25"/>
          <w:color w:val="231F20"/>
          <w:vertAlign w:val="superscript"/>
        </w:rPr>
        <w:t>225</w:t>
      </w:r>
      <w:r>
        <w:rPr>
          <w:rFonts w:ascii="Arial" w:cs="Arial" w:eastAsia="Arial" w:hAnsi="Arial"/>
          <w:sz w:val="20"/>
          <w:szCs w:val="20"/>
          <w:color w:val="231F20"/>
        </w:rPr>
        <w:t xml:space="preserve">Ac, in addition to </w:t>
      </w:r>
      <w:r>
        <w:rPr>
          <w:rFonts w:ascii="Arial" w:cs="Arial" w:eastAsia="Arial" w:hAnsi="Arial"/>
          <w:sz w:val="25"/>
          <w:szCs w:val="25"/>
          <w:color w:val="231F20"/>
          <w:vertAlign w:val="superscript"/>
        </w:rPr>
        <w:t>212</w:t>
      </w:r>
      <w:r>
        <w:rPr>
          <w:rFonts w:ascii="Arial" w:cs="Arial" w:eastAsia="Arial" w:hAnsi="Arial"/>
          <w:sz w:val="20"/>
          <w:szCs w:val="20"/>
          <w:color w:val="231F20"/>
        </w:rPr>
        <w:t>Pb through the strategic partnership with Orano Med.</w:t>
      </w:r>
    </w:p>
    <w:p>
      <w:pPr>
        <w:sectPr>
          <w:pgSz w:w="11900" w:h="16838" w:orient="portrait"/>
          <w:cols w:equalWidth="0" w:num="1">
            <w:col w:w="11180"/>
          </w:cols>
          <w:pgMar w:left="320" w:top="1440" w:right="399" w:bottom="1440" w:gutter="0" w:footer="0" w:header="0"/>
        </w:sectPr>
      </w:pPr>
    </w:p>
    <w:bookmarkStart w:id="5" w:name="page6"/>
    <w:bookmarkEnd w:id="5"/>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MP0317 (tumor-localized CD40 agonist)</w:t>
      </w:r>
    </w:p>
    <w:p>
      <w:pPr>
        <w:spacing w:after="0" w:line="285" w:lineRule="exact"/>
        <w:rPr>
          <w:sz w:val="20"/>
          <w:szCs w:val="20"/>
          <w:color w:val="auto"/>
        </w:rPr>
      </w:pPr>
    </w:p>
    <w:p>
      <w:pPr>
        <w:ind w:right="160"/>
        <w:spacing w:after="0" w:line="291" w:lineRule="auto"/>
        <w:rPr>
          <w:sz w:val="20"/>
          <w:szCs w:val="20"/>
          <w:color w:val="auto"/>
        </w:rPr>
      </w:pPr>
      <w:r>
        <w:rPr>
          <w:rFonts w:ascii="Arial" w:cs="Arial" w:eastAsia="Arial" w:hAnsi="Arial"/>
          <w:sz w:val="20"/>
          <w:szCs w:val="20"/>
          <w:color w:val="auto"/>
        </w:rPr>
        <w:t>An investigator-initiated, proof-of-concept Phase 2 study of MP0317 combined with standard-of-care (SoC) for the treatment of patients with advanced cholangiocarcinoma has started, with eight sites activated (NCT07036380) and patient treatment ongoing. The study is a randomized, multicenter study in France and aims to recruit 75 patients (with a 2-to-1 design, including 50 patients in the experimental arm and 25 in the control arm). The objective of the study is to assess the clinical benefit of MP0317 combined with SoC comprising the immunotherapy durvalumab, an anti-PD-L1 checkpoint inhibitor, plus gemcitabine-cisplatin-based chemotherapy, compared to SoC alone. MP0317, a FAP-localized CD40 agonist designed to lead to immune-mediated reshaping of the tumor microenvironment (TME), is hypothesized to improve the 12-month progression-free survival rate of patients compared to those treated with SoC only. The TME is known to play a crucial role in the development of cholangiocarcinoma, and of other solid tumor indications, and in treatment resistance.</w:t>
      </w:r>
    </w:p>
    <w:p>
      <w:pPr>
        <w:spacing w:after="0" w:line="217" w:lineRule="exact"/>
        <w:rPr>
          <w:sz w:val="20"/>
          <w:szCs w:val="20"/>
          <w:color w:val="auto"/>
        </w:rPr>
      </w:pPr>
    </w:p>
    <w:p>
      <w:pPr>
        <w:spacing w:after="0" w:line="291" w:lineRule="auto"/>
        <w:rPr>
          <w:sz w:val="20"/>
          <w:szCs w:val="20"/>
          <w:color w:val="auto"/>
        </w:rPr>
      </w:pPr>
      <w:r>
        <w:rPr>
          <w:rFonts w:ascii="Arial" w:cs="Arial" w:eastAsia="Arial" w:hAnsi="Arial"/>
          <w:sz w:val="20"/>
          <w:szCs w:val="20"/>
          <w:color w:val="auto"/>
        </w:rPr>
        <w:t xml:space="preserve">The Company recently published in </w:t>
      </w:r>
      <w:r>
        <w:rPr>
          <w:rFonts w:ascii="Arial" w:cs="Arial" w:eastAsia="Arial" w:hAnsi="Arial"/>
          <w:sz w:val="20"/>
          <w:szCs w:val="20"/>
          <w:i w:val="1"/>
          <w:iCs w:val="1"/>
          <w:color w:val="auto"/>
        </w:rPr>
        <w:t>Nature Cancer</w:t>
      </w:r>
      <w:r>
        <w:rPr>
          <w:rFonts w:ascii="Arial" w:cs="Arial" w:eastAsia="Arial" w:hAnsi="Arial"/>
          <w:sz w:val="20"/>
          <w:szCs w:val="20"/>
          <w:color w:val="auto"/>
        </w:rPr>
        <w:t xml:space="preserve"> (Steeghs et al. 2026 (e-pub 1 May); DOI: 10.1038/s43018-026-01150-1) the results from the completed Phase 1 dose-escalation study of MP0317 in patients with advanced solid tumors (NCT05098405; 46 patients treated across 9 dose levels). Comprehensive biomarker analyses from this trial confirmed tumor-localized CD40 activation and remodeling of the TME by MP0317, with a favorable safety profile. In addition, MP0317’s pharmacokinetic profile is suited for combination treatment settings, including checkpoint inhibitors. CD40 is an attractive target for cancer immunotherapy due to its strong immune-stimulatory activity. Molecular Partners believes that MP0317’s tumor-localized approach has the potential to deliver superior efficacy with fewer side effects compared to systemic CD40 agonists.</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MP0533 (multispecific T cell engager)</w:t>
      </w:r>
    </w:p>
    <w:p>
      <w:pPr>
        <w:spacing w:after="0" w:line="299" w:lineRule="exact"/>
        <w:rPr>
          <w:sz w:val="20"/>
          <w:szCs w:val="20"/>
          <w:color w:val="auto"/>
        </w:rPr>
      </w:pPr>
    </w:p>
    <w:p>
      <w:pPr>
        <w:ind w:right="160"/>
        <w:spacing w:after="0" w:line="298" w:lineRule="auto"/>
        <w:rPr>
          <w:sz w:val="20"/>
          <w:szCs w:val="20"/>
          <w:color w:val="auto"/>
        </w:rPr>
      </w:pPr>
      <w:r>
        <w:rPr>
          <w:rFonts w:ascii="Arial" w:cs="Arial" w:eastAsia="Arial" w:hAnsi="Arial"/>
          <w:sz w:val="20"/>
          <w:szCs w:val="20"/>
          <w:color w:val="231F20"/>
        </w:rPr>
        <w:t>MP0533 is being evaluated in a Phase 1/2a clinical trial for relapsed/refractory acute myeloid leukemia (AML) and myelodysplastic syndrome/AML (NCT05673057), with the dose escalation part fully recruited (10 cohorts). Last patients are on treatment, including two patients in remission for over one year who reached minimal residual disease (MRD) negativity.</w:t>
      </w:r>
    </w:p>
    <w:p>
      <w:pPr>
        <w:spacing w:after="0" w:line="210" w:lineRule="exact"/>
        <w:rPr>
          <w:sz w:val="20"/>
          <w:szCs w:val="20"/>
          <w:color w:val="auto"/>
        </w:rPr>
      </w:pPr>
    </w:p>
    <w:p>
      <w:pPr>
        <w:ind w:right="280"/>
        <w:spacing w:after="0" w:line="297" w:lineRule="auto"/>
        <w:rPr>
          <w:sz w:val="20"/>
          <w:szCs w:val="20"/>
          <w:color w:val="auto"/>
        </w:rPr>
      </w:pPr>
      <w:r>
        <w:rPr>
          <w:rFonts w:ascii="Arial" w:cs="Arial" w:eastAsia="Arial" w:hAnsi="Arial"/>
          <w:sz w:val="20"/>
          <w:szCs w:val="20"/>
          <w:color w:val="231F20"/>
        </w:rPr>
        <w:t>Data presented at the 2025 American Society of Hematology (ASH) Annual Meeting showed an acceptable safety profile for MP0533 monotherapy across all 9 reported treatment cohorts. The pooled data from these 9 cohorts, comprising relapsed/refractory patients, indicate preliminary clinical activity for MP0533 independent of genetic risk profile, in particular in patients with low bone marrow blast count at baseline across different treatment cohorts.</w:t>
      </w:r>
    </w:p>
    <w:p>
      <w:pPr>
        <w:sectPr>
          <w:pgSz w:w="11900" w:h="16838" w:orient="portrait"/>
          <w:cols w:equalWidth="0" w:num="1">
            <w:col w:w="11240"/>
          </w:cols>
          <w:pgMar w:left="320" w:top="1440" w:right="339" w:bottom="1440" w:gutter="0" w:footer="0" w:header="0"/>
        </w:sectPr>
      </w:pPr>
    </w:p>
    <w:bookmarkStart w:id="6" w:name="page7"/>
    <w:bookmarkEnd w:id="6"/>
    <w:p>
      <w:pPr>
        <w:spacing w:after="0" w:line="200" w:lineRule="exact"/>
        <w:rPr>
          <w:sz w:val="20"/>
          <w:szCs w:val="20"/>
          <w:color w:val="auto"/>
        </w:rPr>
      </w:pPr>
    </w:p>
    <w:p>
      <w:pPr>
        <w:spacing w:after="0" w:line="395" w:lineRule="exact"/>
        <w:rPr>
          <w:sz w:val="20"/>
          <w:szCs w:val="20"/>
          <w:color w:val="auto"/>
        </w:rPr>
      </w:pPr>
    </w:p>
    <w:p>
      <w:pPr>
        <w:ind w:right="280"/>
        <w:spacing w:after="0" w:line="305" w:lineRule="auto"/>
        <w:rPr>
          <w:sz w:val="20"/>
          <w:szCs w:val="20"/>
          <w:color w:val="auto"/>
        </w:rPr>
      </w:pPr>
      <w:r>
        <w:rPr>
          <w:rFonts w:ascii="Arial" w:cs="Arial" w:eastAsia="Arial" w:hAnsi="Arial"/>
          <w:sz w:val="20"/>
          <w:szCs w:val="20"/>
          <w:color w:val="231F20"/>
        </w:rPr>
        <w:t>Initial data from cohort 10 are in line with cohorts 1-9 findings and will contribute to defining a recommended dose range for MP0533. The results of this study support the exploration of MP0533 in combination with other AML therapies, and Molecular Partners has been approached by several consortia expressing interest in conducting such studies.</w:t>
      </w:r>
    </w:p>
    <w:p>
      <w:pPr>
        <w:spacing w:after="0" w:line="190" w:lineRule="exact"/>
        <w:rPr>
          <w:sz w:val="20"/>
          <w:szCs w:val="20"/>
          <w:color w:val="auto"/>
        </w:rPr>
      </w:pPr>
    </w:p>
    <w:p>
      <w:pPr>
        <w:ind w:right="200"/>
        <w:spacing w:after="0" w:line="297" w:lineRule="auto"/>
        <w:rPr>
          <w:sz w:val="20"/>
          <w:szCs w:val="20"/>
          <w:color w:val="auto"/>
        </w:rPr>
      </w:pPr>
      <w:r>
        <w:rPr>
          <w:rFonts w:ascii="Arial" w:cs="Arial" w:eastAsia="Arial" w:hAnsi="Arial"/>
          <w:sz w:val="20"/>
          <w:szCs w:val="20"/>
          <w:color w:val="231F20"/>
        </w:rPr>
        <w:t>MP0533 is a novel tetra-specific T cell-engaging DARPin designed for selective and broad killing of AML cells in a mutation-agnostic manner. MP0533’s mode of action enables T cell-mediated killing of AML cells – which commonly co-express at least two of the three targeted antigens (CD33, CD123, CD70) – while preserving a therapeutic window that minimizes damage to healthy cells, which normally express one or none of the targets.</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MP0632 and Switch-DARPin Platform (logic-gated immune cell engagers)</w:t>
      </w:r>
    </w:p>
    <w:p>
      <w:pPr>
        <w:spacing w:after="0" w:line="299" w:lineRule="exact"/>
        <w:rPr>
          <w:sz w:val="20"/>
          <w:szCs w:val="20"/>
          <w:color w:val="auto"/>
        </w:rPr>
      </w:pPr>
    </w:p>
    <w:p>
      <w:pPr>
        <w:spacing w:after="0" w:line="291" w:lineRule="auto"/>
        <w:rPr>
          <w:sz w:val="20"/>
          <w:szCs w:val="20"/>
          <w:color w:val="auto"/>
        </w:rPr>
      </w:pPr>
      <w:r>
        <w:rPr>
          <w:rFonts w:ascii="Arial" w:cs="Arial" w:eastAsia="Arial" w:hAnsi="Arial"/>
          <w:sz w:val="20"/>
          <w:szCs w:val="20"/>
          <w:color w:val="auto"/>
        </w:rPr>
        <w:t>Molecular Partners presented new pre-clinical data on its Switch-DARPin T cell engager, with MP0632 announced as lead, at the American Association for Cancer Research (AACR) Annual Meeting in April 2026. These data support proof-of-concept of the Switch-DARPin design, showing that MP0632 leads to regression of established tumors expressing both EpCAM and MSLN, with minimal impact on tumors expressing only one of the antigens, thereby indicating a favorable therapeutic window. In addition, MP0632 allowed for safe use of potent CD2 co-stimulation for efficient tumor cell killing with low cytokine release profile. The data support MP0632’s potential as clinical lead candidate for the treatment of solid cancers expressing MSLN and EpCAM, including ovarian, endometrial, pancreatic, and other cancers.</w:t>
      </w:r>
    </w:p>
    <w:p>
      <w:pPr>
        <w:spacing w:after="0" w:line="208" w:lineRule="exact"/>
        <w:rPr>
          <w:sz w:val="20"/>
          <w:szCs w:val="20"/>
          <w:color w:val="auto"/>
        </w:rPr>
      </w:pPr>
    </w:p>
    <w:p>
      <w:pPr>
        <w:ind w:right="220"/>
        <w:spacing w:after="0" w:line="301" w:lineRule="auto"/>
        <w:rPr>
          <w:sz w:val="20"/>
          <w:szCs w:val="20"/>
          <w:color w:val="auto"/>
        </w:rPr>
      </w:pPr>
      <w:r>
        <w:rPr>
          <w:rFonts w:ascii="Arial" w:cs="Arial" w:eastAsia="Arial" w:hAnsi="Arial"/>
          <w:sz w:val="20"/>
          <w:szCs w:val="20"/>
          <w:color w:val="231F20"/>
        </w:rPr>
        <w:t>MP0632 is a logic-gated Switch-DARPin T-cell engager (TCE), designed to achieve conditional tumor-localized immune activation targeting MSLN and EpCAM, which are highly co-expressed in ovarian cancer and other solid tumors. The CD3-engaging DARPin is unmasked (“Switched” on) and activates T cells only upon binding to both MSLN and EpCAM. MP0632 is half-life extended through a Fc domain, which broadens the Company’s capabilities in half-life engineering modalities.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Corporate Governance Highlights</w:t>
      </w:r>
    </w:p>
    <w:p>
      <w:pPr>
        <w:spacing w:after="0" w:line="285" w:lineRule="exact"/>
        <w:rPr>
          <w:sz w:val="20"/>
          <w:szCs w:val="20"/>
          <w:color w:val="auto"/>
        </w:rPr>
      </w:pPr>
    </w:p>
    <w:p>
      <w:pPr>
        <w:ind w:right="40"/>
        <w:spacing w:after="0" w:line="328" w:lineRule="auto"/>
        <w:rPr>
          <w:sz w:val="20"/>
          <w:szCs w:val="20"/>
          <w:color w:val="auto"/>
        </w:rPr>
      </w:pPr>
      <w:r>
        <w:rPr>
          <w:rFonts w:ascii="Arial" w:cs="Arial" w:eastAsia="Arial" w:hAnsi="Arial"/>
          <w:sz w:val="20"/>
          <w:szCs w:val="20"/>
          <w:color w:val="231F20"/>
        </w:rPr>
        <w:t>All motions proposed by the Board of Directors at the Annual General Meeting, held in April, were approved by the shareholders of the Company by a wide majority.</w:t>
      </w:r>
    </w:p>
    <w:p>
      <w:pPr>
        <w:spacing w:after="0" w:line="168" w:lineRule="exact"/>
        <w:rPr>
          <w:sz w:val="20"/>
          <w:szCs w:val="20"/>
          <w:color w:val="auto"/>
        </w:rPr>
      </w:pPr>
    </w:p>
    <w:p>
      <w:pPr>
        <w:ind w:right="80"/>
        <w:spacing w:after="0" w:line="297" w:lineRule="auto"/>
        <w:rPr>
          <w:sz w:val="20"/>
          <w:szCs w:val="20"/>
          <w:color w:val="auto"/>
        </w:rPr>
      </w:pPr>
      <w:r>
        <w:rPr>
          <w:rFonts w:ascii="Arial" w:cs="Arial" w:eastAsia="Arial" w:hAnsi="Arial"/>
          <w:sz w:val="20"/>
          <w:szCs w:val="20"/>
          <w:color w:val="231F20"/>
        </w:rPr>
        <w:t>This included the election of Clare Fisher by shareholders to the Board of Directors. Clare Fisher has more than two decades of healthcare experience in leadership roles, including corporate and business development, mergers and acquisitions, and strategy. She is currently the SVP for Global Business Development and M&amp;A at BeOne Medicines, a global oncology company committed to discovering and developing innovative treatments for cancer patients worldwide.</w:t>
      </w:r>
    </w:p>
    <w:p>
      <w:pPr>
        <w:sectPr>
          <w:pgSz w:w="11900" w:h="16838" w:orient="portrait"/>
          <w:cols w:equalWidth="0" w:num="1">
            <w:col w:w="11240"/>
          </w:cols>
          <w:pgMar w:left="320" w:top="1440" w:right="339" w:bottom="1440" w:gutter="0" w:footer="0" w:header="0"/>
        </w:sectPr>
      </w:pPr>
    </w:p>
    <w:bookmarkStart w:id="7" w:name="page8"/>
    <w:bookmarkEnd w:id="7"/>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Financial and Business Outlook</w:t>
      </w:r>
    </w:p>
    <w:p>
      <w:pPr>
        <w:spacing w:after="0" w:line="285" w:lineRule="exact"/>
        <w:rPr>
          <w:sz w:val="20"/>
          <w:szCs w:val="20"/>
          <w:color w:val="auto"/>
        </w:rPr>
      </w:pPr>
    </w:p>
    <w:p>
      <w:pPr>
        <w:ind w:right="200"/>
        <w:spacing w:after="0" w:line="305" w:lineRule="auto"/>
        <w:rPr>
          <w:sz w:val="20"/>
          <w:szCs w:val="20"/>
          <w:color w:val="auto"/>
        </w:rPr>
      </w:pPr>
      <w:r>
        <w:rPr>
          <w:rFonts w:ascii="Arial" w:cs="Arial" w:eastAsia="Arial" w:hAnsi="Arial"/>
          <w:sz w:val="20"/>
          <w:szCs w:val="20"/>
          <w:color w:val="auto"/>
        </w:rPr>
        <w:t>The Company's cash and cash equivalents and short-term time deposits were CHF 79 million (approximately USD 100 million) as of March 31, 2026, which, based on current operating assumptions, will be sufficient to fund its operations and capital requirements into late 2027 (previously early 2028) with increased R&amp;D investment in an expanding pipeline.</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Calendar</w:t>
      </w:r>
    </w:p>
    <w:p>
      <w:pPr>
        <w:spacing w:after="0" w:line="300" w:lineRule="exact"/>
        <w:rPr>
          <w:sz w:val="20"/>
          <w:szCs w:val="20"/>
          <w:color w:val="auto"/>
        </w:rPr>
      </w:pPr>
    </w:p>
    <w:tbl>
      <w:tblPr>
        <w:tblLayout w:type="fixed"/>
        <w:tblInd w:w="10" w:type="dxa"/>
        <w:tblCellMar>
          <w:top w:w="0" w:type="dxa"/>
          <w:left w:w="0" w:type="dxa"/>
          <w:bottom w:w="0" w:type="dxa"/>
          <w:right w:w="0" w:type="dxa"/>
        </w:tblCellMar>
      </w:tblPr>
      <w:tr>
        <w:trPr>
          <w:trHeight w:val="307"/>
        </w:trPr>
        <w:tc>
          <w:tcPr>
            <w:tcW w:w="270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August 25, 2026</w:t>
            </w:r>
          </w:p>
        </w:tc>
        <w:tc>
          <w:tcPr>
            <w:tcW w:w="856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Half-year results 2026</w:t>
            </w:r>
          </w:p>
        </w:tc>
      </w:tr>
      <w:tr>
        <w:trPr>
          <w:trHeight w:val="31"/>
        </w:trPr>
        <w:tc>
          <w:tcPr>
            <w:tcW w:w="2700" w:type="dxa"/>
            <w:vAlign w:val="bottom"/>
            <w:tcBorders>
              <w:left w:val="single" w:sz="8" w:color="auto"/>
              <w:bottom w:val="single" w:sz="8" w:color="auto"/>
              <w:right w:val="single" w:sz="8" w:color="auto"/>
            </w:tcBorders>
          </w:tcPr>
          <w:p>
            <w:pPr>
              <w:spacing w:after="0"/>
              <w:rPr>
                <w:sz w:val="2"/>
                <w:szCs w:val="2"/>
                <w:color w:val="auto"/>
              </w:rPr>
            </w:pPr>
          </w:p>
        </w:tc>
        <w:tc>
          <w:tcPr>
            <w:tcW w:w="8560" w:type="dxa"/>
            <w:vAlign w:val="bottom"/>
            <w:tcBorders>
              <w:bottom w:val="single" w:sz="8" w:color="auto"/>
              <w:right w:val="single" w:sz="8" w:color="auto"/>
            </w:tcBorders>
          </w:tcPr>
          <w:p>
            <w:pPr>
              <w:spacing w:after="0"/>
              <w:rPr>
                <w:sz w:val="2"/>
                <w:szCs w:val="2"/>
                <w:color w:val="auto"/>
              </w:rPr>
            </w:pPr>
          </w:p>
        </w:tc>
      </w:tr>
      <w:tr>
        <w:trPr>
          <w:trHeight w:val="287"/>
        </w:trPr>
        <w:tc>
          <w:tcPr>
            <w:tcW w:w="27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October 29, 2026</w:t>
            </w:r>
          </w:p>
        </w:tc>
        <w:tc>
          <w:tcPr>
            <w:tcW w:w="85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Interim Management Statement Q3 2026 (unaudited)</w:t>
            </w:r>
          </w:p>
        </w:tc>
      </w:tr>
      <w:tr>
        <w:trPr>
          <w:trHeight w:val="31"/>
        </w:trPr>
        <w:tc>
          <w:tcPr>
            <w:tcW w:w="2700" w:type="dxa"/>
            <w:vAlign w:val="bottom"/>
            <w:tcBorders>
              <w:left w:val="single" w:sz="8" w:color="auto"/>
              <w:bottom w:val="single" w:sz="8" w:color="auto"/>
              <w:right w:val="single" w:sz="8" w:color="auto"/>
            </w:tcBorders>
          </w:tcPr>
          <w:p>
            <w:pPr>
              <w:spacing w:after="0"/>
              <w:rPr>
                <w:sz w:val="2"/>
                <w:szCs w:val="2"/>
                <w:color w:val="auto"/>
              </w:rPr>
            </w:pPr>
          </w:p>
        </w:tc>
        <w:tc>
          <w:tcPr>
            <w:tcW w:w="8560" w:type="dxa"/>
            <w:vAlign w:val="bottom"/>
            <w:tcBorders>
              <w:bottom w:val="single" w:sz="8" w:color="auto"/>
              <w:right w:val="single" w:sz="8" w:color="auto"/>
            </w:tcBorders>
          </w:tcPr>
          <w:p>
            <w:pPr>
              <w:spacing w:after="0"/>
              <w:rPr>
                <w:sz w:val="2"/>
                <w:szCs w:val="2"/>
                <w:color w:val="auto"/>
              </w:rPr>
            </w:pPr>
          </w:p>
        </w:tc>
      </w:tr>
    </w:tbl>
    <w:p>
      <w:pPr>
        <w:spacing w:after="0" w:line="329" w:lineRule="exact"/>
        <w:rPr>
          <w:sz w:val="20"/>
          <w:szCs w:val="20"/>
          <w:color w:val="auto"/>
        </w:rPr>
      </w:pPr>
    </w:p>
    <w:p>
      <w:pPr>
        <w:spacing w:after="0"/>
        <w:rPr>
          <w:sz w:val="20"/>
          <w:szCs w:val="20"/>
          <w:color w:val="auto"/>
        </w:rPr>
      </w:pPr>
      <w:r>
        <w:rPr>
          <w:rFonts w:ascii="Arial" w:cs="Arial" w:eastAsia="Arial" w:hAnsi="Arial"/>
          <w:sz w:val="20"/>
          <w:szCs w:val="20"/>
          <w:color w:val="auto"/>
        </w:rPr>
        <w:t>The latest timing of the above events can be viewed on the investor section of the website.</w:t>
      </w:r>
    </w:p>
    <w:p>
      <w:pPr>
        <w:spacing w:after="0" w:line="295"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About DARPin Therapeutics</w:t>
      </w:r>
    </w:p>
    <w:p>
      <w:pPr>
        <w:spacing w:after="0" w:line="43" w:lineRule="exact"/>
        <w:rPr>
          <w:sz w:val="20"/>
          <w:szCs w:val="20"/>
          <w:color w:val="auto"/>
        </w:rPr>
      </w:pPr>
    </w:p>
    <w:p>
      <w:pPr>
        <w:ind w:right="40"/>
        <w:spacing w:after="0" w:line="307" w:lineRule="auto"/>
        <w:rPr>
          <w:sz w:val="20"/>
          <w:szCs w:val="20"/>
          <w:color w:val="auto"/>
        </w:rPr>
      </w:pPr>
      <w:r>
        <w:rPr>
          <w:rFonts w:ascii="Arial" w:cs="Arial" w:eastAsia="Arial" w:hAnsi="Arial"/>
          <w:sz w:val="19"/>
          <w:szCs w:val="19"/>
          <w:color w:val="231F20"/>
        </w:rPr>
        <w:t>DARPin (Designed Ankyrin Repeat Protein) therapeutics are a novel class of protein drugs based on natural binding proteins, which have been clinically-validated across several therapeutic areas and developed through to the registrational stage. The key properties of DARPins – intrinsic potential for high affinity and specificity, as well as small size, flexible architecture, and high stability – offer unmatched advantages to drug design, such as multispecificity, broad target range, and tunable half-life. The Company’s Radio-DARPins enable highly effective and specific delivery of potent radioactive payloads to tumor lesions while sparing healthy tissues. Molecular Partners’ Switch-DARPins allow conditional, tumor-localized immune activation, which enables increased safety and potency for next-generation immune cell engagers. Powered by twenty years of DARPin leadership, Molecular Partners has built an innovative, rapid and cost-effective DARPin drug design engine, including proprietary DARPin libraries and platforms, for candidates produced with optimized properties and tailored to therapeutic needs.</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About Molecular Partners AG</w:t>
      </w:r>
    </w:p>
    <w:p>
      <w:pPr>
        <w:spacing w:after="0" w:line="56" w:lineRule="exact"/>
        <w:rPr>
          <w:sz w:val="20"/>
          <w:szCs w:val="20"/>
          <w:color w:val="auto"/>
        </w:rPr>
      </w:pPr>
    </w:p>
    <w:p>
      <w:pPr>
        <w:ind w:right="120"/>
        <w:spacing w:after="0" w:line="290" w:lineRule="auto"/>
        <w:rPr>
          <w:sz w:val="20"/>
          <w:szCs w:val="20"/>
          <w:color w:val="auto"/>
        </w:rPr>
      </w:pPr>
      <w:r>
        <w:rPr>
          <w:rFonts w:ascii="Arial" w:cs="Arial" w:eastAsia="Arial" w:hAnsi="Arial"/>
          <w:sz w:val="20"/>
          <w:szCs w:val="20"/>
          <w:color w:val="auto"/>
        </w:rPr>
        <w:t>Molecular Partners AG (SIX: MOLN, NASDAQ: MOLN) is a clinical-stage biotech company pioneering a novel class of protein drugs known as DARPin therapeutics, for medical challenges other treatment modalities cannot readily address. Molecular Partners leverages the key properties of DARPins to design and develop differentiated therapeutics for cancer patients, including targeted radiopharmaceuticals and next-generation immune cell engagers. The Company has proprietary programs in various stages of pre-clinical and clinical development, as well as programs developed through partnerships with leading pharmaceutical companies and academic centers. Molecular Partners, founded in 2004, has offices in both Zurich, Switzerland and Concord, MA, USA. For more information, visit www.molecularpartners.com and find us on LinkedIn and Twitter / X @MolecularPrtnrs</w:t>
      </w:r>
    </w:p>
    <w:p>
      <w:pPr>
        <w:sectPr>
          <w:pgSz w:w="11900" w:h="16838" w:orient="portrait"/>
          <w:cols w:equalWidth="0" w:num="1">
            <w:col w:w="11260"/>
          </w:cols>
          <w:pgMar w:left="320" w:top="1440" w:right="319" w:bottom="1440" w:gutter="0" w:footer="0" w:header="0"/>
        </w:sectPr>
      </w:pPr>
    </w:p>
    <w:bookmarkStart w:id="8" w:name="page9"/>
    <w:bookmarkEnd w:id="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For further details, please contact:</w:t>
      </w:r>
    </w:p>
    <w:p>
      <w:pPr>
        <w:spacing w:after="0" w:line="110" w:lineRule="exact"/>
        <w:rPr>
          <w:sz w:val="20"/>
          <w:szCs w:val="20"/>
          <w:color w:val="auto"/>
        </w:rPr>
      </w:pPr>
    </w:p>
    <w:p>
      <w:pPr>
        <w:spacing w:after="0"/>
        <w:rPr>
          <w:sz w:val="20"/>
          <w:szCs w:val="20"/>
          <w:color w:val="auto"/>
        </w:rPr>
      </w:pPr>
      <w:r>
        <w:rPr>
          <w:rFonts w:ascii="Arial" w:cs="Arial" w:eastAsia="Arial" w:hAnsi="Arial"/>
          <w:sz w:val="20"/>
          <w:szCs w:val="20"/>
          <w:color w:val="auto"/>
        </w:rPr>
        <w:t>Seth Lewis, EVP Corporate Finance</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Concord, Massachusetts, U.S.</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seth.lewis@molecularpartners.com</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Tel: +1 781 420 2361</w:t>
      </w:r>
    </w:p>
    <w:p>
      <w:pPr>
        <w:spacing w:after="0" w:line="351" w:lineRule="exact"/>
        <w:rPr>
          <w:sz w:val="20"/>
          <w:szCs w:val="20"/>
          <w:color w:val="auto"/>
        </w:rPr>
      </w:pPr>
    </w:p>
    <w:p>
      <w:pPr>
        <w:spacing w:after="0"/>
        <w:rPr>
          <w:sz w:val="20"/>
          <w:szCs w:val="20"/>
          <w:color w:val="auto"/>
        </w:rPr>
      </w:pPr>
      <w:r>
        <w:rPr>
          <w:rFonts w:ascii="Arial" w:cs="Arial" w:eastAsia="Arial" w:hAnsi="Arial"/>
          <w:sz w:val="20"/>
          <w:szCs w:val="20"/>
          <w:color w:val="auto"/>
        </w:rPr>
        <w:t>Laura Jeanbart, PhD, Head of Portfolio Management &amp; Communications</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Zurich-Schlieren, Switzerland</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laura.jeanbart@molecularpartners.com</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Tel: +41 44 575 19 35</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66"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This press release contains forward looking statements. Any statements contained in this press release that do not describe historical facts may constitute forward-looking statements as that term is defined in the Private Securities Litigation Reform Act of 1995, as amended, including without limitation: implied and express statements regarding the clinical development of Molecular Partners’ current or future product candidates; expectations regarding timing for reporting data from ongoing clinical trials or the initiation of future clinical trials; the potential therapeutic and clinical benefits of Molecular Partners’ product candidates and its RDT and Switch-DARPin platforms; the selection and development of future programs; Molecular Partners’ collaboration with Orano Med including the benefits and results that may be achieved through the collaboration; and Molecular Partners’ expected business and financial outlook, including anticipated expenses and cash utilization for 2026 and its expectation of its current cash runway. These statements may be identified by words such as “aim”, "anticipate", “expect”, “guidance”, “intend”, “outlook”, “plan”, “potential”, “will” and similar expressions, and are based on Molecular Partners’ current beliefs and expectations. These statements involve risks and uncertainties that could cause actual results to differ materially from those reflected in such statements. Some of the key factors that could cause actual results to differ from Molecular Partners’ expectations include, but are not limited to, those set forth in under the heading “Risk Factors” in Molecular Partners’ Annual Report on Form 20-F for the year ended December 31, 2025 and other filings Molecular Partners makes with the SEC from time to time. These documents are available on the Investors page of Molecular Partners’ website at www.molecularpartners.com. In addition, this press release contains information relating to interim data as of the relevant data cutoff date, results of which may differ from topline results that may be obtained in the future.</w:t>
      </w:r>
    </w:p>
    <w:p>
      <w:pPr>
        <w:spacing w:after="0" w:line="181" w:lineRule="exact"/>
        <w:rPr>
          <w:sz w:val="20"/>
          <w:szCs w:val="20"/>
          <w:color w:val="auto"/>
        </w:rPr>
      </w:pPr>
    </w:p>
    <w:p>
      <w:pPr>
        <w:spacing w:after="0" w:line="308" w:lineRule="auto"/>
        <w:rPr>
          <w:sz w:val="20"/>
          <w:szCs w:val="20"/>
          <w:color w:val="auto"/>
        </w:rPr>
      </w:pPr>
      <w:r>
        <w:rPr>
          <w:rFonts w:ascii="Arial" w:cs="Arial" w:eastAsia="Arial" w:hAnsi="Arial"/>
          <w:sz w:val="18"/>
          <w:szCs w:val="18"/>
          <w:color w:val="auto"/>
        </w:rPr>
        <w:t>Any forward-looking statements speak only as of the date of this press release and are based on information available to Molecular Partners as of the date of this release, and Molecular Partners assumes no obligation to, and does not intend to, update any forward-looking statements, whether as a result of new information, future events or otherwise.</w:t>
      </w:r>
    </w:p>
    <w:p>
      <w:pPr>
        <w:sectPr>
          <w:pgSz w:w="11900" w:h="16838" w:orient="portrait"/>
          <w:cols w:equalWidth="0" w:num="1">
            <w:col w:w="11140"/>
          </w:cols>
          <w:pgMar w:left="320" w:top="1440" w:right="439" w:bottom="1440" w:gutter="0" w:footer="0" w:header="0"/>
        </w:sectPr>
      </w:pPr>
    </w:p>
    <w:bookmarkStart w:id="9" w:name="page10"/>
    <w:bookmarkEnd w:id="9"/>
    <w:p>
      <w:pPr>
        <w:spacing w:after="0" w:line="184" w:lineRule="exact"/>
        <w:rPr>
          <w:sz w:val="20"/>
          <w:szCs w:val="20"/>
          <w:color w:val="auto"/>
        </w:rPr>
      </w:pPr>
    </w:p>
    <w:p>
      <w:pPr>
        <w:spacing w:after="0"/>
        <w:rPr>
          <w:sz w:val="20"/>
          <w:szCs w:val="20"/>
          <w:color w:val="auto"/>
        </w:rPr>
      </w:pPr>
      <w:r>
        <w:rPr>
          <w:rFonts w:ascii="Arial" w:cs="Arial" w:eastAsia="Arial" w:hAnsi="Arial"/>
          <w:sz w:val="32"/>
          <w:szCs w:val="32"/>
          <w:color w:val="163E66"/>
        </w:rPr>
        <w:t>Condensed consolidated interim financial statements (unaudited)</w:t>
      </w:r>
    </w:p>
    <w:p>
      <w:pPr>
        <w:sectPr>
          <w:pgSz w:w="11900" w:h="16838" w:orient="portrait"/>
          <w:cols w:equalWidth="0" w:num="1">
            <w:col w:w="10139"/>
          </w:cols>
          <w:pgMar w:left="320" w:top="1440" w:right="1440"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43"/>
        </w:trPr>
        <w:tc>
          <w:tcPr>
            <w:tcW w:w="5660" w:type="dxa"/>
            <w:vAlign w:val="bottom"/>
          </w:tcPr>
          <w:p>
            <w:pPr>
              <w:ind w:left="20"/>
              <w:spacing w:after="0"/>
              <w:rPr>
                <w:sz w:val="20"/>
                <w:szCs w:val="20"/>
                <w:color w:val="auto"/>
              </w:rPr>
            </w:pPr>
            <w:r>
              <w:rPr>
                <w:rFonts w:ascii="Arial" w:cs="Arial" w:eastAsia="Arial" w:hAnsi="Arial"/>
                <w:sz w:val="20"/>
                <w:szCs w:val="20"/>
                <w:color w:val="auto"/>
              </w:rPr>
              <w:t>Condensed consolidated interim statement of financial position</w:t>
            </w:r>
          </w:p>
        </w:tc>
        <w:tc>
          <w:tcPr>
            <w:tcW w:w="1160" w:type="dxa"/>
            <w:vAlign w:val="bottom"/>
          </w:tcPr>
          <w:p>
            <w:pPr>
              <w:spacing w:after="0"/>
              <w:rPr>
                <w:sz w:val="21"/>
                <w:szCs w:val="21"/>
                <w:color w:val="auto"/>
              </w:rPr>
            </w:pPr>
          </w:p>
        </w:tc>
        <w:tc>
          <w:tcPr>
            <w:tcW w:w="2340" w:type="dxa"/>
            <w:vAlign w:val="bottom"/>
            <w:vMerge w:val="restart"/>
          </w:tcPr>
          <w:p>
            <w:pPr>
              <w:jc w:val="right"/>
              <w:ind w:right="241"/>
              <w:spacing w:after="0"/>
              <w:rPr>
                <w:sz w:val="20"/>
                <w:szCs w:val="20"/>
                <w:color w:val="auto"/>
              </w:rPr>
            </w:pPr>
            <w:r>
              <w:rPr>
                <w:rFonts w:ascii="Arial" w:cs="Arial" w:eastAsia="Arial" w:hAnsi="Arial"/>
                <w:sz w:val="20"/>
                <w:szCs w:val="20"/>
                <w:color w:val="auto"/>
              </w:rPr>
              <w:t>March 31, 2026</w:t>
            </w:r>
          </w:p>
        </w:tc>
        <w:tc>
          <w:tcPr>
            <w:tcW w:w="2080" w:type="dxa"/>
            <w:vAlign w:val="bottom"/>
            <w:vMerge w:val="restart"/>
          </w:tcPr>
          <w:p>
            <w:pPr>
              <w:jc w:val="right"/>
              <w:spacing w:after="0"/>
              <w:rPr>
                <w:sz w:val="20"/>
                <w:szCs w:val="20"/>
                <w:color w:val="auto"/>
              </w:rPr>
            </w:pPr>
            <w:r>
              <w:rPr>
                <w:rFonts w:ascii="Arial" w:cs="Arial" w:eastAsia="Arial" w:hAnsi="Arial"/>
                <w:sz w:val="20"/>
                <w:szCs w:val="20"/>
                <w:color w:val="auto"/>
              </w:rPr>
              <w:t>December 31, 2025</w:t>
            </w:r>
          </w:p>
        </w:tc>
        <w:tc>
          <w:tcPr>
            <w:tcW w:w="0" w:type="dxa"/>
            <w:vAlign w:val="bottom"/>
          </w:tcPr>
          <w:p>
            <w:pPr>
              <w:spacing w:after="0"/>
              <w:rPr>
                <w:sz w:val="1"/>
                <w:szCs w:val="1"/>
                <w:color w:val="auto"/>
              </w:rPr>
            </w:pPr>
          </w:p>
        </w:tc>
      </w:tr>
      <w:tr>
        <w:trPr>
          <w:trHeight w:val="261"/>
        </w:trPr>
        <w:tc>
          <w:tcPr>
            <w:tcW w:w="5660" w:type="dxa"/>
            <w:vAlign w:val="bottom"/>
          </w:tcPr>
          <w:p>
            <w:pPr>
              <w:ind w:left="20"/>
              <w:spacing w:after="0"/>
              <w:rPr>
                <w:sz w:val="20"/>
                <w:szCs w:val="20"/>
                <w:color w:val="auto"/>
              </w:rPr>
            </w:pPr>
            <w:r>
              <w:rPr>
                <w:rFonts w:ascii="Arial" w:cs="Arial" w:eastAsia="Arial" w:hAnsi="Arial"/>
                <w:sz w:val="20"/>
                <w:szCs w:val="20"/>
                <w:color w:val="auto"/>
              </w:rPr>
              <w:t>as of</w:t>
            </w:r>
          </w:p>
        </w:tc>
        <w:tc>
          <w:tcPr>
            <w:tcW w:w="1160" w:type="dxa"/>
            <w:vAlign w:val="bottom"/>
          </w:tcPr>
          <w:p>
            <w:pPr>
              <w:spacing w:after="0"/>
              <w:rPr>
                <w:sz w:val="22"/>
                <w:szCs w:val="22"/>
                <w:color w:val="auto"/>
              </w:rPr>
            </w:pPr>
          </w:p>
        </w:tc>
        <w:tc>
          <w:tcPr>
            <w:tcW w:w="2340" w:type="dxa"/>
            <w:vAlign w:val="bottom"/>
            <w:vMerge w:val="continue"/>
          </w:tcPr>
          <w:p>
            <w:pPr>
              <w:spacing w:after="0"/>
              <w:rPr>
                <w:sz w:val="22"/>
                <w:szCs w:val="22"/>
                <w:color w:val="auto"/>
              </w:rPr>
            </w:pPr>
          </w:p>
        </w:tc>
        <w:tc>
          <w:tcPr>
            <w:tcW w:w="20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5660" w:type="dxa"/>
            <w:vAlign w:val="bottom"/>
            <w:tcBorders>
              <w:bottom w:val="single" w:sz="8" w:color="BF2115"/>
            </w:tcBorders>
          </w:tcPr>
          <w:p>
            <w:pPr>
              <w:spacing w:after="0"/>
              <w:rPr>
                <w:sz w:val="20"/>
                <w:szCs w:val="20"/>
                <w:color w:val="auto"/>
              </w:rPr>
            </w:pPr>
          </w:p>
        </w:tc>
        <w:tc>
          <w:tcPr>
            <w:tcW w:w="1160" w:type="dxa"/>
            <w:vAlign w:val="bottom"/>
            <w:tcBorders>
              <w:bottom w:val="single" w:sz="8" w:color="BF2115"/>
            </w:tcBorders>
          </w:tcPr>
          <w:p>
            <w:pPr>
              <w:spacing w:after="0"/>
              <w:rPr>
                <w:sz w:val="20"/>
                <w:szCs w:val="20"/>
                <w:color w:val="auto"/>
              </w:rPr>
            </w:pPr>
          </w:p>
        </w:tc>
        <w:tc>
          <w:tcPr>
            <w:tcW w:w="2340" w:type="dxa"/>
            <w:vAlign w:val="bottom"/>
            <w:tcBorders>
              <w:bottom w:val="single" w:sz="8" w:color="BF2115"/>
            </w:tcBorders>
          </w:tcPr>
          <w:p>
            <w:pPr>
              <w:spacing w:after="0"/>
              <w:rPr>
                <w:sz w:val="20"/>
                <w:szCs w:val="20"/>
                <w:color w:val="auto"/>
              </w:rPr>
            </w:pPr>
          </w:p>
        </w:tc>
        <w:tc>
          <w:tcPr>
            <w:tcW w:w="2080" w:type="dxa"/>
            <w:vAlign w:val="bottom"/>
            <w:tcBorders>
              <w:bottom w:val="single" w:sz="8" w:color="BF2115"/>
            </w:tcBorders>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5660" w:type="dxa"/>
            <w:vAlign w:val="bottom"/>
          </w:tcPr>
          <w:p>
            <w:pPr>
              <w:ind w:left="20"/>
              <w:spacing w:after="0"/>
              <w:rPr>
                <w:sz w:val="20"/>
                <w:szCs w:val="20"/>
                <w:color w:val="auto"/>
              </w:rPr>
            </w:pPr>
            <w:r>
              <w:rPr>
                <w:rFonts w:ascii="Arial" w:cs="Arial" w:eastAsia="Arial" w:hAnsi="Arial"/>
                <w:sz w:val="20"/>
                <w:szCs w:val="20"/>
                <w:color w:val="auto"/>
              </w:rPr>
              <w:t>in CHF thousands</w:t>
            </w:r>
          </w:p>
        </w:tc>
        <w:tc>
          <w:tcPr>
            <w:tcW w:w="1160" w:type="dxa"/>
            <w:vAlign w:val="bottom"/>
          </w:tcPr>
          <w:p>
            <w:pPr>
              <w:jc w:val="center"/>
              <w:ind w:right="361"/>
              <w:spacing w:after="0"/>
              <w:rPr>
                <w:sz w:val="20"/>
                <w:szCs w:val="20"/>
                <w:color w:val="auto"/>
              </w:rPr>
            </w:pPr>
            <w:r>
              <w:rPr>
                <w:rFonts w:ascii="Arial" w:cs="Arial" w:eastAsia="Arial" w:hAnsi="Arial"/>
                <w:sz w:val="20"/>
                <w:szCs w:val="20"/>
                <w:color w:val="auto"/>
                <w:w w:val="99"/>
              </w:rPr>
              <w:t>Note</w:t>
            </w:r>
          </w:p>
        </w:tc>
        <w:tc>
          <w:tcPr>
            <w:tcW w:w="234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83"/>
        </w:trPr>
        <w:tc>
          <w:tcPr>
            <w:tcW w:w="5660" w:type="dxa"/>
            <w:vAlign w:val="bottom"/>
          </w:tcPr>
          <w:p>
            <w:pPr>
              <w:ind w:left="20"/>
              <w:spacing w:after="0"/>
              <w:rPr>
                <w:sz w:val="20"/>
                <w:szCs w:val="20"/>
                <w:color w:val="auto"/>
              </w:rPr>
            </w:pPr>
            <w:r>
              <w:rPr>
                <w:rFonts w:ascii="Arial" w:cs="Arial" w:eastAsia="Arial" w:hAnsi="Arial"/>
                <w:sz w:val="20"/>
                <w:szCs w:val="20"/>
                <w:color w:val="auto"/>
              </w:rPr>
              <w:t>Assets</w:t>
            </w:r>
          </w:p>
        </w:tc>
        <w:tc>
          <w:tcPr>
            <w:tcW w:w="11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5660" w:type="dxa"/>
            <w:vAlign w:val="bottom"/>
          </w:tcPr>
          <w:p>
            <w:pPr>
              <w:ind w:left="20"/>
              <w:spacing w:after="0"/>
              <w:rPr>
                <w:sz w:val="20"/>
                <w:szCs w:val="20"/>
                <w:color w:val="auto"/>
              </w:rPr>
            </w:pPr>
            <w:r>
              <w:rPr>
                <w:rFonts w:ascii="Arial" w:cs="Arial" w:eastAsia="Arial" w:hAnsi="Arial"/>
                <w:sz w:val="20"/>
                <w:szCs w:val="20"/>
                <w:color w:val="auto"/>
              </w:rPr>
              <w:t>Property, plant and equipment</w:t>
            </w:r>
          </w:p>
        </w:tc>
        <w:tc>
          <w:tcPr>
            <w:tcW w:w="1160" w:type="dxa"/>
            <w:vAlign w:val="bottom"/>
          </w:tcPr>
          <w:p>
            <w:pPr>
              <w:spacing w:after="0"/>
              <w:rPr>
                <w:sz w:val="24"/>
                <w:szCs w:val="24"/>
                <w:color w:val="auto"/>
              </w:rPr>
            </w:pPr>
          </w:p>
        </w:tc>
        <w:tc>
          <w:tcPr>
            <w:tcW w:w="2340" w:type="dxa"/>
            <w:vAlign w:val="bottom"/>
          </w:tcPr>
          <w:p>
            <w:pPr>
              <w:jc w:val="right"/>
              <w:ind w:right="301"/>
              <w:spacing w:after="0"/>
              <w:rPr>
                <w:sz w:val="20"/>
                <w:szCs w:val="20"/>
                <w:color w:val="auto"/>
              </w:rPr>
            </w:pPr>
            <w:r>
              <w:rPr>
                <w:rFonts w:ascii="Arial" w:cs="Arial" w:eastAsia="Arial" w:hAnsi="Arial"/>
                <w:sz w:val="20"/>
                <w:szCs w:val="20"/>
                <w:color w:val="auto"/>
              </w:rPr>
              <w:t>4,729</w:t>
            </w:r>
          </w:p>
        </w:tc>
        <w:tc>
          <w:tcPr>
            <w:tcW w:w="2080" w:type="dxa"/>
            <w:vAlign w:val="bottom"/>
          </w:tcPr>
          <w:p>
            <w:pPr>
              <w:jc w:val="right"/>
              <w:spacing w:after="0"/>
              <w:rPr>
                <w:sz w:val="20"/>
                <w:szCs w:val="20"/>
                <w:color w:val="auto"/>
              </w:rPr>
            </w:pPr>
            <w:r>
              <w:rPr>
                <w:rFonts w:ascii="Arial" w:cs="Arial" w:eastAsia="Arial" w:hAnsi="Arial"/>
                <w:sz w:val="20"/>
                <w:szCs w:val="20"/>
                <w:color w:val="auto"/>
              </w:rPr>
              <w:t>5,229</w:t>
            </w:r>
          </w:p>
        </w:tc>
        <w:tc>
          <w:tcPr>
            <w:tcW w:w="0" w:type="dxa"/>
            <w:vAlign w:val="bottom"/>
          </w:tcPr>
          <w:p>
            <w:pPr>
              <w:spacing w:after="0"/>
              <w:rPr>
                <w:sz w:val="1"/>
                <w:szCs w:val="1"/>
                <w:color w:val="auto"/>
              </w:rPr>
            </w:pPr>
          </w:p>
        </w:tc>
      </w:tr>
      <w:tr>
        <w:trPr>
          <w:trHeight w:val="513"/>
        </w:trPr>
        <w:tc>
          <w:tcPr>
            <w:tcW w:w="5660" w:type="dxa"/>
            <w:vAlign w:val="bottom"/>
          </w:tcPr>
          <w:p>
            <w:pPr>
              <w:ind w:left="20"/>
              <w:spacing w:after="0"/>
              <w:rPr>
                <w:sz w:val="20"/>
                <w:szCs w:val="20"/>
                <w:color w:val="auto"/>
              </w:rPr>
            </w:pPr>
            <w:r>
              <w:rPr>
                <w:rFonts w:ascii="Arial" w:cs="Arial" w:eastAsia="Arial" w:hAnsi="Arial"/>
                <w:sz w:val="20"/>
                <w:szCs w:val="20"/>
                <w:color w:val="auto"/>
              </w:rPr>
              <w:t>Intangible assets</w:t>
            </w:r>
          </w:p>
        </w:tc>
        <w:tc>
          <w:tcPr>
            <w:tcW w:w="1160" w:type="dxa"/>
            <w:vAlign w:val="bottom"/>
          </w:tcPr>
          <w:p>
            <w:pPr>
              <w:spacing w:after="0"/>
              <w:rPr>
                <w:sz w:val="24"/>
                <w:szCs w:val="24"/>
                <w:color w:val="auto"/>
              </w:rPr>
            </w:pPr>
          </w:p>
        </w:tc>
        <w:tc>
          <w:tcPr>
            <w:tcW w:w="2340" w:type="dxa"/>
            <w:vAlign w:val="bottom"/>
          </w:tcPr>
          <w:p>
            <w:pPr>
              <w:jc w:val="right"/>
              <w:ind w:right="301"/>
              <w:spacing w:after="0"/>
              <w:rPr>
                <w:sz w:val="20"/>
                <w:szCs w:val="20"/>
                <w:color w:val="auto"/>
              </w:rPr>
            </w:pPr>
            <w:r>
              <w:rPr>
                <w:rFonts w:ascii="Arial" w:cs="Arial" w:eastAsia="Arial" w:hAnsi="Arial"/>
                <w:sz w:val="20"/>
                <w:szCs w:val="20"/>
                <w:color w:val="auto"/>
              </w:rPr>
              <w:t>1</w:t>
            </w:r>
          </w:p>
        </w:tc>
        <w:tc>
          <w:tcPr>
            <w:tcW w:w="2080" w:type="dxa"/>
            <w:vAlign w:val="bottom"/>
          </w:tcPr>
          <w:p>
            <w:pPr>
              <w:jc w:val="right"/>
              <w:spacing w:after="0"/>
              <w:rPr>
                <w:sz w:val="20"/>
                <w:szCs w:val="20"/>
                <w:color w:val="auto"/>
              </w:rPr>
            </w:pPr>
            <w:r>
              <w:rPr>
                <w:rFonts w:ascii="Arial" w:cs="Arial" w:eastAsia="Arial" w:hAnsi="Arial"/>
                <w:sz w:val="20"/>
                <w:szCs w:val="20"/>
                <w:color w:val="auto"/>
              </w:rPr>
              <w:t>2</w:t>
            </w:r>
          </w:p>
        </w:tc>
        <w:tc>
          <w:tcPr>
            <w:tcW w:w="0" w:type="dxa"/>
            <w:vAlign w:val="bottom"/>
          </w:tcPr>
          <w:p>
            <w:pPr>
              <w:spacing w:after="0"/>
              <w:rPr>
                <w:sz w:val="1"/>
                <w:szCs w:val="1"/>
                <w:color w:val="auto"/>
              </w:rPr>
            </w:pPr>
          </w:p>
        </w:tc>
      </w:tr>
      <w:tr>
        <w:trPr>
          <w:trHeight w:val="513"/>
        </w:trPr>
        <w:tc>
          <w:tcPr>
            <w:tcW w:w="5660" w:type="dxa"/>
            <w:vAlign w:val="bottom"/>
          </w:tcPr>
          <w:p>
            <w:pPr>
              <w:ind w:left="20"/>
              <w:spacing w:after="0"/>
              <w:rPr>
                <w:sz w:val="20"/>
                <w:szCs w:val="20"/>
                <w:color w:val="auto"/>
              </w:rPr>
            </w:pPr>
            <w:r>
              <w:rPr>
                <w:rFonts w:ascii="Arial" w:cs="Arial" w:eastAsia="Arial" w:hAnsi="Arial"/>
                <w:sz w:val="20"/>
                <w:szCs w:val="20"/>
                <w:color w:val="auto"/>
              </w:rPr>
              <w:t>Total non-current assets</w:t>
            </w:r>
          </w:p>
        </w:tc>
        <w:tc>
          <w:tcPr>
            <w:tcW w:w="1160" w:type="dxa"/>
            <w:vAlign w:val="bottom"/>
          </w:tcPr>
          <w:p>
            <w:pPr>
              <w:spacing w:after="0"/>
              <w:rPr>
                <w:sz w:val="24"/>
                <w:szCs w:val="24"/>
                <w:color w:val="auto"/>
              </w:rPr>
            </w:pPr>
          </w:p>
        </w:tc>
        <w:tc>
          <w:tcPr>
            <w:tcW w:w="2340" w:type="dxa"/>
            <w:vAlign w:val="bottom"/>
          </w:tcPr>
          <w:p>
            <w:pPr>
              <w:jc w:val="right"/>
              <w:ind w:right="301"/>
              <w:spacing w:after="0"/>
              <w:rPr>
                <w:sz w:val="20"/>
                <w:szCs w:val="20"/>
                <w:color w:val="auto"/>
              </w:rPr>
            </w:pPr>
            <w:r>
              <w:rPr>
                <w:rFonts w:ascii="Arial" w:cs="Arial" w:eastAsia="Arial" w:hAnsi="Arial"/>
                <w:sz w:val="20"/>
                <w:szCs w:val="20"/>
                <w:color w:val="auto"/>
              </w:rPr>
              <w:t>4,730</w:t>
            </w:r>
          </w:p>
        </w:tc>
        <w:tc>
          <w:tcPr>
            <w:tcW w:w="2080" w:type="dxa"/>
            <w:vAlign w:val="bottom"/>
          </w:tcPr>
          <w:p>
            <w:pPr>
              <w:jc w:val="right"/>
              <w:spacing w:after="0"/>
              <w:rPr>
                <w:sz w:val="20"/>
                <w:szCs w:val="20"/>
                <w:color w:val="auto"/>
              </w:rPr>
            </w:pPr>
            <w:r>
              <w:rPr>
                <w:rFonts w:ascii="Arial" w:cs="Arial" w:eastAsia="Arial" w:hAnsi="Arial"/>
                <w:sz w:val="20"/>
                <w:szCs w:val="20"/>
                <w:color w:val="auto"/>
              </w:rPr>
              <w:t>5,231</w:t>
            </w:r>
          </w:p>
        </w:tc>
        <w:tc>
          <w:tcPr>
            <w:tcW w:w="0" w:type="dxa"/>
            <w:vAlign w:val="bottom"/>
          </w:tcPr>
          <w:p>
            <w:pPr>
              <w:spacing w:after="0"/>
              <w:rPr>
                <w:sz w:val="1"/>
                <w:szCs w:val="1"/>
                <w:color w:val="auto"/>
              </w:rPr>
            </w:pPr>
          </w:p>
        </w:tc>
      </w:tr>
      <w:tr>
        <w:trPr>
          <w:trHeight w:val="246"/>
        </w:trPr>
        <w:tc>
          <w:tcPr>
            <w:tcW w:w="5660" w:type="dxa"/>
            <w:vAlign w:val="bottom"/>
            <w:tcBorders>
              <w:bottom w:val="single" w:sz="8" w:color="BF2115"/>
            </w:tcBorders>
          </w:tcPr>
          <w:p>
            <w:pPr>
              <w:spacing w:after="0"/>
              <w:rPr>
                <w:sz w:val="21"/>
                <w:szCs w:val="21"/>
                <w:color w:val="auto"/>
              </w:rPr>
            </w:pPr>
          </w:p>
        </w:tc>
        <w:tc>
          <w:tcPr>
            <w:tcW w:w="1160" w:type="dxa"/>
            <w:vAlign w:val="bottom"/>
            <w:tcBorders>
              <w:bottom w:val="single" w:sz="8" w:color="BF2115"/>
            </w:tcBorders>
          </w:tcPr>
          <w:p>
            <w:pPr>
              <w:spacing w:after="0"/>
              <w:rPr>
                <w:sz w:val="21"/>
                <w:szCs w:val="21"/>
                <w:color w:val="auto"/>
              </w:rPr>
            </w:pPr>
          </w:p>
        </w:tc>
        <w:tc>
          <w:tcPr>
            <w:tcW w:w="2340" w:type="dxa"/>
            <w:vAlign w:val="bottom"/>
            <w:tcBorders>
              <w:bottom w:val="single" w:sz="8" w:color="BF2115"/>
            </w:tcBorders>
          </w:tcPr>
          <w:p>
            <w:pPr>
              <w:spacing w:after="0"/>
              <w:rPr>
                <w:sz w:val="21"/>
                <w:szCs w:val="21"/>
                <w:color w:val="auto"/>
              </w:rPr>
            </w:pPr>
          </w:p>
        </w:tc>
        <w:tc>
          <w:tcPr>
            <w:tcW w:w="2080" w:type="dxa"/>
            <w:vAlign w:val="bottom"/>
            <w:tcBorders>
              <w:bottom w:val="single" w:sz="8" w:color="BF2115"/>
            </w:tcBorders>
          </w:tcPr>
          <w:p>
            <w:pPr>
              <w:spacing w:after="0"/>
              <w:rPr>
                <w:sz w:val="21"/>
                <w:szCs w:val="21"/>
                <w:color w:val="auto"/>
              </w:rPr>
            </w:pPr>
          </w:p>
        </w:tc>
        <w:tc>
          <w:tcPr>
            <w:tcW w:w="0" w:type="dxa"/>
            <w:vAlign w:val="bottom"/>
          </w:tcPr>
          <w:p>
            <w:pPr>
              <w:spacing w:after="0"/>
              <w:rPr>
                <w:sz w:val="1"/>
                <w:szCs w:val="1"/>
                <w:color w:val="auto"/>
              </w:rPr>
            </w:pPr>
          </w:p>
        </w:tc>
      </w:tr>
      <w:tr>
        <w:trPr>
          <w:trHeight w:val="517"/>
        </w:trPr>
        <w:tc>
          <w:tcPr>
            <w:tcW w:w="5660" w:type="dxa"/>
            <w:vAlign w:val="bottom"/>
          </w:tcPr>
          <w:p>
            <w:pPr>
              <w:ind w:left="20"/>
              <w:spacing w:after="0"/>
              <w:rPr>
                <w:sz w:val="20"/>
                <w:szCs w:val="20"/>
                <w:color w:val="auto"/>
              </w:rPr>
            </w:pPr>
            <w:r>
              <w:rPr>
                <w:rFonts w:ascii="Arial" w:cs="Arial" w:eastAsia="Arial" w:hAnsi="Arial"/>
                <w:sz w:val="20"/>
                <w:szCs w:val="20"/>
                <w:color w:val="auto"/>
              </w:rPr>
              <w:t>Short-term time deposits</w:t>
            </w:r>
          </w:p>
        </w:tc>
        <w:tc>
          <w:tcPr>
            <w:tcW w:w="1160" w:type="dxa"/>
            <w:vAlign w:val="bottom"/>
          </w:tcPr>
          <w:p>
            <w:pPr>
              <w:spacing w:after="0"/>
              <w:rPr>
                <w:sz w:val="24"/>
                <w:szCs w:val="24"/>
                <w:color w:val="auto"/>
              </w:rPr>
            </w:pPr>
          </w:p>
        </w:tc>
        <w:tc>
          <w:tcPr>
            <w:tcW w:w="2340" w:type="dxa"/>
            <w:vAlign w:val="bottom"/>
          </w:tcPr>
          <w:p>
            <w:pPr>
              <w:jc w:val="right"/>
              <w:ind w:right="301"/>
              <w:spacing w:after="0"/>
              <w:rPr>
                <w:sz w:val="20"/>
                <w:szCs w:val="20"/>
                <w:color w:val="auto"/>
              </w:rPr>
            </w:pPr>
            <w:r>
              <w:rPr>
                <w:rFonts w:ascii="Arial" w:cs="Arial" w:eastAsia="Arial" w:hAnsi="Arial"/>
                <w:sz w:val="20"/>
                <w:szCs w:val="20"/>
                <w:color w:val="auto"/>
              </w:rPr>
              <w:t>14,517</w:t>
            </w:r>
          </w:p>
        </w:tc>
        <w:tc>
          <w:tcPr>
            <w:tcW w:w="2080" w:type="dxa"/>
            <w:vAlign w:val="bottom"/>
          </w:tcPr>
          <w:p>
            <w:pPr>
              <w:jc w:val="right"/>
              <w:spacing w:after="0"/>
              <w:rPr>
                <w:sz w:val="20"/>
                <w:szCs w:val="20"/>
                <w:color w:val="auto"/>
              </w:rPr>
            </w:pPr>
            <w:r>
              <w:rPr>
                <w:rFonts w:ascii="Arial" w:cs="Arial" w:eastAsia="Arial" w:hAnsi="Arial"/>
                <w:sz w:val="20"/>
                <w:szCs w:val="20"/>
                <w:color w:val="auto"/>
              </w:rPr>
              <w:t>10,405</w:t>
            </w:r>
          </w:p>
        </w:tc>
        <w:tc>
          <w:tcPr>
            <w:tcW w:w="0" w:type="dxa"/>
            <w:vAlign w:val="bottom"/>
          </w:tcPr>
          <w:p>
            <w:pPr>
              <w:spacing w:after="0"/>
              <w:rPr>
                <w:sz w:val="1"/>
                <w:szCs w:val="1"/>
                <w:color w:val="auto"/>
              </w:rPr>
            </w:pPr>
          </w:p>
        </w:tc>
      </w:tr>
      <w:tr>
        <w:trPr>
          <w:trHeight w:val="513"/>
        </w:trPr>
        <w:tc>
          <w:tcPr>
            <w:tcW w:w="5660" w:type="dxa"/>
            <w:vAlign w:val="bottom"/>
          </w:tcPr>
          <w:p>
            <w:pPr>
              <w:ind w:left="20"/>
              <w:spacing w:after="0"/>
              <w:rPr>
                <w:sz w:val="20"/>
                <w:szCs w:val="20"/>
                <w:color w:val="auto"/>
              </w:rPr>
            </w:pPr>
            <w:r>
              <w:rPr>
                <w:rFonts w:ascii="Arial" w:cs="Arial" w:eastAsia="Arial" w:hAnsi="Arial"/>
                <w:sz w:val="20"/>
                <w:szCs w:val="20"/>
                <w:color w:val="auto"/>
              </w:rPr>
              <w:t>Other current assets</w:t>
            </w:r>
          </w:p>
        </w:tc>
        <w:tc>
          <w:tcPr>
            <w:tcW w:w="1160" w:type="dxa"/>
            <w:vAlign w:val="bottom"/>
          </w:tcPr>
          <w:p>
            <w:pPr>
              <w:spacing w:after="0"/>
              <w:rPr>
                <w:sz w:val="24"/>
                <w:szCs w:val="24"/>
                <w:color w:val="auto"/>
              </w:rPr>
            </w:pPr>
          </w:p>
        </w:tc>
        <w:tc>
          <w:tcPr>
            <w:tcW w:w="2340" w:type="dxa"/>
            <w:vAlign w:val="bottom"/>
          </w:tcPr>
          <w:p>
            <w:pPr>
              <w:jc w:val="right"/>
              <w:ind w:right="301"/>
              <w:spacing w:after="0"/>
              <w:rPr>
                <w:sz w:val="20"/>
                <w:szCs w:val="20"/>
                <w:color w:val="auto"/>
              </w:rPr>
            </w:pPr>
            <w:r>
              <w:rPr>
                <w:rFonts w:ascii="Arial" w:cs="Arial" w:eastAsia="Arial" w:hAnsi="Arial"/>
                <w:sz w:val="20"/>
                <w:szCs w:val="20"/>
                <w:color w:val="auto"/>
              </w:rPr>
              <w:t>1,847</w:t>
            </w:r>
          </w:p>
        </w:tc>
        <w:tc>
          <w:tcPr>
            <w:tcW w:w="2080" w:type="dxa"/>
            <w:vAlign w:val="bottom"/>
          </w:tcPr>
          <w:p>
            <w:pPr>
              <w:jc w:val="right"/>
              <w:spacing w:after="0"/>
              <w:rPr>
                <w:sz w:val="20"/>
                <w:szCs w:val="20"/>
                <w:color w:val="auto"/>
              </w:rPr>
            </w:pPr>
            <w:r>
              <w:rPr>
                <w:rFonts w:ascii="Arial" w:cs="Arial" w:eastAsia="Arial" w:hAnsi="Arial"/>
                <w:sz w:val="20"/>
                <w:szCs w:val="20"/>
                <w:color w:val="auto"/>
              </w:rPr>
              <w:t>1,985</w:t>
            </w:r>
          </w:p>
        </w:tc>
        <w:tc>
          <w:tcPr>
            <w:tcW w:w="0" w:type="dxa"/>
            <w:vAlign w:val="bottom"/>
          </w:tcPr>
          <w:p>
            <w:pPr>
              <w:spacing w:after="0"/>
              <w:rPr>
                <w:sz w:val="1"/>
                <w:szCs w:val="1"/>
                <w:color w:val="auto"/>
              </w:rPr>
            </w:pPr>
          </w:p>
        </w:tc>
      </w:tr>
      <w:tr>
        <w:trPr>
          <w:trHeight w:val="513"/>
        </w:trPr>
        <w:tc>
          <w:tcPr>
            <w:tcW w:w="5660" w:type="dxa"/>
            <w:vAlign w:val="bottom"/>
          </w:tcPr>
          <w:p>
            <w:pPr>
              <w:ind w:left="20"/>
              <w:spacing w:after="0"/>
              <w:rPr>
                <w:sz w:val="20"/>
                <w:szCs w:val="20"/>
                <w:color w:val="auto"/>
              </w:rPr>
            </w:pPr>
            <w:r>
              <w:rPr>
                <w:rFonts w:ascii="Arial" w:cs="Arial" w:eastAsia="Arial" w:hAnsi="Arial"/>
                <w:sz w:val="20"/>
                <w:szCs w:val="20"/>
                <w:color w:val="auto"/>
              </w:rPr>
              <w:t>Trade and other receivables</w:t>
            </w:r>
          </w:p>
        </w:tc>
        <w:tc>
          <w:tcPr>
            <w:tcW w:w="1160" w:type="dxa"/>
            <w:vAlign w:val="bottom"/>
          </w:tcPr>
          <w:p>
            <w:pPr>
              <w:spacing w:after="0"/>
              <w:rPr>
                <w:sz w:val="24"/>
                <w:szCs w:val="24"/>
                <w:color w:val="auto"/>
              </w:rPr>
            </w:pPr>
          </w:p>
        </w:tc>
        <w:tc>
          <w:tcPr>
            <w:tcW w:w="2340" w:type="dxa"/>
            <w:vAlign w:val="bottom"/>
          </w:tcPr>
          <w:p>
            <w:pPr>
              <w:jc w:val="right"/>
              <w:ind w:right="301"/>
              <w:spacing w:after="0"/>
              <w:rPr>
                <w:sz w:val="20"/>
                <w:szCs w:val="20"/>
                <w:color w:val="auto"/>
              </w:rPr>
            </w:pPr>
            <w:r>
              <w:rPr>
                <w:rFonts w:ascii="Arial" w:cs="Arial" w:eastAsia="Arial" w:hAnsi="Arial"/>
                <w:sz w:val="20"/>
                <w:szCs w:val="20"/>
                <w:color w:val="auto"/>
              </w:rPr>
              <w:t>2,313</w:t>
            </w:r>
          </w:p>
        </w:tc>
        <w:tc>
          <w:tcPr>
            <w:tcW w:w="2080" w:type="dxa"/>
            <w:vAlign w:val="bottom"/>
          </w:tcPr>
          <w:p>
            <w:pPr>
              <w:jc w:val="right"/>
              <w:spacing w:after="0"/>
              <w:rPr>
                <w:sz w:val="20"/>
                <w:szCs w:val="20"/>
                <w:color w:val="auto"/>
              </w:rPr>
            </w:pPr>
            <w:r>
              <w:rPr>
                <w:rFonts w:ascii="Arial" w:cs="Arial" w:eastAsia="Arial" w:hAnsi="Arial"/>
                <w:sz w:val="20"/>
                <w:szCs w:val="20"/>
                <w:color w:val="auto"/>
              </w:rPr>
              <w:t>1,834</w:t>
            </w:r>
          </w:p>
        </w:tc>
        <w:tc>
          <w:tcPr>
            <w:tcW w:w="0" w:type="dxa"/>
            <w:vAlign w:val="bottom"/>
          </w:tcPr>
          <w:p>
            <w:pPr>
              <w:spacing w:after="0"/>
              <w:rPr>
                <w:sz w:val="1"/>
                <w:szCs w:val="1"/>
                <w:color w:val="auto"/>
              </w:rPr>
            </w:pPr>
          </w:p>
        </w:tc>
      </w:tr>
      <w:tr>
        <w:trPr>
          <w:trHeight w:val="513"/>
        </w:trPr>
        <w:tc>
          <w:tcPr>
            <w:tcW w:w="5660" w:type="dxa"/>
            <w:vAlign w:val="bottom"/>
          </w:tcPr>
          <w:p>
            <w:pPr>
              <w:ind w:left="20"/>
              <w:spacing w:after="0"/>
              <w:rPr>
                <w:sz w:val="20"/>
                <w:szCs w:val="20"/>
                <w:color w:val="auto"/>
              </w:rPr>
            </w:pPr>
            <w:r>
              <w:rPr>
                <w:rFonts w:ascii="Arial" w:cs="Arial" w:eastAsia="Arial" w:hAnsi="Arial"/>
                <w:sz w:val="20"/>
                <w:szCs w:val="20"/>
                <w:color w:val="auto"/>
              </w:rPr>
              <w:t>Cash and cash equivalents</w:t>
            </w:r>
          </w:p>
        </w:tc>
        <w:tc>
          <w:tcPr>
            <w:tcW w:w="1160" w:type="dxa"/>
            <w:vAlign w:val="bottom"/>
          </w:tcPr>
          <w:p>
            <w:pPr>
              <w:spacing w:after="0"/>
              <w:rPr>
                <w:sz w:val="24"/>
                <w:szCs w:val="24"/>
                <w:color w:val="auto"/>
              </w:rPr>
            </w:pPr>
          </w:p>
        </w:tc>
        <w:tc>
          <w:tcPr>
            <w:tcW w:w="2340" w:type="dxa"/>
            <w:vAlign w:val="bottom"/>
          </w:tcPr>
          <w:p>
            <w:pPr>
              <w:jc w:val="right"/>
              <w:ind w:right="301"/>
              <w:spacing w:after="0"/>
              <w:rPr>
                <w:sz w:val="20"/>
                <w:szCs w:val="20"/>
                <w:color w:val="auto"/>
              </w:rPr>
            </w:pPr>
            <w:r>
              <w:rPr>
                <w:rFonts w:ascii="Arial" w:cs="Arial" w:eastAsia="Arial" w:hAnsi="Arial"/>
                <w:sz w:val="20"/>
                <w:szCs w:val="20"/>
                <w:color w:val="auto"/>
              </w:rPr>
              <w:t>64,251</w:t>
            </w:r>
          </w:p>
        </w:tc>
        <w:tc>
          <w:tcPr>
            <w:tcW w:w="2080" w:type="dxa"/>
            <w:vAlign w:val="bottom"/>
          </w:tcPr>
          <w:p>
            <w:pPr>
              <w:jc w:val="right"/>
              <w:spacing w:after="0"/>
              <w:rPr>
                <w:sz w:val="20"/>
                <w:szCs w:val="20"/>
                <w:color w:val="auto"/>
              </w:rPr>
            </w:pPr>
            <w:r>
              <w:rPr>
                <w:rFonts w:ascii="Arial" w:cs="Arial" w:eastAsia="Arial" w:hAnsi="Arial"/>
                <w:sz w:val="20"/>
                <w:szCs w:val="20"/>
                <w:color w:val="auto"/>
              </w:rPr>
              <w:t>82,653</w:t>
            </w:r>
          </w:p>
        </w:tc>
        <w:tc>
          <w:tcPr>
            <w:tcW w:w="0" w:type="dxa"/>
            <w:vAlign w:val="bottom"/>
          </w:tcPr>
          <w:p>
            <w:pPr>
              <w:spacing w:after="0"/>
              <w:rPr>
                <w:sz w:val="1"/>
                <w:szCs w:val="1"/>
                <w:color w:val="auto"/>
              </w:rPr>
            </w:pPr>
          </w:p>
        </w:tc>
      </w:tr>
      <w:tr>
        <w:trPr>
          <w:trHeight w:val="513"/>
        </w:trPr>
        <w:tc>
          <w:tcPr>
            <w:tcW w:w="5660" w:type="dxa"/>
            <w:vAlign w:val="bottom"/>
          </w:tcPr>
          <w:p>
            <w:pPr>
              <w:ind w:left="20"/>
              <w:spacing w:after="0"/>
              <w:rPr>
                <w:sz w:val="20"/>
                <w:szCs w:val="20"/>
                <w:color w:val="auto"/>
              </w:rPr>
            </w:pPr>
            <w:r>
              <w:rPr>
                <w:rFonts w:ascii="Arial" w:cs="Arial" w:eastAsia="Arial" w:hAnsi="Arial"/>
                <w:sz w:val="20"/>
                <w:szCs w:val="20"/>
                <w:color w:val="auto"/>
              </w:rPr>
              <w:t>Total current assets</w:t>
            </w:r>
          </w:p>
        </w:tc>
        <w:tc>
          <w:tcPr>
            <w:tcW w:w="1160" w:type="dxa"/>
            <w:vAlign w:val="bottom"/>
          </w:tcPr>
          <w:p>
            <w:pPr>
              <w:spacing w:after="0"/>
              <w:rPr>
                <w:sz w:val="24"/>
                <w:szCs w:val="24"/>
                <w:color w:val="auto"/>
              </w:rPr>
            </w:pPr>
          </w:p>
        </w:tc>
        <w:tc>
          <w:tcPr>
            <w:tcW w:w="2340" w:type="dxa"/>
            <w:vAlign w:val="bottom"/>
          </w:tcPr>
          <w:p>
            <w:pPr>
              <w:jc w:val="right"/>
              <w:ind w:right="301"/>
              <w:spacing w:after="0"/>
              <w:rPr>
                <w:sz w:val="20"/>
                <w:szCs w:val="20"/>
                <w:color w:val="auto"/>
              </w:rPr>
            </w:pPr>
            <w:r>
              <w:rPr>
                <w:rFonts w:ascii="Arial" w:cs="Arial" w:eastAsia="Arial" w:hAnsi="Arial"/>
                <w:sz w:val="20"/>
                <w:szCs w:val="20"/>
                <w:color w:val="auto"/>
              </w:rPr>
              <w:t>82,928</w:t>
            </w:r>
          </w:p>
        </w:tc>
        <w:tc>
          <w:tcPr>
            <w:tcW w:w="2080" w:type="dxa"/>
            <w:vAlign w:val="bottom"/>
          </w:tcPr>
          <w:p>
            <w:pPr>
              <w:jc w:val="right"/>
              <w:spacing w:after="0"/>
              <w:rPr>
                <w:sz w:val="20"/>
                <w:szCs w:val="20"/>
                <w:color w:val="auto"/>
              </w:rPr>
            </w:pPr>
            <w:r>
              <w:rPr>
                <w:rFonts w:ascii="Arial" w:cs="Arial" w:eastAsia="Arial" w:hAnsi="Arial"/>
                <w:sz w:val="20"/>
                <w:szCs w:val="20"/>
                <w:color w:val="auto"/>
              </w:rPr>
              <w:t>96,876</w:t>
            </w:r>
          </w:p>
        </w:tc>
        <w:tc>
          <w:tcPr>
            <w:tcW w:w="0" w:type="dxa"/>
            <w:vAlign w:val="bottom"/>
          </w:tcPr>
          <w:p>
            <w:pPr>
              <w:spacing w:after="0"/>
              <w:rPr>
                <w:sz w:val="1"/>
                <w:szCs w:val="1"/>
                <w:color w:val="auto"/>
              </w:rPr>
            </w:pPr>
          </w:p>
        </w:tc>
      </w:tr>
      <w:tr>
        <w:trPr>
          <w:trHeight w:val="246"/>
        </w:trPr>
        <w:tc>
          <w:tcPr>
            <w:tcW w:w="5660" w:type="dxa"/>
            <w:vAlign w:val="bottom"/>
            <w:tcBorders>
              <w:bottom w:val="single" w:sz="8" w:color="BF2115"/>
            </w:tcBorders>
          </w:tcPr>
          <w:p>
            <w:pPr>
              <w:spacing w:after="0"/>
              <w:rPr>
                <w:sz w:val="21"/>
                <w:szCs w:val="21"/>
                <w:color w:val="auto"/>
              </w:rPr>
            </w:pPr>
          </w:p>
        </w:tc>
        <w:tc>
          <w:tcPr>
            <w:tcW w:w="1160" w:type="dxa"/>
            <w:vAlign w:val="bottom"/>
            <w:tcBorders>
              <w:bottom w:val="single" w:sz="8" w:color="BF2115"/>
            </w:tcBorders>
          </w:tcPr>
          <w:p>
            <w:pPr>
              <w:spacing w:after="0"/>
              <w:rPr>
                <w:sz w:val="21"/>
                <w:szCs w:val="21"/>
                <w:color w:val="auto"/>
              </w:rPr>
            </w:pPr>
          </w:p>
        </w:tc>
        <w:tc>
          <w:tcPr>
            <w:tcW w:w="2340" w:type="dxa"/>
            <w:vAlign w:val="bottom"/>
            <w:tcBorders>
              <w:bottom w:val="single" w:sz="8" w:color="BF2115"/>
            </w:tcBorders>
          </w:tcPr>
          <w:p>
            <w:pPr>
              <w:spacing w:after="0"/>
              <w:rPr>
                <w:sz w:val="21"/>
                <w:szCs w:val="21"/>
                <w:color w:val="auto"/>
              </w:rPr>
            </w:pPr>
          </w:p>
        </w:tc>
        <w:tc>
          <w:tcPr>
            <w:tcW w:w="2080" w:type="dxa"/>
            <w:vAlign w:val="bottom"/>
            <w:tcBorders>
              <w:bottom w:val="single" w:sz="8" w:color="BF2115"/>
            </w:tcBorders>
          </w:tcPr>
          <w:p>
            <w:pPr>
              <w:spacing w:after="0"/>
              <w:rPr>
                <w:sz w:val="21"/>
                <w:szCs w:val="21"/>
                <w:color w:val="auto"/>
              </w:rPr>
            </w:pPr>
          </w:p>
        </w:tc>
        <w:tc>
          <w:tcPr>
            <w:tcW w:w="0" w:type="dxa"/>
            <w:vAlign w:val="bottom"/>
          </w:tcPr>
          <w:p>
            <w:pPr>
              <w:spacing w:after="0"/>
              <w:rPr>
                <w:sz w:val="1"/>
                <w:szCs w:val="1"/>
                <w:color w:val="auto"/>
              </w:rPr>
            </w:pPr>
          </w:p>
        </w:tc>
      </w:tr>
      <w:tr>
        <w:trPr>
          <w:trHeight w:val="517"/>
        </w:trPr>
        <w:tc>
          <w:tcPr>
            <w:tcW w:w="5660" w:type="dxa"/>
            <w:vAlign w:val="bottom"/>
          </w:tcPr>
          <w:p>
            <w:pPr>
              <w:ind w:left="20"/>
              <w:spacing w:after="0"/>
              <w:rPr>
                <w:sz w:val="20"/>
                <w:szCs w:val="20"/>
                <w:color w:val="auto"/>
              </w:rPr>
            </w:pPr>
            <w:r>
              <w:rPr>
                <w:rFonts w:ascii="Arial" w:cs="Arial" w:eastAsia="Arial" w:hAnsi="Arial"/>
                <w:sz w:val="20"/>
                <w:szCs w:val="20"/>
                <w:color w:val="auto"/>
              </w:rPr>
              <w:t>Total assets</w:t>
            </w:r>
          </w:p>
        </w:tc>
        <w:tc>
          <w:tcPr>
            <w:tcW w:w="1160" w:type="dxa"/>
            <w:vAlign w:val="bottom"/>
          </w:tcPr>
          <w:p>
            <w:pPr>
              <w:spacing w:after="0"/>
              <w:rPr>
                <w:sz w:val="24"/>
                <w:szCs w:val="24"/>
                <w:color w:val="auto"/>
              </w:rPr>
            </w:pPr>
          </w:p>
        </w:tc>
        <w:tc>
          <w:tcPr>
            <w:tcW w:w="2340" w:type="dxa"/>
            <w:vAlign w:val="bottom"/>
          </w:tcPr>
          <w:p>
            <w:pPr>
              <w:jc w:val="right"/>
              <w:ind w:right="301"/>
              <w:spacing w:after="0"/>
              <w:rPr>
                <w:sz w:val="20"/>
                <w:szCs w:val="20"/>
                <w:color w:val="auto"/>
              </w:rPr>
            </w:pPr>
            <w:r>
              <w:rPr>
                <w:rFonts w:ascii="Arial" w:cs="Arial" w:eastAsia="Arial" w:hAnsi="Arial"/>
                <w:sz w:val="20"/>
                <w:szCs w:val="20"/>
                <w:color w:val="auto"/>
              </w:rPr>
              <w:t>87,658</w:t>
            </w:r>
          </w:p>
        </w:tc>
        <w:tc>
          <w:tcPr>
            <w:tcW w:w="2080" w:type="dxa"/>
            <w:vAlign w:val="bottom"/>
          </w:tcPr>
          <w:p>
            <w:pPr>
              <w:jc w:val="right"/>
              <w:spacing w:after="0"/>
              <w:rPr>
                <w:sz w:val="20"/>
                <w:szCs w:val="20"/>
                <w:color w:val="auto"/>
              </w:rPr>
            </w:pPr>
            <w:r>
              <w:rPr>
                <w:rFonts w:ascii="Arial" w:cs="Arial" w:eastAsia="Arial" w:hAnsi="Arial"/>
                <w:sz w:val="20"/>
                <w:szCs w:val="20"/>
                <w:color w:val="auto"/>
              </w:rPr>
              <w:t>102,107</w:t>
            </w:r>
          </w:p>
        </w:tc>
        <w:tc>
          <w:tcPr>
            <w:tcW w:w="0" w:type="dxa"/>
            <w:vAlign w:val="bottom"/>
          </w:tcPr>
          <w:p>
            <w:pPr>
              <w:spacing w:after="0"/>
              <w:rPr>
                <w:sz w:val="1"/>
                <w:szCs w:val="1"/>
                <w:color w:val="auto"/>
              </w:rPr>
            </w:pPr>
          </w:p>
        </w:tc>
      </w:tr>
      <w:tr>
        <w:trPr>
          <w:trHeight w:val="246"/>
        </w:trPr>
        <w:tc>
          <w:tcPr>
            <w:tcW w:w="5660" w:type="dxa"/>
            <w:vAlign w:val="bottom"/>
            <w:tcBorders>
              <w:bottom w:val="single" w:sz="8" w:color="BF2115"/>
            </w:tcBorders>
          </w:tcPr>
          <w:p>
            <w:pPr>
              <w:spacing w:after="0"/>
              <w:rPr>
                <w:sz w:val="21"/>
                <w:szCs w:val="21"/>
                <w:color w:val="auto"/>
              </w:rPr>
            </w:pPr>
          </w:p>
        </w:tc>
        <w:tc>
          <w:tcPr>
            <w:tcW w:w="1160" w:type="dxa"/>
            <w:vAlign w:val="bottom"/>
            <w:tcBorders>
              <w:bottom w:val="single" w:sz="8" w:color="BF2115"/>
            </w:tcBorders>
          </w:tcPr>
          <w:p>
            <w:pPr>
              <w:spacing w:after="0"/>
              <w:rPr>
                <w:sz w:val="21"/>
                <w:szCs w:val="21"/>
                <w:color w:val="auto"/>
              </w:rPr>
            </w:pPr>
          </w:p>
        </w:tc>
        <w:tc>
          <w:tcPr>
            <w:tcW w:w="2340" w:type="dxa"/>
            <w:vAlign w:val="bottom"/>
            <w:tcBorders>
              <w:bottom w:val="single" w:sz="8" w:color="BF2115"/>
            </w:tcBorders>
          </w:tcPr>
          <w:p>
            <w:pPr>
              <w:spacing w:after="0"/>
              <w:rPr>
                <w:sz w:val="21"/>
                <w:szCs w:val="21"/>
                <w:color w:val="auto"/>
              </w:rPr>
            </w:pPr>
          </w:p>
        </w:tc>
        <w:tc>
          <w:tcPr>
            <w:tcW w:w="2080" w:type="dxa"/>
            <w:vAlign w:val="bottom"/>
            <w:tcBorders>
              <w:bottom w:val="single" w:sz="8" w:color="BF2115"/>
            </w:tcBorders>
          </w:tcPr>
          <w:p>
            <w:pPr>
              <w:spacing w:after="0"/>
              <w:rPr>
                <w:sz w:val="21"/>
                <w:szCs w:val="21"/>
                <w:color w:val="auto"/>
              </w:rPr>
            </w:pPr>
          </w:p>
        </w:tc>
        <w:tc>
          <w:tcPr>
            <w:tcW w:w="0" w:type="dxa"/>
            <w:vAlign w:val="bottom"/>
          </w:tcPr>
          <w:p>
            <w:pPr>
              <w:spacing w:after="0"/>
              <w:rPr>
                <w:sz w:val="1"/>
                <w:szCs w:val="1"/>
                <w:color w:val="auto"/>
              </w:rPr>
            </w:pPr>
          </w:p>
        </w:tc>
      </w:tr>
      <w:tr>
        <w:trPr>
          <w:trHeight w:val="517"/>
        </w:trPr>
        <w:tc>
          <w:tcPr>
            <w:tcW w:w="5660" w:type="dxa"/>
            <w:vAlign w:val="bottom"/>
          </w:tcPr>
          <w:p>
            <w:pPr>
              <w:ind w:left="20"/>
              <w:spacing w:after="0"/>
              <w:rPr>
                <w:sz w:val="20"/>
                <w:szCs w:val="20"/>
                <w:color w:val="auto"/>
              </w:rPr>
            </w:pPr>
            <w:r>
              <w:rPr>
                <w:rFonts w:ascii="Arial" w:cs="Arial" w:eastAsia="Arial" w:hAnsi="Arial"/>
                <w:sz w:val="20"/>
                <w:szCs w:val="20"/>
                <w:color w:val="auto"/>
              </w:rPr>
              <w:t>Shareholders' equity and liabilities</w:t>
            </w:r>
          </w:p>
        </w:tc>
        <w:tc>
          <w:tcPr>
            <w:tcW w:w="11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5660" w:type="dxa"/>
            <w:vAlign w:val="bottom"/>
          </w:tcPr>
          <w:p>
            <w:pPr>
              <w:ind w:left="20"/>
              <w:spacing w:after="0"/>
              <w:rPr>
                <w:sz w:val="20"/>
                <w:szCs w:val="20"/>
                <w:color w:val="auto"/>
              </w:rPr>
            </w:pPr>
            <w:r>
              <w:rPr>
                <w:rFonts w:ascii="Arial" w:cs="Arial" w:eastAsia="Arial" w:hAnsi="Arial"/>
                <w:sz w:val="20"/>
                <w:szCs w:val="20"/>
                <w:color w:val="auto"/>
              </w:rPr>
              <w:t>Share capital</w:t>
            </w:r>
          </w:p>
        </w:tc>
        <w:tc>
          <w:tcPr>
            <w:tcW w:w="1160" w:type="dxa"/>
            <w:vAlign w:val="bottom"/>
          </w:tcPr>
          <w:p>
            <w:pPr>
              <w:jc w:val="center"/>
              <w:ind w:right="361"/>
              <w:spacing w:after="0"/>
              <w:rPr>
                <w:sz w:val="20"/>
                <w:szCs w:val="20"/>
                <w:color w:val="auto"/>
              </w:rPr>
            </w:pPr>
            <w:r>
              <w:rPr>
                <w:rFonts w:ascii="Arial" w:cs="Arial" w:eastAsia="Arial" w:hAnsi="Arial"/>
                <w:sz w:val="20"/>
                <w:szCs w:val="20"/>
                <w:color w:val="auto"/>
                <w:w w:val="93"/>
              </w:rPr>
              <w:t>5.2</w:t>
            </w:r>
          </w:p>
        </w:tc>
        <w:tc>
          <w:tcPr>
            <w:tcW w:w="2340" w:type="dxa"/>
            <w:vAlign w:val="bottom"/>
          </w:tcPr>
          <w:p>
            <w:pPr>
              <w:jc w:val="right"/>
              <w:ind w:right="301"/>
              <w:spacing w:after="0"/>
              <w:rPr>
                <w:sz w:val="20"/>
                <w:szCs w:val="20"/>
                <w:color w:val="auto"/>
              </w:rPr>
            </w:pPr>
            <w:r>
              <w:rPr>
                <w:rFonts w:ascii="Arial" w:cs="Arial" w:eastAsia="Arial" w:hAnsi="Arial"/>
                <w:sz w:val="20"/>
                <w:szCs w:val="20"/>
                <w:color w:val="auto"/>
              </w:rPr>
              <w:t>4,037</w:t>
            </w:r>
          </w:p>
        </w:tc>
        <w:tc>
          <w:tcPr>
            <w:tcW w:w="2080" w:type="dxa"/>
            <w:vAlign w:val="bottom"/>
          </w:tcPr>
          <w:p>
            <w:pPr>
              <w:jc w:val="right"/>
              <w:spacing w:after="0"/>
              <w:rPr>
                <w:sz w:val="20"/>
                <w:szCs w:val="20"/>
                <w:color w:val="auto"/>
              </w:rPr>
            </w:pPr>
            <w:r>
              <w:rPr>
                <w:rFonts w:ascii="Arial" w:cs="Arial" w:eastAsia="Arial" w:hAnsi="Arial"/>
                <w:sz w:val="20"/>
                <w:szCs w:val="20"/>
                <w:color w:val="auto"/>
              </w:rPr>
              <w:t>4,037</w:t>
            </w:r>
          </w:p>
        </w:tc>
        <w:tc>
          <w:tcPr>
            <w:tcW w:w="0" w:type="dxa"/>
            <w:vAlign w:val="bottom"/>
          </w:tcPr>
          <w:p>
            <w:pPr>
              <w:spacing w:after="0"/>
              <w:rPr>
                <w:sz w:val="1"/>
                <w:szCs w:val="1"/>
                <w:color w:val="auto"/>
              </w:rPr>
            </w:pPr>
          </w:p>
        </w:tc>
      </w:tr>
      <w:tr>
        <w:trPr>
          <w:trHeight w:val="513"/>
        </w:trPr>
        <w:tc>
          <w:tcPr>
            <w:tcW w:w="5660" w:type="dxa"/>
            <w:vAlign w:val="bottom"/>
          </w:tcPr>
          <w:p>
            <w:pPr>
              <w:ind w:left="20"/>
              <w:spacing w:after="0"/>
              <w:rPr>
                <w:sz w:val="20"/>
                <w:szCs w:val="20"/>
                <w:color w:val="auto"/>
              </w:rPr>
            </w:pPr>
            <w:r>
              <w:rPr>
                <w:rFonts w:ascii="Arial" w:cs="Arial" w:eastAsia="Arial" w:hAnsi="Arial"/>
                <w:sz w:val="20"/>
                <w:szCs w:val="20"/>
                <w:color w:val="auto"/>
              </w:rPr>
              <w:t>Additional paid-in capital</w:t>
            </w:r>
          </w:p>
        </w:tc>
        <w:tc>
          <w:tcPr>
            <w:tcW w:w="1160" w:type="dxa"/>
            <w:vAlign w:val="bottom"/>
          </w:tcPr>
          <w:p>
            <w:pPr>
              <w:spacing w:after="0"/>
              <w:rPr>
                <w:sz w:val="24"/>
                <w:szCs w:val="24"/>
                <w:color w:val="auto"/>
              </w:rPr>
            </w:pPr>
          </w:p>
        </w:tc>
        <w:tc>
          <w:tcPr>
            <w:tcW w:w="2340" w:type="dxa"/>
            <w:vAlign w:val="bottom"/>
          </w:tcPr>
          <w:p>
            <w:pPr>
              <w:jc w:val="right"/>
              <w:ind w:right="301"/>
              <w:spacing w:after="0"/>
              <w:rPr>
                <w:sz w:val="20"/>
                <w:szCs w:val="20"/>
                <w:color w:val="auto"/>
              </w:rPr>
            </w:pPr>
            <w:r>
              <w:rPr>
                <w:rFonts w:ascii="Arial" w:cs="Arial" w:eastAsia="Arial" w:hAnsi="Arial"/>
                <w:sz w:val="20"/>
                <w:szCs w:val="20"/>
                <w:color w:val="auto"/>
              </w:rPr>
              <w:t>390,174</w:t>
            </w:r>
          </w:p>
        </w:tc>
        <w:tc>
          <w:tcPr>
            <w:tcW w:w="2080" w:type="dxa"/>
            <w:vAlign w:val="bottom"/>
          </w:tcPr>
          <w:p>
            <w:pPr>
              <w:jc w:val="right"/>
              <w:spacing w:after="0"/>
              <w:rPr>
                <w:sz w:val="20"/>
                <w:szCs w:val="20"/>
                <w:color w:val="auto"/>
              </w:rPr>
            </w:pPr>
            <w:r>
              <w:rPr>
                <w:rFonts w:ascii="Arial" w:cs="Arial" w:eastAsia="Arial" w:hAnsi="Arial"/>
                <w:sz w:val="20"/>
                <w:szCs w:val="20"/>
                <w:color w:val="auto"/>
              </w:rPr>
              <w:t>389,179</w:t>
            </w:r>
          </w:p>
        </w:tc>
        <w:tc>
          <w:tcPr>
            <w:tcW w:w="0" w:type="dxa"/>
            <w:vAlign w:val="bottom"/>
          </w:tcPr>
          <w:p>
            <w:pPr>
              <w:spacing w:after="0"/>
              <w:rPr>
                <w:sz w:val="1"/>
                <w:szCs w:val="1"/>
                <w:color w:val="auto"/>
              </w:rPr>
            </w:pPr>
          </w:p>
        </w:tc>
      </w:tr>
      <w:tr>
        <w:trPr>
          <w:trHeight w:val="513"/>
        </w:trPr>
        <w:tc>
          <w:tcPr>
            <w:tcW w:w="5660" w:type="dxa"/>
            <w:vAlign w:val="bottom"/>
          </w:tcPr>
          <w:p>
            <w:pPr>
              <w:ind w:left="20"/>
              <w:spacing w:after="0"/>
              <w:rPr>
                <w:sz w:val="20"/>
                <w:szCs w:val="20"/>
                <w:color w:val="auto"/>
              </w:rPr>
            </w:pPr>
            <w:r>
              <w:rPr>
                <w:rFonts w:ascii="Arial" w:cs="Arial" w:eastAsia="Arial" w:hAnsi="Arial"/>
                <w:sz w:val="20"/>
                <w:szCs w:val="20"/>
                <w:color w:val="auto"/>
              </w:rPr>
              <w:t>Treasury share reserve</w:t>
            </w:r>
          </w:p>
        </w:tc>
        <w:tc>
          <w:tcPr>
            <w:tcW w:w="1160" w:type="dxa"/>
            <w:vAlign w:val="bottom"/>
          </w:tcPr>
          <w:p>
            <w:pPr>
              <w:jc w:val="center"/>
              <w:ind w:right="361"/>
              <w:spacing w:after="0"/>
              <w:rPr>
                <w:sz w:val="20"/>
                <w:szCs w:val="20"/>
                <w:color w:val="auto"/>
              </w:rPr>
            </w:pPr>
            <w:r>
              <w:rPr>
                <w:rFonts w:ascii="Arial" w:cs="Arial" w:eastAsia="Arial" w:hAnsi="Arial"/>
                <w:sz w:val="20"/>
                <w:szCs w:val="20"/>
                <w:color w:val="auto"/>
                <w:w w:val="93"/>
              </w:rPr>
              <w:t>5.2</w:t>
            </w:r>
          </w:p>
        </w:tc>
        <w:tc>
          <w:tcPr>
            <w:tcW w:w="2340" w:type="dxa"/>
            <w:vAlign w:val="bottom"/>
          </w:tcPr>
          <w:p>
            <w:pPr>
              <w:jc w:val="right"/>
              <w:ind w:right="241"/>
              <w:spacing w:after="0"/>
              <w:rPr>
                <w:sz w:val="20"/>
                <w:szCs w:val="20"/>
                <w:color w:val="auto"/>
              </w:rPr>
            </w:pPr>
            <w:r>
              <w:rPr>
                <w:rFonts w:ascii="Arial" w:cs="Arial" w:eastAsia="Arial" w:hAnsi="Arial"/>
                <w:sz w:val="20"/>
                <w:szCs w:val="20"/>
                <w:color w:val="auto"/>
              </w:rPr>
              <w:t>(1,133)</w:t>
            </w:r>
          </w:p>
        </w:tc>
        <w:tc>
          <w:tcPr>
            <w:tcW w:w="2080" w:type="dxa"/>
            <w:vAlign w:val="bottom"/>
          </w:tcPr>
          <w:p>
            <w:pPr>
              <w:jc w:val="right"/>
              <w:spacing w:after="0"/>
              <w:rPr>
                <w:sz w:val="20"/>
                <w:szCs w:val="20"/>
                <w:color w:val="auto"/>
              </w:rPr>
            </w:pPr>
            <w:r>
              <w:rPr>
                <w:rFonts w:ascii="Arial" w:cs="Arial" w:eastAsia="Arial" w:hAnsi="Arial"/>
                <w:sz w:val="20"/>
                <w:szCs w:val="20"/>
                <w:color w:val="auto"/>
              </w:rPr>
              <w:t>(1,129)</w:t>
            </w:r>
          </w:p>
        </w:tc>
        <w:tc>
          <w:tcPr>
            <w:tcW w:w="0" w:type="dxa"/>
            <w:vAlign w:val="bottom"/>
          </w:tcPr>
          <w:p>
            <w:pPr>
              <w:spacing w:after="0"/>
              <w:rPr>
                <w:sz w:val="1"/>
                <w:szCs w:val="1"/>
                <w:color w:val="auto"/>
              </w:rPr>
            </w:pPr>
          </w:p>
        </w:tc>
      </w:tr>
      <w:tr>
        <w:trPr>
          <w:trHeight w:val="513"/>
        </w:trPr>
        <w:tc>
          <w:tcPr>
            <w:tcW w:w="5660" w:type="dxa"/>
            <w:vAlign w:val="bottom"/>
          </w:tcPr>
          <w:p>
            <w:pPr>
              <w:ind w:left="20"/>
              <w:spacing w:after="0"/>
              <w:rPr>
                <w:sz w:val="20"/>
                <w:szCs w:val="20"/>
                <w:color w:val="auto"/>
              </w:rPr>
            </w:pPr>
            <w:r>
              <w:rPr>
                <w:rFonts w:ascii="Arial" w:cs="Arial" w:eastAsia="Arial" w:hAnsi="Arial"/>
                <w:sz w:val="20"/>
                <w:szCs w:val="20"/>
                <w:color w:val="auto"/>
              </w:rPr>
              <w:t>Cumulative losses</w:t>
            </w:r>
          </w:p>
        </w:tc>
        <w:tc>
          <w:tcPr>
            <w:tcW w:w="1160" w:type="dxa"/>
            <w:vAlign w:val="bottom"/>
          </w:tcPr>
          <w:p>
            <w:pPr>
              <w:spacing w:after="0"/>
              <w:rPr>
                <w:sz w:val="24"/>
                <w:szCs w:val="24"/>
                <w:color w:val="auto"/>
              </w:rPr>
            </w:pPr>
          </w:p>
        </w:tc>
        <w:tc>
          <w:tcPr>
            <w:tcW w:w="2340" w:type="dxa"/>
            <w:vAlign w:val="bottom"/>
          </w:tcPr>
          <w:p>
            <w:pPr>
              <w:jc w:val="right"/>
              <w:ind w:right="241"/>
              <w:spacing w:after="0"/>
              <w:rPr>
                <w:sz w:val="20"/>
                <w:szCs w:val="20"/>
                <w:color w:val="auto"/>
              </w:rPr>
            </w:pPr>
            <w:r>
              <w:rPr>
                <w:rFonts w:ascii="Arial" w:cs="Arial" w:eastAsia="Arial" w:hAnsi="Arial"/>
                <w:sz w:val="20"/>
                <w:szCs w:val="20"/>
                <w:color w:val="auto"/>
              </w:rPr>
              <w:t>(324,626)</w:t>
            </w:r>
          </w:p>
        </w:tc>
        <w:tc>
          <w:tcPr>
            <w:tcW w:w="2080" w:type="dxa"/>
            <w:vAlign w:val="bottom"/>
          </w:tcPr>
          <w:p>
            <w:pPr>
              <w:jc w:val="right"/>
              <w:spacing w:after="0"/>
              <w:rPr>
                <w:sz w:val="20"/>
                <w:szCs w:val="20"/>
                <w:color w:val="auto"/>
              </w:rPr>
            </w:pPr>
            <w:r>
              <w:rPr>
                <w:rFonts w:ascii="Arial" w:cs="Arial" w:eastAsia="Arial" w:hAnsi="Arial"/>
                <w:sz w:val="20"/>
                <w:szCs w:val="20"/>
                <w:color w:val="auto"/>
              </w:rPr>
              <w:t>(311,753)</w:t>
            </w:r>
          </w:p>
        </w:tc>
        <w:tc>
          <w:tcPr>
            <w:tcW w:w="0" w:type="dxa"/>
            <w:vAlign w:val="bottom"/>
          </w:tcPr>
          <w:p>
            <w:pPr>
              <w:spacing w:after="0"/>
              <w:rPr>
                <w:sz w:val="1"/>
                <w:szCs w:val="1"/>
                <w:color w:val="auto"/>
              </w:rPr>
            </w:pPr>
          </w:p>
        </w:tc>
      </w:tr>
      <w:tr>
        <w:trPr>
          <w:trHeight w:val="513"/>
        </w:trPr>
        <w:tc>
          <w:tcPr>
            <w:tcW w:w="5660" w:type="dxa"/>
            <w:vAlign w:val="bottom"/>
          </w:tcPr>
          <w:p>
            <w:pPr>
              <w:ind w:left="20"/>
              <w:spacing w:after="0"/>
              <w:rPr>
                <w:sz w:val="20"/>
                <w:szCs w:val="20"/>
                <w:color w:val="auto"/>
              </w:rPr>
            </w:pPr>
            <w:r>
              <w:rPr>
                <w:rFonts w:ascii="Arial" w:cs="Arial" w:eastAsia="Arial" w:hAnsi="Arial"/>
                <w:sz w:val="20"/>
                <w:szCs w:val="20"/>
                <w:color w:val="auto"/>
              </w:rPr>
              <w:t>Total shareholders' equity</w:t>
            </w:r>
          </w:p>
        </w:tc>
        <w:tc>
          <w:tcPr>
            <w:tcW w:w="1160" w:type="dxa"/>
            <w:vAlign w:val="bottom"/>
          </w:tcPr>
          <w:p>
            <w:pPr>
              <w:spacing w:after="0"/>
              <w:rPr>
                <w:sz w:val="24"/>
                <w:szCs w:val="24"/>
                <w:color w:val="auto"/>
              </w:rPr>
            </w:pPr>
          </w:p>
        </w:tc>
        <w:tc>
          <w:tcPr>
            <w:tcW w:w="2340" w:type="dxa"/>
            <w:vAlign w:val="bottom"/>
          </w:tcPr>
          <w:p>
            <w:pPr>
              <w:jc w:val="right"/>
              <w:ind w:right="301"/>
              <w:spacing w:after="0"/>
              <w:rPr>
                <w:sz w:val="20"/>
                <w:szCs w:val="20"/>
                <w:color w:val="auto"/>
              </w:rPr>
            </w:pPr>
            <w:r>
              <w:rPr>
                <w:rFonts w:ascii="Arial" w:cs="Arial" w:eastAsia="Arial" w:hAnsi="Arial"/>
                <w:sz w:val="20"/>
                <w:szCs w:val="20"/>
                <w:color w:val="auto"/>
              </w:rPr>
              <w:t>68,452</w:t>
            </w:r>
          </w:p>
        </w:tc>
        <w:tc>
          <w:tcPr>
            <w:tcW w:w="2080" w:type="dxa"/>
            <w:vAlign w:val="bottom"/>
          </w:tcPr>
          <w:p>
            <w:pPr>
              <w:jc w:val="right"/>
              <w:spacing w:after="0"/>
              <w:rPr>
                <w:sz w:val="20"/>
                <w:szCs w:val="20"/>
                <w:color w:val="auto"/>
              </w:rPr>
            </w:pPr>
            <w:r>
              <w:rPr>
                <w:rFonts w:ascii="Arial" w:cs="Arial" w:eastAsia="Arial" w:hAnsi="Arial"/>
                <w:sz w:val="20"/>
                <w:szCs w:val="20"/>
                <w:color w:val="auto"/>
              </w:rPr>
              <w:t>80,334</w:t>
            </w:r>
          </w:p>
        </w:tc>
        <w:tc>
          <w:tcPr>
            <w:tcW w:w="0" w:type="dxa"/>
            <w:vAlign w:val="bottom"/>
          </w:tcPr>
          <w:p>
            <w:pPr>
              <w:spacing w:after="0"/>
              <w:rPr>
                <w:sz w:val="1"/>
                <w:szCs w:val="1"/>
                <w:color w:val="auto"/>
              </w:rPr>
            </w:pPr>
          </w:p>
        </w:tc>
      </w:tr>
      <w:tr>
        <w:trPr>
          <w:trHeight w:val="246"/>
        </w:trPr>
        <w:tc>
          <w:tcPr>
            <w:tcW w:w="5660" w:type="dxa"/>
            <w:vAlign w:val="bottom"/>
            <w:tcBorders>
              <w:bottom w:val="single" w:sz="8" w:color="BF2115"/>
            </w:tcBorders>
          </w:tcPr>
          <w:p>
            <w:pPr>
              <w:spacing w:after="0"/>
              <w:rPr>
                <w:sz w:val="21"/>
                <w:szCs w:val="21"/>
                <w:color w:val="auto"/>
              </w:rPr>
            </w:pPr>
          </w:p>
        </w:tc>
        <w:tc>
          <w:tcPr>
            <w:tcW w:w="1160" w:type="dxa"/>
            <w:vAlign w:val="bottom"/>
            <w:tcBorders>
              <w:bottom w:val="single" w:sz="8" w:color="BF2115"/>
            </w:tcBorders>
          </w:tcPr>
          <w:p>
            <w:pPr>
              <w:spacing w:after="0"/>
              <w:rPr>
                <w:sz w:val="21"/>
                <w:szCs w:val="21"/>
                <w:color w:val="auto"/>
              </w:rPr>
            </w:pPr>
          </w:p>
        </w:tc>
        <w:tc>
          <w:tcPr>
            <w:tcW w:w="2340" w:type="dxa"/>
            <w:vAlign w:val="bottom"/>
            <w:tcBorders>
              <w:bottom w:val="single" w:sz="8" w:color="BF2115"/>
            </w:tcBorders>
          </w:tcPr>
          <w:p>
            <w:pPr>
              <w:spacing w:after="0"/>
              <w:rPr>
                <w:sz w:val="21"/>
                <w:szCs w:val="21"/>
                <w:color w:val="auto"/>
              </w:rPr>
            </w:pPr>
          </w:p>
        </w:tc>
        <w:tc>
          <w:tcPr>
            <w:tcW w:w="2080" w:type="dxa"/>
            <w:vAlign w:val="bottom"/>
            <w:tcBorders>
              <w:bottom w:val="single" w:sz="8" w:color="BF2115"/>
            </w:tcBorders>
          </w:tcPr>
          <w:p>
            <w:pPr>
              <w:spacing w:after="0"/>
              <w:rPr>
                <w:sz w:val="21"/>
                <w:szCs w:val="21"/>
                <w:color w:val="auto"/>
              </w:rPr>
            </w:pPr>
          </w:p>
        </w:tc>
        <w:tc>
          <w:tcPr>
            <w:tcW w:w="0" w:type="dxa"/>
            <w:vAlign w:val="bottom"/>
          </w:tcPr>
          <w:p>
            <w:pPr>
              <w:spacing w:after="0"/>
              <w:rPr>
                <w:sz w:val="1"/>
                <w:szCs w:val="1"/>
                <w:color w:val="auto"/>
              </w:rPr>
            </w:pPr>
          </w:p>
        </w:tc>
      </w:tr>
      <w:tr>
        <w:trPr>
          <w:trHeight w:val="503"/>
        </w:trPr>
        <w:tc>
          <w:tcPr>
            <w:tcW w:w="5660" w:type="dxa"/>
            <w:vAlign w:val="bottom"/>
          </w:tcPr>
          <w:p>
            <w:pPr>
              <w:ind w:left="20"/>
              <w:spacing w:after="0"/>
              <w:rPr>
                <w:sz w:val="20"/>
                <w:szCs w:val="20"/>
                <w:color w:val="auto"/>
              </w:rPr>
            </w:pPr>
            <w:r>
              <w:rPr>
                <w:rFonts w:ascii="Arial" w:cs="Arial" w:eastAsia="Arial" w:hAnsi="Arial"/>
                <w:sz w:val="20"/>
                <w:szCs w:val="20"/>
                <w:color w:val="auto"/>
              </w:rPr>
              <w:t>Trade and other payables</w:t>
            </w:r>
          </w:p>
        </w:tc>
        <w:tc>
          <w:tcPr>
            <w:tcW w:w="1160" w:type="dxa"/>
            <w:vAlign w:val="bottom"/>
          </w:tcPr>
          <w:p>
            <w:pPr>
              <w:spacing w:after="0"/>
              <w:rPr>
                <w:sz w:val="24"/>
                <w:szCs w:val="24"/>
                <w:color w:val="auto"/>
              </w:rPr>
            </w:pPr>
          </w:p>
        </w:tc>
        <w:tc>
          <w:tcPr>
            <w:tcW w:w="2340" w:type="dxa"/>
            <w:vAlign w:val="bottom"/>
          </w:tcPr>
          <w:p>
            <w:pPr>
              <w:jc w:val="right"/>
              <w:ind w:right="301"/>
              <w:spacing w:after="0"/>
              <w:rPr>
                <w:sz w:val="20"/>
                <w:szCs w:val="20"/>
                <w:color w:val="auto"/>
              </w:rPr>
            </w:pPr>
            <w:r>
              <w:rPr>
                <w:rFonts w:ascii="Arial" w:cs="Arial" w:eastAsia="Arial" w:hAnsi="Arial"/>
                <w:sz w:val="20"/>
                <w:szCs w:val="20"/>
                <w:color w:val="auto"/>
              </w:rPr>
              <w:t>160</w:t>
            </w:r>
          </w:p>
        </w:tc>
        <w:tc>
          <w:tcPr>
            <w:tcW w:w="2080" w:type="dxa"/>
            <w:vAlign w:val="bottom"/>
          </w:tcPr>
          <w:p>
            <w:pPr>
              <w:jc w:val="right"/>
              <w:spacing w:after="0"/>
              <w:rPr>
                <w:sz w:val="20"/>
                <w:szCs w:val="20"/>
                <w:color w:val="auto"/>
              </w:rPr>
            </w:pPr>
            <w:r>
              <w:rPr>
                <w:rFonts w:ascii="Arial" w:cs="Arial" w:eastAsia="Arial" w:hAnsi="Arial"/>
                <w:sz w:val="20"/>
                <w:szCs w:val="20"/>
                <w:color w:val="auto"/>
              </w:rPr>
              <w:t>160</w:t>
            </w:r>
          </w:p>
        </w:tc>
        <w:tc>
          <w:tcPr>
            <w:tcW w:w="0" w:type="dxa"/>
            <w:vAlign w:val="bottom"/>
          </w:tcPr>
          <w:p>
            <w:pPr>
              <w:spacing w:after="0"/>
              <w:rPr>
                <w:sz w:val="1"/>
                <w:szCs w:val="1"/>
                <w:color w:val="auto"/>
              </w:rPr>
            </w:pPr>
          </w:p>
        </w:tc>
      </w:tr>
      <w:tr>
        <w:trPr>
          <w:trHeight w:val="270"/>
        </w:trPr>
        <w:tc>
          <w:tcPr>
            <w:tcW w:w="5660" w:type="dxa"/>
            <w:vAlign w:val="bottom"/>
          </w:tcPr>
          <w:p>
            <w:pPr>
              <w:ind w:left="20"/>
              <w:spacing w:after="0"/>
              <w:rPr>
                <w:sz w:val="20"/>
                <w:szCs w:val="20"/>
                <w:color w:val="auto"/>
              </w:rPr>
            </w:pPr>
            <w:r>
              <w:rPr>
                <w:rFonts w:ascii="Arial" w:cs="Arial" w:eastAsia="Arial" w:hAnsi="Arial"/>
                <w:sz w:val="20"/>
                <w:szCs w:val="20"/>
                <w:color w:val="auto"/>
              </w:rPr>
              <w:t>Lease liability</w:t>
            </w:r>
          </w:p>
        </w:tc>
        <w:tc>
          <w:tcPr>
            <w:tcW w:w="1160" w:type="dxa"/>
            <w:vAlign w:val="bottom"/>
          </w:tcPr>
          <w:p>
            <w:pPr>
              <w:spacing w:after="0"/>
              <w:rPr>
                <w:sz w:val="23"/>
                <w:szCs w:val="23"/>
                <w:color w:val="auto"/>
              </w:rPr>
            </w:pPr>
          </w:p>
        </w:tc>
        <w:tc>
          <w:tcPr>
            <w:tcW w:w="2340" w:type="dxa"/>
            <w:vAlign w:val="bottom"/>
          </w:tcPr>
          <w:p>
            <w:pPr>
              <w:jc w:val="right"/>
              <w:ind w:right="301"/>
              <w:spacing w:after="0"/>
              <w:rPr>
                <w:sz w:val="20"/>
                <w:szCs w:val="20"/>
                <w:color w:val="auto"/>
              </w:rPr>
            </w:pPr>
            <w:r>
              <w:rPr>
                <w:rFonts w:ascii="Arial" w:cs="Arial" w:eastAsia="Arial" w:hAnsi="Arial"/>
                <w:sz w:val="20"/>
                <w:szCs w:val="20"/>
                <w:color w:val="auto"/>
              </w:rPr>
              <w:t>2,136</w:t>
            </w:r>
          </w:p>
        </w:tc>
        <w:tc>
          <w:tcPr>
            <w:tcW w:w="2080" w:type="dxa"/>
            <w:vAlign w:val="bottom"/>
          </w:tcPr>
          <w:p>
            <w:pPr>
              <w:jc w:val="right"/>
              <w:spacing w:after="0"/>
              <w:rPr>
                <w:sz w:val="20"/>
                <w:szCs w:val="20"/>
                <w:color w:val="auto"/>
              </w:rPr>
            </w:pPr>
            <w:r>
              <w:rPr>
                <w:rFonts w:ascii="Arial" w:cs="Arial" w:eastAsia="Arial" w:hAnsi="Arial"/>
                <w:sz w:val="20"/>
                <w:szCs w:val="20"/>
                <w:color w:val="auto"/>
              </w:rPr>
              <w:t>2,438</w:t>
            </w:r>
          </w:p>
        </w:tc>
        <w:tc>
          <w:tcPr>
            <w:tcW w:w="0" w:type="dxa"/>
            <w:vAlign w:val="bottom"/>
          </w:tcPr>
          <w:p>
            <w:pPr>
              <w:spacing w:after="0"/>
              <w:rPr>
                <w:sz w:val="1"/>
                <w:szCs w:val="1"/>
                <w:color w:val="auto"/>
              </w:rPr>
            </w:pPr>
          </w:p>
        </w:tc>
      </w:tr>
      <w:tr>
        <w:trPr>
          <w:trHeight w:val="513"/>
        </w:trPr>
        <w:tc>
          <w:tcPr>
            <w:tcW w:w="5660" w:type="dxa"/>
            <w:vAlign w:val="bottom"/>
          </w:tcPr>
          <w:p>
            <w:pPr>
              <w:ind w:left="20"/>
              <w:spacing w:after="0"/>
              <w:rPr>
                <w:sz w:val="20"/>
                <w:szCs w:val="20"/>
                <w:color w:val="auto"/>
              </w:rPr>
            </w:pPr>
            <w:r>
              <w:rPr>
                <w:rFonts w:ascii="Arial" w:cs="Arial" w:eastAsia="Arial" w:hAnsi="Arial"/>
                <w:sz w:val="20"/>
                <w:szCs w:val="20"/>
                <w:color w:val="auto"/>
              </w:rPr>
              <w:t>Employee benefits</w:t>
            </w:r>
          </w:p>
        </w:tc>
        <w:tc>
          <w:tcPr>
            <w:tcW w:w="1160" w:type="dxa"/>
            <w:vAlign w:val="bottom"/>
          </w:tcPr>
          <w:p>
            <w:pPr>
              <w:jc w:val="center"/>
              <w:ind w:right="361"/>
              <w:spacing w:after="0"/>
              <w:rPr>
                <w:sz w:val="20"/>
                <w:szCs w:val="20"/>
                <w:color w:val="auto"/>
              </w:rPr>
            </w:pPr>
            <w:r>
              <w:rPr>
                <w:rFonts w:ascii="Arial" w:cs="Arial" w:eastAsia="Arial" w:hAnsi="Arial"/>
                <w:sz w:val="20"/>
                <w:szCs w:val="20"/>
                <w:color w:val="auto"/>
                <w:w w:val="93"/>
              </w:rPr>
              <w:t>5.8</w:t>
            </w:r>
          </w:p>
        </w:tc>
        <w:tc>
          <w:tcPr>
            <w:tcW w:w="2340" w:type="dxa"/>
            <w:vAlign w:val="bottom"/>
          </w:tcPr>
          <w:p>
            <w:pPr>
              <w:jc w:val="right"/>
              <w:ind w:right="301"/>
              <w:spacing w:after="0"/>
              <w:rPr>
                <w:sz w:val="20"/>
                <w:szCs w:val="20"/>
                <w:color w:val="auto"/>
              </w:rPr>
            </w:pPr>
            <w:r>
              <w:rPr>
                <w:rFonts w:ascii="Arial" w:cs="Arial" w:eastAsia="Arial" w:hAnsi="Arial"/>
                <w:sz w:val="20"/>
                <w:szCs w:val="20"/>
                <w:color w:val="auto"/>
              </w:rPr>
              <w:t>8,111</w:t>
            </w:r>
          </w:p>
        </w:tc>
        <w:tc>
          <w:tcPr>
            <w:tcW w:w="2080" w:type="dxa"/>
            <w:vAlign w:val="bottom"/>
          </w:tcPr>
          <w:p>
            <w:pPr>
              <w:jc w:val="right"/>
              <w:spacing w:after="0"/>
              <w:rPr>
                <w:sz w:val="20"/>
                <w:szCs w:val="20"/>
                <w:color w:val="auto"/>
              </w:rPr>
            </w:pPr>
            <w:r>
              <w:rPr>
                <w:rFonts w:ascii="Arial" w:cs="Arial" w:eastAsia="Arial" w:hAnsi="Arial"/>
                <w:sz w:val="20"/>
                <w:szCs w:val="20"/>
                <w:color w:val="auto"/>
              </w:rPr>
              <w:t>8,147</w:t>
            </w:r>
          </w:p>
        </w:tc>
        <w:tc>
          <w:tcPr>
            <w:tcW w:w="0" w:type="dxa"/>
            <w:vAlign w:val="bottom"/>
          </w:tcPr>
          <w:p>
            <w:pPr>
              <w:spacing w:after="0"/>
              <w:rPr>
                <w:sz w:val="1"/>
                <w:szCs w:val="1"/>
                <w:color w:val="auto"/>
              </w:rPr>
            </w:pPr>
          </w:p>
        </w:tc>
      </w:tr>
      <w:tr>
        <w:trPr>
          <w:trHeight w:val="513"/>
        </w:trPr>
        <w:tc>
          <w:tcPr>
            <w:tcW w:w="5660" w:type="dxa"/>
            <w:vAlign w:val="bottom"/>
          </w:tcPr>
          <w:p>
            <w:pPr>
              <w:ind w:left="20"/>
              <w:spacing w:after="0"/>
              <w:rPr>
                <w:sz w:val="20"/>
                <w:szCs w:val="20"/>
                <w:color w:val="auto"/>
              </w:rPr>
            </w:pPr>
            <w:r>
              <w:rPr>
                <w:rFonts w:ascii="Arial" w:cs="Arial" w:eastAsia="Arial" w:hAnsi="Arial"/>
                <w:sz w:val="20"/>
                <w:szCs w:val="20"/>
                <w:color w:val="auto"/>
              </w:rPr>
              <w:t>Total non-current liabilities</w:t>
            </w:r>
          </w:p>
        </w:tc>
        <w:tc>
          <w:tcPr>
            <w:tcW w:w="1160" w:type="dxa"/>
            <w:vAlign w:val="bottom"/>
          </w:tcPr>
          <w:p>
            <w:pPr>
              <w:spacing w:after="0"/>
              <w:rPr>
                <w:sz w:val="24"/>
                <w:szCs w:val="24"/>
                <w:color w:val="auto"/>
              </w:rPr>
            </w:pPr>
          </w:p>
        </w:tc>
        <w:tc>
          <w:tcPr>
            <w:tcW w:w="2340" w:type="dxa"/>
            <w:vAlign w:val="bottom"/>
          </w:tcPr>
          <w:p>
            <w:pPr>
              <w:jc w:val="right"/>
              <w:ind w:right="301"/>
              <w:spacing w:after="0"/>
              <w:rPr>
                <w:sz w:val="20"/>
                <w:szCs w:val="20"/>
                <w:color w:val="auto"/>
              </w:rPr>
            </w:pPr>
            <w:r>
              <w:rPr>
                <w:rFonts w:ascii="Arial" w:cs="Arial" w:eastAsia="Arial" w:hAnsi="Arial"/>
                <w:sz w:val="20"/>
                <w:szCs w:val="20"/>
                <w:color w:val="auto"/>
              </w:rPr>
              <w:t>10,407</w:t>
            </w:r>
          </w:p>
        </w:tc>
        <w:tc>
          <w:tcPr>
            <w:tcW w:w="2080" w:type="dxa"/>
            <w:vAlign w:val="bottom"/>
          </w:tcPr>
          <w:p>
            <w:pPr>
              <w:jc w:val="right"/>
              <w:spacing w:after="0"/>
              <w:rPr>
                <w:sz w:val="20"/>
                <w:szCs w:val="20"/>
                <w:color w:val="auto"/>
              </w:rPr>
            </w:pPr>
            <w:r>
              <w:rPr>
                <w:rFonts w:ascii="Arial" w:cs="Arial" w:eastAsia="Arial" w:hAnsi="Arial"/>
                <w:sz w:val="20"/>
                <w:szCs w:val="20"/>
                <w:color w:val="auto"/>
              </w:rPr>
              <w:t>10,746</w:t>
            </w:r>
          </w:p>
        </w:tc>
        <w:tc>
          <w:tcPr>
            <w:tcW w:w="0" w:type="dxa"/>
            <w:vAlign w:val="bottom"/>
          </w:tcPr>
          <w:p>
            <w:pPr>
              <w:spacing w:after="0"/>
              <w:rPr>
                <w:sz w:val="1"/>
                <w:szCs w:val="1"/>
                <w:color w:val="auto"/>
              </w:rPr>
            </w:pPr>
          </w:p>
        </w:tc>
      </w:tr>
      <w:tr>
        <w:trPr>
          <w:trHeight w:val="247"/>
        </w:trPr>
        <w:tc>
          <w:tcPr>
            <w:tcW w:w="5660" w:type="dxa"/>
            <w:vAlign w:val="bottom"/>
            <w:tcBorders>
              <w:bottom w:val="single" w:sz="8" w:color="BF2115"/>
            </w:tcBorders>
          </w:tcPr>
          <w:p>
            <w:pPr>
              <w:spacing w:after="0"/>
              <w:rPr>
                <w:sz w:val="21"/>
                <w:szCs w:val="21"/>
                <w:color w:val="auto"/>
              </w:rPr>
            </w:pPr>
          </w:p>
        </w:tc>
        <w:tc>
          <w:tcPr>
            <w:tcW w:w="1160" w:type="dxa"/>
            <w:vAlign w:val="bottom"/>
            <w:tcBorders>
              <w:bottom w:val="single" w:sz="8" w:color="BF2115"/>
            </w:tcBorders>
          </w:tcPr>
          <w:p>
            <w:pPr>
              <w:spacing w:after="0"/>
              <w:rPr>
                <w:sz w:val="21"/>
                <w:szCs w:val="21"/>
                <w:color w:val="auto"/>
              </w:rPr>
            </w:pPr>
          </w:p>
        </w:tc>
        <w:tc>
          <w:tcPr>
            <w:tcW w:w="2340" w:type="dxa"/>
            <w:vAlign w:val="bottom"/>
            <w:tcBorders>
              <w:bottom w:val="single" w:sz="8" w:color="BF2115"/>
            </w:tcBorders>
          </w:tcPr>
          <w:p>
            <w:pPr>
              <w:spacing w:after="0"/>
              <w:rPr>
                <w:sz w:val="21"/>
                <w:szCs w:val="21"/>
                <w:color w:val="auto"/>
              </w:rPr>
            </w:pPr>
          </w:p>
        </w:tc>
        <w:tc>
          <w:tcPr>
            <w:tcW w:w="2080" w:type="dxa"/>
            <w:vAlign w:val="bottom"/>
            <w:tcBorders>
              <w:bottom w:val="single" w:sz="8" w:color="BF2115"/>
            </w:tcBorders>
          </w:tcPr>
          <w:p>
            <w:pPr>
              <w:spacing w:after="0"/>
              <w:rPr>
                <w:sz w:val="21"/>
                <w:szCs w:val="21"/>
                <w:color w:val="auto"/>
              </w:rPr>
            </w:pPr>
          </w:p>
        </w:tc>
        <w:tc>
          <w:tcPr>
            <w:tcW w:w="0" w:type="dxa"/>
            <w:vAlign w:val="bottom"/>
          </w:tcPr>
          <w:p>
            <w:pPr>
              <w:spacing w:after="0"/>
              <w:rPr>
                <w:sz w:val="1"/>
                <w:szCs w:val="1"/>
                <w:color w:val="auto"/>
              </w:rPr>
            </w:pPr>
          </w:p>
        </w:tc>
      </w:tr>
      <w:tr>
        <w:trPr>
          <w:trHeight w:val="516"/>
        </w:trPr>
        <w:tc>
          <w:tcPr>
            <w:tcW w:w="5660" w:type="dxa"/>
            <w:vAlign w:val="bottom"/>
          </w:tcPr>
          <w:p>
            <w:pPr>
              <w:ind w:left="20"/>
              <w:spacing w:after="0"/>
              <w:rPr>
                <w:sz w:val="20"/>
                <w:szCs w:val="20"/>
                <w:color w:val="auto"/>
              </w:rPr>
            </w:pPr>
            <w:r>
              <w:rPr>
                <w:rFonts w:ascii="Arial" w:cs="Arial" w:eastAsia="Arial" w:hAnsi="Arial"/>
                <w:sz w:val="20"/>
                <w:szCs w:val="20"/>
                <w:color w:val="auto"/>
              </w:rPr>
              <w:t>Trade and other payables</w:t>
            </w:r>
          </w:p>
        </w:tc>
        <w:tc>
          <w:tcPr>
            <w:tcW w:w="1160" w:type="dxa"/>
            <w:vAlign w:val="bottom"/>
          </w:tcPr>
          <w:p>
            <w:pPr>
              <w:spacing w:after="0"/>
              <w:rPr>
                <w:sz w:val="24"/>
                <w:szCs w:val="24"/>
                <w:color w:val="auto"/>
              </w:rPr>
            </w:pPr>
          </w:p>
        </w:tc>
        <w:tc>
          <w:tcPr>
            <w:tcW w:w="2340" w:type="dxa"/>
            <w:vAlign w:val="bottom"/>
          </w:tcPr>
          <w:p>
            <w:pPr>
              <w:jc w:val="right"/>
              <w:ind w:right="301"/>
              <w:spacing w:after="0"/>
              <w:rPr>
                <w:sz w:val="20"/>
                <w:szCs w:val="20"/>
                <w:color w:val="auto"/>
              </w:rPr>
            </w:pPr>
            <w:r>
              <w:rPr>
                <w:rFonts w:ascii="Arial" w:cs="Arial" w:eastAsia="Arial" w:hAnsi="Arial"/>
                <w:sz w:val="20"/>
                <w:szCs w:val="20"/>
                <w:color w:val="auto"/>
              </w:rPr>
              <w:t>1,925</w:t>
            </w:r>
          </w:p>
        </w:tc>
        <w:tc>
          <w:tcPr>
            <w:tcW w:w="2080" w:type="dxa"/>
            <w:vAlign w:val="bottom"/>
          </w:tcPr>
          <w:p>
            <w:pPr>
              <w:jc w:val="right"/>
              <w:spacing w:after="0"/>
              <w:rPr>
                <w:sz w:val="20"/>
                <w:szCs w:val="20"/>
                <w:color w:val="auto"/>
              </w:rPr>
            </w:pPr>
            <w:r>
              <w:rPr>
                <w:rFonts w:ascii="Arial" w:cs="Arial" w:eastAsia="Arial" w:hAnsi="Arial"/>
                <w:sz w:val="20"/>
                <w:szCs w:val="20"/>
                <w:color w:val="auto"/>
              </w:rPr>
              <w:t>1,767</w:t>
            </w:r>
          </w:p>
        </w:tc>
        <w:tc>
          <w:tcPr>
            <w:tcW w:w="0" w:type="dxa"/>
            <w:vAlign w:val="bottom"/>
          </w:tcPr>
          <w:p>
            <w:pPr>
              <w:spacing w:after="0"/>
              <w:rPr>
                <w:sz w:val="1"/>
                <w:szCs w:val="1"/>
                <w:color w:val="auto"/>
              </w:rPr>
            </w:pPr>
          </w:p>
        </w:tc>
      </w:tr>
      <w:tr>
        <w:trPr>
          <w:trHeight w:val="513"/>
        </w:trPr>
        <w:tc>
          <w:tcPr>
            <w:tcW w:w="5660" w:type="dxa"/>
            <w:vAlign w:val="bottom"/>
          </w:tcPr>
          <w:p>
            <w:pPr>
              <w:ind w:left="20"/>
              <w:spacing w:after="0"/>
              <w:rPr>
                <w:sz w:val="20"/>
                <w:szCs w:val="20"/>
                <w:color w:val="auto"/>
              </w:rPr>
            </w:pPr>
            <w:r>
              <w:rPr>
                <w:rFonts w:ascii="Arial" w:cs="Arial" w:eastAsia="Arial" w:hAnsi="Arial"/>
                <w:sz w:val="20"/>
                <w:szCs w:val="20"/>
                <w:color w:val="auto"/>
              </w:rPr>
              <w:t>Accrued expenses</w:t>
            </w:r>
          </w:p>
        </w:tc>
        <w:tc>
          <w:tcPr>
            <w:tcW w:w="1160" w:type="dxa"/>
            <w:vAlign w:val="bottom"/>
          </w:tcPr>
          <w:p>
            <w:pPr>
              <w:spacing w:after="0"/>
              <w:rPr>
                <w:sz w:val="24"/>
                <w:szCs w:val="24"/>
                <w:color w:val="auto"/>
              </w:rPr>
            </w:pPr>
          </w:p>
        </w:tc>
        <w:tc>
          <w:tcPr>
            <w:tcW w:w="2340" w:type="dxa"/>
            <w:vAlign w:val="bottom"/>
          </w:tcPr>
          <w:p>
            <w:pPr>
              <w:jc w:val="right"/>
              <w:ind w:right="301"/>
              <w:spacing w:after="0"/>
              <w:rPr>
                <w:sz w:val="20"/>
                <w:szCs w:val="20"/>
                <w:color w:val="auto"/>
              </w:rPr>
            </w:pPr>
            <w:r>
              <w:rPr>
                <w:rFonts w:ascii="Arial" w:cs="Arial" w:eastAsia="Arial" w:hAnsi="Arial"/>
                <w:sz w:val="20"/>
                <w:szCs w:val="20"/>
                <w:color w:val="auto"/>
              </w:rPr>
              <w:t>5,666</w:t>
            </w:r>
          </w:p>
        </w:tc>
        <w:tc>
          <w:tcPr>
            <w:tcW w:w="2080" w:type="dxa"/>
            <w:vAlign w:val="bottom"/>
          </w:tcPr>
          <w:p>
            <w:pPr>
              <w:jc w:val="right"/>
              <w:spacing w:after="0"/>
              <w:rPr>
                <w:sz w:val="20"/>
                <w:szCs w:val="20"/>
                <w:color w:val="auto"/>
              </w:rPr>
            </w:pPr>
            <w:r>
              <w:rPr>
                <w:rFonts w:ascii="Arial" w:cs="Arial" w:eastAsia="Arial" w:hAnsi="Arial"/>
                <w:sz w:val="20"/>
                <w:szCs w:val="20"/>
                <w:color w:val="auto"/>
              </w:rPr>
              <w:t>8,055</w:t>
            </w:r>
          </w:p>
        </w:tc>
        <w:tc>
          <w:tcPr>
            <w:tcW w:w="0" w:type="dxa"/>
            <w:vAlign w:val="bottom"/>
          </w:tcPr>
          <w:p>
            <w:pPr>
              <w:spacing w:after="0"/>
              <w:rPr>
                <w:sz w:val="1"/>
                <w:szCs w:val="1"/>
                <w:color w:val="auto"/>
              </w:rPr>
            </w:pPr>
          </w:p>
        </w:tc>
      </w:tr>
      <w:tr>
        <w:trPr>
          <w:trHeight w:val="513"/>
        </w:trPr>
        <w:tc>
          <w:tcPr>
            <w:tcW w:w="5660" w:type="dxa"/>
            <w:vAlign w:val="bottom"/>
          </w:tcPr>
          <w:p>
            <w:pPr>
              <w:ind w:left="20"/>
              <w:spacing w:after="0"/>
              <w:rPr>
                <w:sz w:val="20"/>
                <w:szCs w:val="20"/>
                <w:color w:val="auto"/>
              </w:rPr>
            </w:pPr>
            <w:r>
              <w:rPr>
                <w:rFonts w:ascii="Arial" w:cs="Arial" w:eastAsia="Arial" w:hAnsi="Arial"/>
                <w:sz w:val="20"/>
                <w:szCs w:val="20"/>
                <w:color w:val="auto"/>
              </w:rPr>
              <w:t>Lease liability</w:t>
            </w:r>
          </w:p>
        </w:tc>
        <w:tc>
          <w:tcPr>
            <w:tcW w:w="1160" w:type="dxa"/>
            <w:vAlign w:val="bottom"/>
          </w:tcPr>
          <w:p>
            <w:pPr>
              <w:spacing w:after="0"/>
              <w:rPr>
                <w:sz w:val="24"/>
                <w:szCs w:val="24"/>
                <w:color w:val="auto"/>
              </w:rPr>
            </w:pPr>
          </w:p>
        </w:tc>
        <w:tc>
          <w:tcPr>
            <w:tcW w:w="2340" w:type="dxa"/>
            <w:vAlign w:val="bottom"/>
          </w:tcPr>
          <w:p>
            <w:pPr>
              <w:jc w:val="right"/>
              <w:ind w:right="301"/>
              <w:spacing w:after="0"/>
              <w:rPr>
                <w:sz w:val="20"/>
                <w:szCs w:val="20"/>
                <w:color w:val="auto"/>
              </w:rPr>
            </w:pPr>
            <w:r>
              <w:rPr>
                <w:rFonts w:ascii="Arial" w:cs="Arial" w:eastAsia="Arial" w:hAnsi="Arial"/>
                <w:sz w:val="20"/>
                <w:szCs w:val="20"/>
                <w:color w:val="auto"/>
              </w:rPr>
              <w:t>1,208</w:t>
            </w:r>
          </w:p>
        </w:tc>
        <w:tc>
          <w:tcPr>
            <w:tcW w:w="2080" w:type="dxa"/>
            <w:vAlign w:val="bottom"/>
          </w:tcPr>
          <w:p>
            <w:pPr>
              <w:jc w:val="right"/>
              <w:spacing w:after="0"/>
              <w:rPr>
                <w:sz w:val="20"/>
                <w:szCs w:val="20"/>
                <w:color w:val="auto"/>
              </w:rPr>
            </w:pPr>
            <w:r>
              <w:rPr>
                <w:rFonts w:ascii="Arial" w:cs="Arial" w:eastAsia="Arial" w:hAnsi="Arial"/>
                <w:sz w:val="20"/>
                <w:szCs w:val="20"/>
                <w:color w:val="auto"/>
              </w:rPr>
              <w:t>1,206</w:t>
            </w:r>
          </w:p>
        </w:tc>
        <w:tc>
          <w:tcPr>
            <w:tcW w:w="0" w:type="dxa"/>
            <w:vAlign w:val="bottom"/>
          </w:tcPr>
          <w:p>
            <w:pPr>
              <w:spacing w:after="0"/>
              <w:rPr>
                <w:sz w:val="1"/>
                <w:szCs w:val="1"/>
                <w:color w:val="auto"/>
              </w:rPr>
            </w:pPr>
          </w:p>
        </w:tc>
      </w:tr>
      <w:tr>
        <w:trPr>
          <w:trHeight w:val="513"/>
        </w:trPr>
        <w:tc>
          <w:tcPr>
            <w:tcW w:w="5660" w:type="dxa"/>
            <w:vAlign w:val="bottom"/>
          </w:tcPr>
          <w:p>
            <w:pPr>
              <w:ind w:left="20"/>
              <w:spacing w:after="0"/>
              <w:rPr>
                <w:sz w:val="20"/>
                <w:szCs w:val="20"/>
                <w:color w:val="auto"/>
              </w:rPr>
            </w:pPr>
            <w:r>
              <w:rPr>
                <w:rFonts w:ascii="Arial" w:cs="Arial" w:eastAsia="Arial" w:hAnsi="Arial"/>
                <w:sz w:val="20"/>
                <w:szCs w:val="20"/>
                <w:color w:val="auto"/>
              </w:rPr>
              <w:t>Total current liabilities</w:t>
            </w:r>
          </w:p>
        </w:tc>
        <w:tc>
          <w:tcPr>
            <w:tcW w:w="1160" w:type="dxa"/>
            <w:vAlign w:val="bottom"/>
          </w:tcPr>
          <w:p>
            <w:pPr>
              <w:spacing w:after="0"/>
              <w:rPr>
                <w:sz w:val="24"/>
                <w:szCs w:val="24"/>
                <w:color w:val="auto"/>
              </w:rPr>
            </w:pPr>
          </w:p>
        </w:tc>
        <w:tc>
          <w:tcPr>
            <w:tcW w:w="2340" w:type="dxa"/>
            <w:vAlign w:val="bottom"/>
          </w:tcPr>
          <w:p>
            <w:pPr>
              <w:jc w:val="right"/>
              <w:ind w:right="301"/>
              <w:spacing w:after="0"/>
              <w:rPr>
                <w:sz w:val="20"/>
                <w:szCs w:val="20"/>
                <w:color w:val="auto"/>
              </w:rPr>
            </w:pPr>
            <w:r>
              <w:rPr>
                <w:rFonts w:ascii="Arial" w:cs="Arial" w:eastAsia="Arial" w:hAnsi="Arial"/>
                <w:sz w:val="20"/>
                <w:szCs w:val="20"/>
                <w:color w:val="auto"/>
              </w:rPr>
              <w:t>8,799</w:t>
            </w:r>
          </w:p>
        </w:tc>
        <w:tc>
          <w:tcPr>
            <w:tcW w:w="2080" w:type="dxa"/>
            <w:vAlign w:val="bottom"/>
          </w:tcPr>
          <w:p>
            <w:pPr>
              <w:jc w:val="right"/>
              <w:spacing w:after="0"/>
              <w:rPr>
                <w:sz w:val="20"/>
                <w:szCs w:val="20"/>
                <w:color w:val="auto"/>
              </w:rPr>
            </w:pPr>
            <w:r>
              <w:rPr>
                <w:rFonts w:ascii="Arial" w:cs="Arial" w:eastAsia="Arial" w:hAnsi="Arial"/>
                <w:sz w:val="20"/>
                <w:szCs w:val="20"/>
                <w:color w:val="auto"/>
              </w:rPr>
              <w:t>11,027</w:t>
            </w:r>
          </w:p>
        </w:tc>
        <w:tc>
          <w:tcPr>
            <w:tcW w:w="0" w:type="dxa"/>
            <w:vAlign w:val="bottom"/>
          </w:tcPr>
          <w:p>
            <w:pPr>
              <w:spacing w:after="0"/>
              <w:rPr>
                <w:sz w:val="1"/>
                <w:szCs w:val="1"/>
                <w:color w:val="auto"/>
              </w:rPr>
            </w:pPr>
          </w:p>
        </w:tc>
      </w:tr>
      <w:tr>
        <w:trPr>
          <w:trHeight w:val="247"/>
        </w:trPr>
        <w:tc>
          <w:tcPr>
            <w:tcW w:w="5660" w:type="dxa"/>
            <w:vAlign w:val="bottom"/>
            <w:tcBorders>
              <w:bottom w:val="single" w:sz="8" w:color="BC2327"/>
            </w:tcBorders>
          </w:tcPr>
          <w:p>
            <w:pPr>
              <w:spacing w:after="0"/>
              <w:rPr>
                <w:sz w:val="21"/>
                <w:szCs w:val="21"/>
                <w:color w:val="auto"/>
              </w:rPr>
            </w:pPr>
          </w:p>
        </w:tc>
        <w:tc>
          <w:tcPr>
            <w:tcW w:w="1160" w:type="dxa"/>
            <w:vAlign w:val="bottom"/>
            <w:tcBorders>
              <w:bottom w:val="single" w:sz="8" w:color="BC2327"/>
            </w:tcBorders>
          </w:tcPr>
          <w:p>
            <w:pPr>
              <w:spacing w:after="0"/>
              <w:rPr>
                <w:sz w:val="21"/>
                <w:szCs w:val="21"/>
                <w:color w:val="auto"/>
              </w:rPr>
            </w:pPr>
          </w:p>
        </w:tc>
        <w:tc>
          <w:tcPr>
            <w:tcW w:w="2340" w:type="dxa"/>
            <w:vAlign w:val="bottom"/>
            <w:tcBorders>
              <w:bottom w:val="single" w:sz="8" w:color="BC2327"/>
            </w:tcBorders>
          </w:tcPr>
          <w:p>
            <w:pPr>
              <w:spacing w:after="0"/>
              <w:rPr>
                <w:sz w:val="21"/>
                <w:szCs w:val="21"/>
                <w:color w:val="auto"/>
              </w:rPr>
            </w:pPr>
          </w:p>
        </w:tc>
        <w:tc>
          <w:tcPr>
            <w:tcW w:w="2080" w:type="dxa"/>
            <w:vAlign w:val="bottom"/>
            <w:tcBorders>
              <w:bottom w:val="single" w:sz="8" w:color="BC2327"/>
            </w:tcBorders>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5660" w:type="dxa"/>
            <w:vAlign w:val="bottom"/>
          </w:tcPr>
          <w:p>
            <w:pPr>
              <w:ind w:left="20"/>
              <w:spacing w:after="0"/>
              <w:rPr>
                <w:sz w:val="20"/>
                <w:szCs w:val="20"/>
                <w:color w:val="auto"/>
              </w:rPr>
            </w:pPr>
            <w:r>
              <w:rPr>
                <w:rFonts w:ascii="Arial" w:cs="Arial" w:eastAsia="Arial" w:hAnsi="Arial"/>
                <w:sz w:val="20"/>
                <w:szCs w:val="20"/>
                <w:color w:val="auto"/>
              </w:rPr>
              <w:t>Total liabilities</w:t>
            </w:r>
          </w:p>
        </w:tc>
        <w:tc>
          <w:tcPr>
            <w:tcW w:w="1160" w:type="dxa"/>
            <w:vAlign w:val="bottom"/>
          </w:tcPr>
          <w:p>
            <w:pPr>
              <w:spacing w:after="0"/>
              <w:rPr>
                <w:sz w:val="22"/>
                <w:szCs w:val="22"/>
                <w:color w:val="auto"/>
              </w:rPr>
            </w:pPr>
          </w:p>
        </w:tc>
        <w:tc>
          <w:tcPr>
            <w:tcW w:w="2340" w:type="dxa"/>
            <w:vAlign w:val="bottom"/>
          </w:tcPr>
          <w:p>
            <w:pPr>
              <w:jc w:val="right"/>
              <w:ind w:right="301"/>
              <w:spacing w:after="0"/>
              <w:rPr>
                <w:sz w:val="20"/>
                <w:szCs w:val="20"/>
                <w:color w:val="auto"/>
              </w:rPr>
            </w:pPr>
            <w:r>
              <w:rPr>
                <w:rFonts w:ascii="Arial" w:cs="Arial" w:eastAsia="Arial" w:hAnsi="Arial"/>
                <w:sz w:val="20"/>
                <w:szCs w:val="20"/>
                <w:color w:val="auto"/>
              </w:rPr>
              <w:t>19,206</w:t>
            </w:r>
          </w:p>
        </w:tc>
        <w:tc>
          <w:tcPr>
            <w:tcW w:w="2080" w:type="dxa"/>
            <w:vAlign w:val="bottom"/>
          </w:tcPr>
          <w:p>
            <w:pPr>
              <w:jc w:val="right"/>
              <w:spacing w:after="0"/>
              <w:rPr>
                <w:sz w:val="20"/>
                <w:szCs w:val="20"/>
                <w:color w:val="auto"/>
              </w:rPr>
            </w:pPr>
            <w:r>
              <w:rPr>
                <w:rFonts w:ascii="Arial" w:cs="Arial" w:eastAsia="Arial" w:hAnsi="Arial"/>
                <w:sz w:val="20"/>
                <w:szCs w:val="20"/>
                <w:color w:val="auto"/>
              </w:rPr>
              <w:t>21,772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72" w:right="339" w:bottom="77" w:gutter="0" w:footer="0" w:header="0"/>
        </w:sectPr>
      </w:pPr>
    </w:p>
    <w:p>
      <w:pPr>
        <w:spacing w:after="0" w:line="200" w:lineRule="exact"/>
        <w:rPr>
          <w:sz w:val="20"/>
          <w:szCs w:val="20"/>
          <w:color w:val="auto"/>
        </w:rPr>
      </w:pPr>
    </w:p>
    <w:p>
      <w:pPr>
        <w:spacing w:after="0" w:line="322" w:lineRule="exact"/>
        <w:rPr>
          <w:sz w:val="20"/>
          <w:szCs w:val="20"/>
          <w:color w:val="auto"/>
        </w:rPr>
      </w:pPr>
    </w:p>
    <w:p>
      <w:pPr>
        <w:ind w:left="20"/>
        <w:spacing w:after="0"/>
        <w:tabs>
          <w:tab w:leader="none" w:pos="8140" w:val="left"/>
          <w:tab w:leader="none" w:pos="10420" w:val="left"/>
        </w:tabs>
        <w:rPr>
          <w:sz w:val="20"/>
          <w:szCs w:val="20"/>
          <w:color w:val="auto"/>
        </w:rPr>
      </w:pPr>
      <w:r>
        <w:rPr>
          <w:rFonts w:ascii="Arial" w:cs="Arial" w:eastAsia="Arial" w:hAnsi="Arial"/>
          <w:sz w:val="20"/>
          <w:szCs w:val="20"/>
          <w:color w:val="auto"/>
        </w:rPr>
        <w:t>Total shareholders' equity and liabilities</w:t>
      </w:r>
      <w:r>
        <w:rPr>
          <w:sz w:val="20"/>
          <w:szCs w:val="20"/>
          <w:color w:val="auto"/>
        </w:rPr>
        <w:tab/>
      </w:r>
      <w:r>
        <w:rPr>
          <w:rFonts w:ascii="Arial" w:cs="Arial" w:eastAsia="Arial" w:hAnsi="Arial"/>
          <w:sz w:val="20"/>
          <w:szCs w:val="20"/>
          <w:color w:val="auto"/>
        </w:rPr>
        <w:t>87,658</w:t>
      </w:r>
      <w:r>
        <w:rPr>
          <w:sz w:val="20"/>
          <w:szCs w:val="20"/>
          <w:color w:val="auto"/>
        </w:rPr>
        <w:tab/>
      </w:r>
      <w:r>
        <w:rPr>
          <w:rFonts w:ascii="Arial" w:cs="Arial" w:eastAsia="Arial" w:hAnsi="Arial"/>
          <w:sz w:val="19"/>
          <w:szCs w:val="19"/>
          <w:color w:val="auto"/>
        </w:rPr>
        <w:t>102,107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72" w:right="339" w:bottom="77" w:gutter="0" w:footer="0" w:header="0"/>
          <w:type w:val="continuous"/>
        </w:sectPr>
      </w:pPr>
    </w:p>
    <w:bookmarkStart w:id="11" w:name="page12"/>
    <w:bookmarkEnd w:id="11"/>
    <w:p>
      <w:pPr>
        <w:spacing w:after="0"/>
        <w:rPr>
          <w:sz w:val="20"/>
          <w:szCs w:val="20"/>
          <w:color w:val="auto"/>
        </w:rPr>
      </w:pPr>
      <w:r>
        <w:rPr>
          <w:rFonts w:ascii="Arial" w:cs="Arial" w:eastAsia="Arial" w:hAnsi="Arial"/>
          <w:sz w:val="20"/>
          <w:szCs w:val="20"/>
          <w:i w:val="1"/>
          <w:iCs w:val="1"/>
          <w:color w:val="auto"/>
        </w:rPr>
        <w:t>See accompanying notes, which form an integral part of these unaudited condensed consolidated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118"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43"/>
        </w:trPr>
        <w:tc>
          <w:tcPr>
            <w:tcW w:w="6920" w:type="dxa"/>
            <w:vAlign w:val="bottom"/>
          </w:tcPr>
          <w:p>
            <w:pPr>
              <w:ind w:left="20"/>
              <w:spacing w:after="0"/>
              <w:rPr>
                <w:sz w:val="20"/>
                <w:szCs w:val="20"/>
                <w:color w:val="auto"/>
              </w:rPr>
            </w:pPr>
            <w:r>
              <w:rPr>
                <w:rFonts w:ascii="Arial" w:cs="Arial" w:eastAsia="Arial" w:hAnsi="Arial"/>
                <w:sz w:val="20"/>
                <w:szCs w:val="20"/>
                <w:color w:val="auto"/>
              </w:rPr>
              <w:t>Condensed consolidated interim statement of profit or loss and other</w:t>
            </w:r>
          </w:p>
        </w:tc>
        <w:tc>
          <w:tcPr>
            <w:tcW w:w="1680" w:type="dxa"/>
            <w:vAlign w:val="bottom"/>
          </w:tcPr>
          <w:p>
            <w:pPr>
              <w:spacing w:after="0"/>
              <w:rPr>
                <w:sz w:val="21"/>
                <w:szCs w:val="21"/>
                <w:color w:val="auto"/>
              </w:rPr>
            </w:pPr>
          </w:p>
        </w:tc>
        <w:tc>
          <w:tcPr>
            <w:tcW w:w="1460" w:type="dxa"/>
            <w:vAlign w:val="bottom"/>
            <w:vMerge w:val="restart"/>
          </w:tcPr>
          <w:p>
            <w:pPr>
              <w:jc w:val="right"/>
              <w:ind w:right="261"/>
              <w:spacing w:after="0"/>
              <w:rPr>
                <w:sz w:val="20"/>
                <w:szCs w:val="20"/>
                <w:color w:val="auto"/>
              </w:rPr>
            </w:pPr>
            <w:r>
              <w:rPr>
                <w:rFonts w:ascii="Arial" w:cs="Arial" w:eastAsia="Arial" w:hAnsi="Arial"/>
                <w:sz w:val="20"/>
                <w:szCs w:val="20"/>
                <w:color w:val="auto"/>
              </w:rPr>
              <w:t>2026</w:t>
            </w:r>
          </w:p>
        </w:tc>
        <w:tc>
          <w:tcPr>
            <w:tcW w:w="1120" w:type="dxa"/>
            <w:vAlign w:val="bottom"/>
            <w:vMerge w:val="restart"/>
          </w:tcPr>
          <w:p>
            <w:pPr>
              <w:jc w:val="right"/>
              <w:spacing w:after="0"/>
              <w:rPr>
                <w:sz w:val="20"/>
                <w:szCs w:val="20"/>
                <w:color w:val="auto"/>
              </w:rPr>
            </w:pPr>
            <w:r>
              <w:rPr>
                <w:rFonts w:ascii="Arial" w:cs="Arial" w:eastAsia="Arial" w:hAnsi="Arial"/>
                <w:sz w:val="20"/>
                <w:szCs w:val="20"/>
                <w:color w:val="auto"/>
              </w:rPr>
              <w:t>2025</w:t>
            </w:r>
          </w:p>
        </w:tc>
        <w:tc>
          <w:tcPr>
            <w:tcW w:w="0" w:type="dxa"/>
            <w:vAlign w:val="bottom"/>
          </w:tcPr>
          <w:p>
            <w:pPr>
              <w:spacing w:after="0"/>
              <w:rPr>
                <w:sz w:val="1"/>
                <w:szCs w:val="1"/>
                <w:color w:val="auto"/>
              </w:rPr>
            </w:pPr>
          </w:p>
        </w:tc>
      </w:tr>
      <w:tr>
        <w:trPr>
          <w:trHeight w:val="261"/>
        </w:trPr>
        <w:tc>
          <w:tcPr>
            <w:tcW w:w="6920" w:type="dxa"/>
            <w:vAlign w:val="bottom"/>
          </w:tcPr>
          <w:p>
            <w:pPr>
              <w:ind w:left="20"/>
              <w:spacing w:after="0"/>
              <w:rPr>
                <w:sz w:val="20"/>
                <w:szCs w:val="20"/>
                <w:color w:val="auto"/>
              </w:rPr>
            </w:pPr>
            <w:r>
              <w:rPr>
                <w:rFonts w:ascii="Arial" w:cs="Arial" w:eastAsia="Arial" w:hAnsi="Arial"/>
                <w:sz w:val="20"/>
                <w:szCs w:val="20"/>
                <w:color w:val="auto"/>
              </w:rPr>
              <w:t>comprehensive result for the 3 months ended March 31,</w:t>
            </w:r>
          </w:p>
        </w:tc>
        <w:tc>
          <w:tcPr>
            <w:tcW w:w="1680" w:type="dxa"/>
            <w:vAlign w:val="bottom"/>
          </w:tcPr>
          <w:p>
            <w:pPr>
              <w:spacing w:after="0"/>
              <w:rPr>
                <w:sz w:val="22"/>
                <w:szCs w:val="22"/>
                <w:color w:val="auto"/>
              </w:rPr>
            </w:pPr>
          </w:p>
        </w:tc>
        <w:tc>
          <w:tcPr>
            <w:tcW w:w="1460" w:type="dxa"/>
            <w:vAlign w:val="bottom"/>
            <w:vMerge w:val="continue"/>
          </w:tcPr>
          <w:p>
            <w:pPr>
              <w:spacing w:after="0"/>
              <w:rPr>
                <w:sz w:val="22"/>
                <w:szCs w:val="22"/>
                <w:color w:val="auto"/>
              </w:rPr>
            </w:pPr>
          </w:p>
        </w:tc>
        <w:tc>
          <w:tcPr>
            <w:tcW w:w="11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6920" w:type="dxa"/>
            <w:vAlign w:val="bottom"/>
            <w:tcBorders>
              <w:bottom w:val="single" w:sz="8" w:color="BF2115"/>
            </w:tcBorders>
          </w:tcPr>
          <w:p>
            <w:pPr>
              <w:spacing w:after="0"/>
              <w:rPr>
                <w:sz w:val="20"/>
                <w:szCs w:val="20"/>
                <w:color w:val="auto"/>
              </w:rPr>
            </w:pPr>
          </w:p>
        </w:tc>
        <w:tc>
          <w:tcPr>
            <w:tcW w:w="1680" w:type="dxa"/>
            <w:vAlign w:val="bottom"/>
            <w:tcBorders>
              <w:bottom w:val="single" w:sz="8" w:color="BF2115"/>
            </w:tcBorders>
          </w:tcPr>
          <w:p>
            <w:pPr>
              <w:spacing w:after="0"/>
              <w:rPr>
                <w:sz w:val="20"/>
                <w:szCs w:val="20"/>
                <w:color w:val="auto"/>
              </w:rPr>
            </w:pPr>
          </w:p>
        </w:tc>
        <w:tc>
          <w:tcPr>
            <w:tcW w:w="1460" w:type="dxa"/>
            <w:vAlign w:val="bottom"/>
            <w:tcBorders>
              <w:bottom w:val="single" w:sz="8" w:color="BF2115"/>
            </w:tcBorders>
          </w:tcPr>
          <w:p>
            <w:pPr>
              <w:spacing w:after="0"/>
              <w:rPr>
                <w:sz w:val="20"/>
                <w:szCs w:val="20"/>
                <w:color w:val="auto"/>
              </w:rPr>
            </w:pPr>
          </w:p>
        </w:tc>
        <w:tc>
          <w:tcPr>
            <w:tcW w:w="1120" w:type="dxa"/>
            <w:vAlign w:val="bottom"/>
            <w:tcBorders>
              <w:bottom w:val="single" w:sz="8" w:color="BF2115"/>
            </w:tcBorders>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6920" w:type="dxa"/>
            <w:vAlign w:val="bottom"/>
          </w:tcPr>
          <w:p>
            <w:pPr>
              <w:ind w:left="20"/>
              <w:spacing w:after="0"/>
              <w:rPr>
                <w:sz w:val="20"/>
                <w:szCs w:val="20"/>
                <w:color w:val="auto"/>
              </w:rPr>
            </w:pPr>
            <w:r>
              <w:rPr>
                <w:rFonts w:ascii="Arial" w:cs="Arial" w:eastAsia="Arial" w:hAnsi="Arial"/>
                <w:sz w:val="20"/>
                <w:szCs w:val="20"/>
                <w:color w:val="auto"/>
              </w:rPr>
              <w:t>in CHF thousands</w:t>
            </w:r>
          </w:p>
        </w:tc>
        <w:tc>
          <w:tcPr>
            <w:tcW w:w="1680" w:type="dxa"/>
            <w:vAlign w:val="bottom"/>
          </w:tcPr>
          <w:p>
            <w:pPr>
              <w:jc w:val="center"/>
              <w:ind w:left="441"/>
              <w:spacing w:after="0"/>
              <w:rPr>
                <w:sz w:val="20"/>
                <w:szCs w:val="20"/>
                <w:color w:val="auto"/>
              </w:rPr>
            </w:pPr>
            <w:r>
              <w:rPr>
                <w:rFonts w:ascii="Arial" w:cs="Arial" w:eastAsia="Arial" w:hAnsi="Arial"/>
                <w:sz w:val="20"/>
                <w:szCs w:val="20"/>
                <w:color w:val="auto"/>
                <w:w w:val="99"/>
              </w:rPr>
              <w:t>Note</w:t>
            </w:r>
          </w:p>
        </w:tc>
        <w:tc>
          <w:tcPr>
            <w:tcW w:w="14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83"/>
        </w:trPr>
        <w:tc>
          <w:tcPr>
            <w:tcW w:w="6920" w:type="dxa"/>
            <w:vAlign w:val="bottom"/>
          </w:tcPr>
          <w:p>
            <w:pPr>
              <w:ind w:left="20"/>
              <w:spacing w:after="0"/>
              <w:rPr>
                <w:sz w:val="20"/>
                <w:szCs w:val="20"/>
                <w:color w:val="auto"/>
              </w:rPr>
            </w:pPr>
            <w:r>
              <w:rPr>
                <w:rFonts w:ascii="Arial" w:cs="Arial" w:eastAsia="Arial" w:hAnsi="Arial"/>
                <w:sz w:val="20"/>
                <w:szCs w:val="20"/>
                <w:color w:val="auto"/>
              </w:rPr>
              <w:t>Revenues and other income</w:t>
            </w:r>
          </w:p>
        </w:tc>
        <w:tc>
          <w:tcPr>
            <w:tcW w:w="16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6920" w:type="dxa"/>
            <w:vAlign w:val="bottom"/>
          </w:tcPr>
          <w:p>
            <w:pPr>
              <w:ind w:left="20"/>
              <w:spacing w:after="0"/>
              <w:rPr>
                <w:sz w:val="20"/>
                <w:szCs w:val="20"/>
                <w:color w:val="auto"/>
              </w:rPr>
            </w:pPr>
            <w:r>
              <w:rPr>
                <w:rFonts w:ascii="Arial" w:cs="Arial" w:eastAsia="Arial" w:hAnsi="Arial"/>
                <w:sz w:val="20"/>
                <w:szCs w:val="20"/>
                <w:color w:val="auto"/>
              </w:rPr>
              <w:t>Revenues from research and development collaborations</w:t>
            </w:r>
          </w:p>
        </w:tc>
        <w:tc>
          <w:tcPr>
            <w:tcW w:w="1680" w:type="dxa"/>
            <w:vAlign w:val="bottom"/>
          </w:tcPr>
          <w:p>
            <w:pPr>
              <w:spacing w:after="0"/>
              <w:rPr>
                <w:sz w:val="24"/>
                <w:szCs w:val="24"/>
                <w:color w:val="auto"/>
              </w:rPr>
            </w:pPr>
          </w:p>
        </w:tc>
        <w:tc>
          <w:tcPr>
            <w:tcW w:w="1460" w:type="dxa"/>
            <w:vAlign w:val="bottom"/>
          </w:tcPr>
          <w:p>
            <w:pPr>
              <w:jc w:val="right"/>
              <w:ind w:right="321"/>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513"/>
        </w:trPr>
        <w:tc>
          <w:tcPr>
            <w:tcW w:w="6920" w:type="dxa"/>
            <w:vAlign w:val="bottom"/>
          </w:tcPr>
          <w:p>
            <w:pPr>
              <w:ind w:left="20"/>
              <w:spacing w:after="0"/>
              <w:rPr>
                <w:sz w:val="20"/>
                <w:szCs w:val="20"/>
                <w:color w:val="auto"/>
              </w:rPr>
            </w:pPr>
            <w:r>
              <w:rPr>
                <w:rFonts w:ascii="Arial" w:cs="Arial" w:eastAsia="Arial" w:hAnsi="Arial"/>
                <w:sz w:val="20"/>
                <w:szCs w:val="20"/>
                <w:color w:val="auto"/>
              </w:rPr>
              <w:t>Total revenues and other income</w:t>
            </w:r>
          </w:p>
        </w:tc>
        <w:tc>
          <w:tcPr>
            <w:tcW w:w="1680" w:type="dxa"/>
            <w:vAlign w:val="bottom"/>
          </w:tcPr>
          <w:p>
            <w:pPr>
              <w:spacing w:after="0"/>
              <w:rPr>
                <w:sz w:val="24"/>
                <w:szCs w:val="24"/>
                <w:color w:val="auto"/>
              </w:rPr>
            </w:pPr>
          </w:p>
        </w:tc>
        <w:tc>
          <w:tcPr>
            <w:tcW w:w="1460" w:type="dxa"/>
            <w:vAlign w:val="bottom"/>
          </w:tcPr>
          <w:p>
            <w:pPr>
              <w:jc w:val="right"/>
              <w:ind w:right="321"/>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7"/>
        </w:trPr>
        <w:tc>
          <w:tcPr>
            <w:tcW w:w="6920" w:type="dxa"/>
            <w:vAlign w:val="bottom"/>
            <w:tcBorders>
              <w:bottom w:val="single" w:sz="8" w:color="BC2327"/>
            </w:tcBorders>
          </w:tcPr>
          <w:p>
            <w:pPr>
              <w:spacing w:after="0"/>
              <w:rPr>
                <w:sz w:val="21"/>
                <w:szCs w:val="21"/>
                <w:color w:val="auto"/>
              </w:rPr>
            </w:pPr>
          </w:p>
        </w:tc>
        <w:tc>
          <w:tcPr>
            <w:tcW w:w="1680" w:type="dxa"/>
            <w:vAlign w:val="bottom"/>
            <w:tcBorders>
              <w:bottom w:val="single" w:sz="8" w:color="BC2327"/>
            </w:tcBorders>
          </w:tcPr>
          <w:p>
            <w:pPr>
              <w:spacing w:after="0"/>
              <w:rPr>
                <w:sz w:val="21"/>
                <w:szCs w:val="21"/>
                <w:color w:val="auto"/>
              </w:rPr>
            </w:pPr>
          </w:p>
        </w:tc>
        <w:tc>
          <w:tcPr>
            <w:tcW w:w="1460" w:type="dxa"/>
            <w:vAlign w:val="bottom"/>
            <w:tcBorders>
              <w:bottom w:val="single" w:sz="8" w:color="BC2327"/>
            </w:tcBorders>
          </w:tcPr>
          <w:p>
            <w:pPr>
              <w:spacing w:after="0"/>
              <w:rPr>
                <w:sz w:val="21"/>
                <w:szCs w:val="21"/>
                <w:color w:val="auto"/>
              </w:rPr>
            </w:pPr>
          </w:p>
        </w:tc>
        <w:tc>
          <w:tcPr>
            <w:tcW w:w="1120" w:type="dxa"/>
            <w:vAlign w:val="bottom"/>
            <w:tcBorders>
              <w:bottom w:val="single" w:sz="8" w:color="BC2327"/>
            </w:tcBorders>
          </w:tcPr>
          <w:p>
            <w:pPr>
              <w:spacing w:after="0"/>
              <w:rPr>
                <w:sz w:val="21"/>
                <w:szCs w:val="21"/>
                <w:color w:val="auto"/>
              </w:rPr>
            </w:pPr>
          </w:p>
        </w:tc>
        <w:tc>
          <w:tcPr>
            <w:tcW w:w="0" w:type="dxa"/>
            <w:vAlign w:val="bottom"/>
          </w:tcPr>
          <w:p>
            <w:pPr>
              <w:spacing w:after="0"/>
              <w:rPr>
                <w:sz w:val="1"/>
                <w:szCs w:val="1"/>
                <w:color w:val="auto"/>
              </w:rPr>
            </w:pPr>
          </w:p>
        </w:tc>
      </w:tr>
      <w:tr>
        <w:trPr>
          <w:trHeight w:val="517"/>
        </w:trPr>
        <w:tc>
          <w:tcPr>
            <w:tcW w:w="6920" w:type="dxa"/>
            <w:vAlign w:val="bottom"/>
          </w:tcPr>
          <w:p>
            <w:pPr>
              <w:ind w:left="20"/>
              <w:spacing w:after="0"/>
              <w:rPr>
                <w:sz w:val="20"/>
                <w:szCs w:val="20"/>
                <w:color w:val="auto"/>
              </w:rPr>
            </w:pPr>
            <w:r>
              <w:rPr>
                <w:rFonts w:ascii="Arial" w:cs="Arial" w:eastAsia="Arial" w:hAnsi="Arial"/>
                <w:sz w:val="20"/>
                <w:szCs w:val="20"/>
                <w:color w:val="auto"/>
              </w:rPr>
              <w:t>Operating expenses</w:t>
            </w:r>
          </w:p>
        </w:tc>
        <w:tc>
          <w:tcPr>
            <w:tcW w:w="16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6920" w:type="dxa"/>
            <w:vAlign w:val="bottom"/>
          </w:tcPr>
          <w:p>
            <w:pPr>
              <w:ind w:left="20"/>
              <w:spacing w:after="0"/>
              <w:rPr>
                <w:sz w:val="20"/>
                <w:szCs w:val="20"/>
                <w:color w:val="auto"/>
              </w:rPr>
            </w:pPr>
            <w:r>
              <w:rPr>
                <w:rFonts w:ascii="Arial" w:cs="Arial" w:eastAsia="Arial" w:hAnsi="Arial"/>
                <w:sz w:val="20"/>
                <w:szCs w:val="20"/>
                <w:color w:val="auto"/>
              </w:rPr>
              <w:t>Research and development expenses</w:t>
            </w:r>
          </w:p>
        </w:tc>
        <w:tc>
          <w:tcPr>
            <w:tcW w:w="1680" w:type="dxa"/>
            <w:vAlign w:val="bottom"/>
          </w:tcPr>
          <w:p>
            <w:pPr>
              <w:jc w:val="center"/>
              <w:ind w:left="461"/>
              <w:spacing w:after="0"/>
              <w:rPr>
                <w:sz w:val="20"/>
                <w:szCs w:val="20"/>
                <w:color w:val="auto"/>
              </w:rPr>
            </w:pPr>
            <w:r>
              <w:rPr>
                <w:rFonts w:ascii="Arial" w:cs="Arial" w:eastAsia="Arial" w:hAnsi="Arial"/>
                <w:sz w:val="20"/>
                <w:szCs w:val="20"/>
                <w:color w:val="auto"/>
              </w:rPr>
              <w:t>5.1</w:t>
            </w:r>
          </w:p>
        </w:tc>
        <w:tc>
          <w:tcPr>
            <w:tcW w:w="1460" w:type="dxa"/>
            <w:vAlign w:val="bottom"/>
          </w:tcPr>
          <w:p>
            <w:pPr>
              <w:jc w:val="right"/>
              <w:ind w:right="281"/>
              <w:spacing w:after="0"/>
              <w:rPr>
                <w:sz w:val="20"/>
                <w:szCs w:val="20"/>
                <w:color w:val="auto"/>
              </w:rPr>
            </w:pPr>
            <w:r>
              <w:rPr>
                <w:rFonts w:ascii="Arial" w:cs="Arial" w:eastAsia="Arial" w:hAnsi="Arial"/>
                <w:sz w:val="20"/>
                <w:szCs w:val="20"/>
                <w:color w:val="auto"/>
              </w:rPr>
              <w:t>(9,445)</w:t>
            </w:r>
          </w:p>
        </w:tc>
        <w:tc>
          <w:tcPr>
            <w:tcW w:w="1120" w:type="dxa"/>
            <w:vAlign w:val="bottom"/>
          </w:tcPr>
          <w:p>
            <w:pPr>
              <w:jc w:val="right"/>
              <w:spacing w:after="0"/>
              <w:rPr>
                <w:sz w:val="20"/>
                <w:szCs w:val="20"/>
                <w:color w:val="auto"/>
              </w:rPr>
            </w:pPr>
            <w:r>
              <w:rPr>
                <w:rFonts w:ascii="Arial" w:cs="Arial" w:eastAsia="Arial" w:hAnsi="Arial"/>
                <w:sz w:val="20"/>
                <w:szCs w:val="20"/>
                <w:color w:val="auto"/>
              </w:rPr>
              <w:t>(11,921)</w:t>
            </w:r>
          </w:p>
        </w:tc>
        <w:tc>
          <w:tcPr>
            <w:tcW w:w="0" w:type="dxa"/>
            <w:vAlign w:val="bottom"/>
          </w:tcPr>
          <w:p>
            <w:pPr>
              <w:spacing w:after="0"/>
              <w:rPr>
                <w:sz w:val="1"/>
                <w:szCs w:val="1"/>
                <w:color w:val="auto"/>
              </w:rPr>
            </w:pPr>
          </w:p>
        </w:tc>
      </w:tr>
      <w:tr>
        <w:trPr>
          <w:trHeight w:val="513"/>
        </w:trPr>
        <w:tc>
          <w:tcPr>
            <w:tcW w:w="6920" w:type="dxa"/>
            <w:vAlign w:val="bottom"/>
          </w:tcPr>
          <w:p>
            <w:pPr>
              <w:ind w:left="20"/>
              <w:spacing w:after="0"/>
              <w:rPr>
                <w:sz w:val="20"/>
                <w:szCs w:val="20"/>
                <w:color w:val="auto"/>
              </w:rPr>
            </w:pPr>
            <w:r>
              <w:rPr>
                <w:rFonts w:ascii="Arial" w:cs="Arial" w:eastAsia="Arial" w:hAnsi="Arial"/>
                <w:sz w:val="20"/>
                <w:szCs w:val="20"/>
                <w:color w:val="auto"/>
              </w:rPr>
              <w:t>Selling, general and administrative expenses</w:t>
            </w:r>
          </w:p>
        </w:tc>
        <w:tc>
          <w:tcPr>
            <w:tcW w:w="1680" w:type="dxa"/>
            <w:vAlign w:val="bottom"/>
          </w:tcPr>
          <w:p>
            <w:pPr>
              <w:spacing w:after="0"/>
              <w:rPr>
                <w:sz w:val="24"/>
                <w:szCs w:val="24"/>
                <w:color w:val="auto"/>
              </w:rPr>
            </w:pPr>
          </w:p>
        </w:tc>
        <w:tc>
          <w:tcPr>
            <w:tcW w:w="1460" w:type="dxa"/>
            <w:vAlign w:val="bottom"/>
          </w:tcPr>
          <w:p>
            <w:pPr>
              <w:jc w:val="right"/>
              <w:ind w:right="281"/>
              <w:spacing w:after="0"/>
              <w:rPr>
                <w:sz w:val="20"/>
                <w:szCs w:val="20"/>
                <w:color w:val="auto"/>
              </w:rPr>
            </w:pPr>
            <w:r>
              <w:rPr>
                <w:rFonts w:ascii="Arial" w:cs="Arial" w:eastAsia="Arial" w:hAnsi="Arial"/>
                <w:sz w:val="20"/>
                <w:szCs w:val="20"/>
                <w:color w:val="auto"/>
              </w:rPr>
              <w:t>(3,998)</w:t>
            </w:r>
          </w:p>
        </w:tc>
        <w:tc>
          <w:tcPr>
            <w:tcW w:w="1120" w:type="dxa"/>
            <w:vAlign w:val="bottom"/>
          </w:tcPr>
          <w:p>
            <w:pPr>
              <w:jc w:val="right"/>
              <w:spacing w:after="0"/>
              <w:rPr>
                <w:sz w:val="20"/>
                <w:szCs w:val="20"/>
                <w:color w:val="auto"/>
              </w:rPr>
            </w:pPr>
            <w:r>
              <w:rPr>
                <w:rFonts w:ascii="Arial" w:cs="Arial" w:eastAsia="Arial" w:hAnsi="Arial"/>
                <w:sz w:val="20"/>
                <w:szCs w:val="20"/>
                <w:color w:val="auto"/>
              </w:rPr>
              <w:t>(4,221)</w:t>
            </w:r>
          </w:p>
        </w:tc>
        <w:tc>
          <w:tcPr>
            <w:tcW w:w="0" w:type="dxa"/>
            <w:vAlign w:val="bottom"/>
          </w:tcPr>
          <w:p>
            <w:pPr>
              <w:spacing w:after="0"/>
              <w:rPr>
                <w:sz w:val="1"/>
                <w:szCs w:val="1"/>
                <w:color w:val="auto"/>
              </w:rPr>
            </w:pPr>
          </w:p>
        </w:tc>
      </w:tr>
      <w:tr>
        <w:trPr>
          <w:trHeight w:val="513"/>
        </w:trPr>
        <w:tc>
          <w:tcPr>
            <w:tcW w:w="6920" w:type="dxa"/>
            <w:vAlign w:val="bottom"/>
          </w:tcPr>
          <w:p>
            <w:pPr>
              <w:ind w:left="20"/>
              <w:spacing w:after="0"/>
              <w:rPr>
                <w:sz w:val="20"/>
                <w:szCs w:val="20"/>
                <w:color w:val="auto"/>
              </w:rPr>
            </w:pPr>
            <w:r>
              <w:rPr>
                <w:rFonts w:ascii="Arial" w:cs="Arial" w:eastAsia="Arial" w:hAnsi="Arial"/>
                <w:sz w:val="20"/>
                <w:szCs w:val="20"/>
                <w:color w:val="auto"/>
              </w:rPr>
              <w:t>Total operating expenses</w:t>
            </w:r>
          </w:p>
        </w:tc>
        <w:tc>
          <w:tcPr>
            <w:tcW w:w="1680" w:type="dxa"/>
            <w:vAlign w:val="bottom"/>
          </w:tcPr>
          <w:p>
            <w:pPr>
              <w:spacing w:after="0"/>
              <w:rPr>
                <w:sz w:val="24"/>
                <w:szCs w:val="24"/>
                <w:color w:val="auto"/>
              </w:rPr>
            </w:pPr>
          </w:p>
        </w:tc>
        <w:tc>
          <w:tcPr>
            <w:tcW w:w="1460" w:type="dxa"/>
            <w:vAlign w:val="bottom"/>
          </w:tcPr>
          <w:p>
            <w:pPr>
              <w:jc w:val="right"/>
              <w:ind w:right="281"/>
              <w:spacing w:after="0"/>
              <w:rPr>
                <w:sz w:val="20"/>
                <w:szCs w:val="20"/>
                <w:color w:val="auto"/>
              </w:rPr>
            </w:pPr>
            <w:r>
              <w:rPr>
                <w:rFonts w:ascii="Arial" w:cs="Arial" w:eastAsia="Arial" w:hAnsi="Arial"/>
                <w:sz w:val="20"/>
                <w:szCs w:val="20"/>
                <w:color w:val="auto"/>
              </w:rPr>
              <w:t>(13,443)</w:t>
            </w:r>
          </w:p>
        </w:tc>
        <w:tc>
          <w:tcPr>
            <w:tcW w:w="1120" w:type="dxa"/>
            <w:vAlign w:val="bottom"/>
          </w:tcPr>
          <w:p>
            <w:pPr>
              <w:jc w:val="right"/>
              <w:spacing w:after="0"/>
              <w:rPr>
                <w:sz w:val="20"/>
                <w:szCs w:val="20"/>
                <w:color w:val="auto"/>
              </w:rPr>
            </w:pPr>
            <w:r>
              <w:rPr>
                <w:rFonts w:ascii="Arial" w:cs="Arial" w:eastAsia="Arial" w:hAnsi="Arial"/>
                <w:sz w:val="20"/>
                <w:szCs w:val="20"/>
                <w:color w:val="auto"/>
              </w:rPr>
              <w:t>(16,142)</w:t>
            </w:r>
          </w:p>
        </w:tc>
        <w:tc>
          <w:tcPr>
            <w:tcW w:w="0" w:type="dxa"/>
            <w:vAlign w:val="bottom"/>
          </w:tcPr>
          <w:p>
            <w:pPr>
              <w:spacing w:after="0"/>
              <w:rPr>
                <w:sz w:val="1"/>
                <w:szCs w:val="1"/>
                <w:color w:val="auto"/>
              </w:rPr>
            </w:pPr>
          </w:p>
        </w:tc>
      </w:tr>
      <w:tr>
        <w:trPr>
          <w:trHeight w:val="247"/>
        </w:trPr>
        <w:tc>
          <w:tcPr>
            <w:tcW w:w="6920" w:type="dxa"/>
            <w:vAlign w:val="bottom"/>
            <w:tcBorders>
              <w:bottom w:val="single" w:sz="8" w:color="BC2327"/>
            </w:tcBorders>
          </w:tcPr>
          <w:p>
            <w:pPr>
              <w:spacing w:after="0"/>
              <w:rPr>
                <w:sz w:val="21"/>
                <w:szCs w:val="21"/>
                <w:color w:val="auto"/>
              </w:rPr>
            </w:pPr>
          </w:p>
        </w:tc>
        <w:tc>
          <w:tcPr>
            <w:tcW w:w="1680" w:type="dxa"/>
            <w:vAlign w:val="bottom"/>
            <w:tcBorders>
              <w:bottom w:val="single" w:sz="8" w:color="BC2327"/>
            </w:tcBorders>
          </w:tcPr>
          <w:p>
            <w:pPr>
              <w:spacing w:after="0"/>
              <w:rPr>
                <w:sz w:val="21"/>
                <w:szCs w:val="21"/>
                <w:color w:val="auto"/>
              </w:rPr>
            </w:pPr>
          </w:p>
        </w:tc>
        <w:tc>
          <w:tcPr>
            <w:tcW w:w="1460" w:type="dxa"/>
            <w:vAlign w:val="bottom"/>
            <w:tcBorders>
              <w:bottom w:val="single" w:sz="8" w:color="BC2327"/>
            </w:tcBorders>
          </w:tcPr>
          <w:p>
            <w:pPr>
              <w:spacing w:after="0"/>
              <w:rPr>
                <w:sz w:val="21"/>
                <w:szCs w:val="21"/>
                <w:color w:val="auto"/>
              </w:rPr>
            </w:pPr>
          </w:p>
        </w:tc>
        <w:tc>
          <w:tcPr>
            <w:tcW w:w="1120" w:type="dxa"/>
            <w:vAlign w:val="bottom"/>
            <w:tcBorders>
              <w:bottom w:val="single" w:sz="8" w:color="BC2327"/>
            </w:tcBorders>
          </w:tcPr>
          <w:p>
            <w:pPr>
              <w:spacing w:after="0"/>
              <w:rPr>
                <w:sz w:val="21"/>
                <w:szCs w:val="21"/>
                <w:color w:val="auto"/>
              </w:rPr>
            </w:pPr>
          </w:p>
        </w:tc>
        <w:tc>
          <w:tcPr>
            <w:tcW w:w="0" w:type="dxa"/>
            <w:vAlign w:val="bottom"/>
          </w:tcPr>
          <w:p>
            <w:pPr>
              <w:spacing w:after="0"/>
              <w:rPr>
                <w:sz w:val="1"/>
                <w:szCs w:val="1"/>
                <w:color w:val="auto"/>
              </w:rPr>
            </w:pPr>
          </w:p>
        </w:tc>
      </w:tr>
      <w:tr>
        <w:trPr>
          <w:trHeight w:val="517"/>
        </w:trPr>
        <w:tc>
          <w:tcPr>
            <w:tcW w:w="6920" w:type="dxa"/>
            <w:vAlign w:val="bottom"/>
          </w:tcPr>
          <w:p>
            <w:pPr>
              <w:ind w:left="20"/>
              <w:spacing w:after="0"/>
              <w:rPr>
                <w:sz w:val="20"/>
                <w:szCs w:val="20"/>
                <w:color w:val="auto"/>
              </w:rPr>
            </w:pPr>
            <w:r>
              <w:rPr>
                <w:rFonts w:ascii="Arial" w:cs="Arial" w:eastAsia="Arial" w:hAnsi="Arial"/>
                <w:sz w:val="20"/>
                <w:szCs w:val="20"/>
                <w:color w:val="auto"/>
              </w:rPr>
              <w:t>Operating result</w:t>
            </w:r>
          </w:p>
        </w:tc>
        <w:tc>
          <w:tcPr>
            <w:tcW w:w="1680" w:type="dxa"/>
            <w:vAlign w:val="bottom"/>
          </w:tcPr>
          <w:p>
            <w:pPr>
              <w:spacing w:after="0"/>
              <w:rPr>
                <w:sz w:val="24"/>
                <w:szCs w:val="24"/>
                <w:color w:val="auto"/>
              </w:rPr>
            </w:pPr>
          </w:p>
        </w:tc>
        <w:tc>
          <w:tcPr>
            <w:tcW w:w="1460" w:type="dxa"/>
            <w:vAlign w:val="bottom"/>
          </w:tcPr>
          <w:p>
            <w:pPr>
              <w:jc w:val="right"/>
              <w:ind w:right="281"/>
              <w:spacing w:after="0"/>
              <w:rPr>
                <w:sz w:val="20"/>
                <w:szCs w:val="20"/>
                <w:color w:val="auto"/>
              </w:rPr>
            </w:pPr>
            <w:r>
              <w:rPr>
                <w:rFonts w:ascii="Arial" w:cs="Arial" w:eastAsia="Arial" w:hAnsi="Arial"/>
                <w:sz w:val="20"/>
                <w:szCs w:val="20"/>
                <w:color w:val="auto"/>
              </w:rPr>
              <w:t>(13,443)</w:t>
            </w:r>
          </w:p>
        </w:tc>
        <w:tc>
          <w:tcPr>
            <w:tcW w:w="1120" w:type="dxa"/>
            <w:vAlign w:val="bottom"/>
          </w:tcPr>
          <w:p>
            <w:pPr>
              <w:jc w:val="right"/>
              <w:spacing w:after="0"/>
              <w:rPr>
                <w:sz w:val="20"/>
                <w:szCs w:val="20"/>
                <w:color w:val="auto"/>
              </w:rPr>
            </w:pPr>
            <w:r>
              <w:rPr>
                <w:rFonts w:ascii="Arial" w:cs="Arial" w:eastAsia="Arial" w:hAnsi="Arial"/>
                <w:sz w:val="20"/>
                <w:szCs w:val="20"/>
                <w:color w:val="auto"/>
              </w:rPr>
              <w:t>(16,142)</w:t>
            </w:r>
          </w:p>
        </w:tc>
        <w:tc>
          <w:tcPr>
            <w:tcW w:w="0" w:type="dxa"/>
            <w:vAlign w:val="bottom"/>
          </w:tcPr>
          <w:p>
            <w:pPr>
              <w:spacing w:after="0"/>
              <w:rPr>
                <w:sz w:val="1"/>
                <w:szCs w:val="1"/>
                <w:color w:val="auto"/>
              </w:rPr>
            </w:pPr>
          </w:p>
        </w:tc>
      </w:tr>
      <w:tr>
        <w:trPr>
          <w:trHeight w:val="246"/>
        </w:trPr>
        <w:tc>
          <w:tcPr>
            <w:tcW w:w="6920" w:type="dxa"/>
            <w:vAlign w:val="bottom"/>
            <w:tcBorders>
              <w:bottom w:val="single" w:sz="8" w:color="BC2327"/>
            </w:tcBorders>
          </w:tcPr>
          <w:p>
            <w:pPr>
              <w:spacing w:after="0"/>
              <w:rPr>
                <w:sz w:val="21"/>
                <w:szCs w:val="21"/>
                <w:color w:val="auto"/>
              </w:rPr>
            </w:pPr>
          </w:p>
        </w:tc>
        <w:tc>
          <w:tcPr>
            <w:tcW w:w="1680" w:type="dxa"/>
            <w:vAlign w:val="bottom"/>
            <w:tcBorders>
              <w:bottom w:val="single" w:sz="8" w:color="BC2327"/>
            </w:tcBorders>
          </w:tcPr>
          <w:p>
            <w:pPr>
              <w:spacing w:after="0"/>
              <w:rPr>
                <w:sz w:val="21"/>
                <w:szCs w:val="21"/>
                <w:color w:val="auto"/>
              </w:rPr>
            </w:pPr>
          </w:p>
        </w:tc>
        <w:tc>
          <w:tcPr>
            <w:tcW w:w="1460" w:type="dxa"/>
            <w:vAlign w:val="bottom"/>
            <w:tcBorders>
              <w:bottom w:val="single" w:sz="8" w:color="BC2327"/>
            </w:tcBorders>
          </w:tcPr>
          <w:p>
            <w:pPr>
              <w:spacing w:after="0"/>
              <w:rPr>
                <w:sz w:val="21"/>
                <w:szCs w:val="21"/>
                <w:color w:val="auto"/>
              </w:rPr>
            </w:pPr>
          </w:p>
        </w:tc>
        <w:tc>
          <w:tcPr>
            <w:tcW w:w="1120" w:type="dxa"/>
            <w:vAlign w:val="bottom"/>
            <w:tcBorders>
              <w:bottom w:val="single" w:sz="8" w:color="BC2327"/>
            </w:tcBorders>
          </w:tcPr>
          <w:p>
            <w:pPr>
              <w:spacing w:after="0"/>
              <w:rPr>
                <w:sz w:val="21"/>
                <w:szCs w:val="21"/>
                <w:color w:val="auto"/>
              </w:rPr>
            </w:pPr>
          </w:p>
        </w:tc>
        <w:tc>
          <w:tcPr>
            <w:tcW w:w="0" w:type="dxa"/>
            <w:vAlign w:val="bottom"/>
          </w:tcPr>
          <w:p>
            <w:pPr>
              <w:spacing w:after="0"/>
              <w:rPr>
                <w:sz w:val="1"/>
                <w:szCs w:val="1"/>
                <w:color w:val="auto"/>
              </w:rPr>
            </w:pPr>
          </w:p>
        </w:tc>
      </w:tr>
      <w:tr>
        <w:trPr>
          <w:trHeight w:val="517"/>
        </w:trPr>
        <w:tc>
          <w:tcPr>
            <w:tcW w:w="6920" w:type="dxa"/>
            <w:vAlign w:val="bottom"/>
          </w:tcPr>
          <w:p>
            <w:pPr>
              <w:ind w:left="20"/>
              <w:spacing w:after="0"/>
              <w:rPr>
                <w:sz w:val="20"/>
                <w:szCs w:val="20"/>
                <w:color w:val="auto"/>
              </w:rPr>
            </w:pPr>
            <w:r>
              <w:rPr>
                <w:rFonts w:ascii="Arial" w:cs="Arial" w:eastAsia="Arial" w:hAnsi="Arial"/>
                <w:sz w:val="20"/>
                <w:szCs w:val="20"/>
                <w:color w:val="auto"/>
              </w:rPr>
              <w:t>Financial income</w:t>
            </w:r>
          </w:p>
        </w:tc>
        <w:tc>
          <w:tcPr>
            <w:tcW w:w="1680" w:type="dxa"/>
            <w:vAlign w:val="bottom"/>
          </w:tcPr>
          <w:p>
            <w:pPr>
              <w:jc w:val="center"/>
              <w:ind w:left="461"/>
              <w:spacing w:after="0"/>
              <w:rPr>
                <w:sz w:val="20"/>
                <w:szCs w:val="20"/>
                <w:color w:val="auto"/>
              </w:rPr>
            </w:pPr>
            <w:r>
              <w:rPr>
                <w:rFonts w:ascii="Arial" w:cs="Arial" w:eastAsia="Arial" w:hAnsi="Arial"/>
                <w:sz w:val="20"/>
                <w:szCs w:val="20"/>
                <w:color w:val="auto"/>
              </w:rPr>
              <w:t>5.5</w:t>
            </w:r>
          </w:p>
        </w:tc>
        <w:tc>
          <w:tcPr>
            <w:tcW w:w="1460" w:type="dxa"/>
            <w:vAlign w:val="bottom"/>
          </w:tcPr>
          <w:p>
            <w:pPr>
              <w:jc w:val="right"/>
              <w:ind w:right="321"/>
              <w:spacing w:after="0"/>
              <w:rPr>
                <w:sz w:val="20"/>
                <w:szCs w:val="20"/>
                <w:color w:val="auto"/>
              </w:rPr>
            </w:pPr>
            <w:r>
              <w:rPr>
                <w:rFonts w:ascii="Arial" w:cs="Arial" w:eastAsia="Arial" w:hAnsi="Arial"/>
                <w:sz w:val="20"/>
                <w:szCs w:val="20"/>
                <w:color w:val="auto"/>
              </w:rPr>
              <w:t>310</w:t>
            </w:r>
          </w:p>
        </w:tc>
        <w:tc>
          <w:tcPr>
            <w:tcW w:w="1120" w:type="dxa"/>
            <w:vAlign w:val="bottom"/>
          </w:tcPr>
          <w:p>
            <w:pPr>
              <w:jc w:val="right"/>
              <w:spacing w:after="0"/>
              <w:rPr>
                <w:sz w:val="20"/>
                <w:szCs w:val="20"/>
                <w:color w:val="auto"/>
              </w:rPr>
            </w:pPr>
            <w:r>
              <w:rPr>
                <w:rFonts w:ascii="Arial" w:cs="Arial" w:eastAsia="Arial" w:hAnsi="Arial"/>
                <w:sz w:val="20"/>
                <w:szCs w:val="20"/>
                <w:color w:val="auto"/>
              </w:rPr>
              <w:t>502</w:t>
            </w:r>
          </w:p>
        </w:tc>
        <w:tc>
          <w:tcPr>
            <w:tcW w:w="0" w:type="dxa"/>
            <w:vAlign w:val="bottom"/>
          </w:tcPr>
          <w:p>
            <w:pPr>
              <w:spacing w:after="0"/>
              <w:rPr>
                <w:sz w:val="1"/>
                <w:szCs w:val="1"/>
                <w:color w:val="auto"/>
              </w:rPr>
            </w:pPr>
          </w:p>
        </w:tc>
      </w:tr>
      <w:tr>
        <w:trPr>
          <w:trHeight w:val="513"/>
        </w:trPr>
        <w:tc>
          <w:tcPr>
            <w:tcW w:w="6920" w:type="dxa"/>
            <w:vAlign w:val="bottom"/>
          </w:tcPr>
          <w:p>
            <w:pPr>
              <w:ind w:left="20"/>
              <w:spacing w:after="0"/>
              <w:rPr>
                <w:sz w:val="20"/>
                <w:szCs w:val="20"/>
                <w:color w:val="auto"/>
              </w:rPr>
            </w:pPr>
            <w:r>
              <w:rPr>
                <w:rFonts w:ascii="Arial" w:cs="Arial" w:eastAsia="Arial" w:hAnsi="Arial"/>
                <w:sz w:val="20"/>
                <w:szCs w:val="20"/>
                <w:color w:val="auto"/>
              </w:rPr>
              <w:t>Financial expenses</w:t>
            </w:r>
          </w:p>
        </w:tc>
        <w:tc>
          <w:tcPr>
            <w:tcW w:w="1680" w:type="dxa"/>
            <w:vAlign w:val="bottom"/>
          </w:tcPr>
          <w:p>
            <w:pPr>
              <w:jc w:val="center"/>
              <w:ind w:left="461"/>
              <w:spacing w:after="0"/>
              <w:rPr>
                <w:sz w:val="20"/>
                <w:szCs w:val="20"/>
                <w:color w:val="auto"/>
              </w:rPr>
            </w:pPr>
            <w:r>
              <w:rPr>
                <w:rFonts w:ascii="Arial" w:cs="Arial" w:eastAsia="Arial" w:hAnsi="Arial"/>
                <w:sz w:val="20"/>
                <w:szCs w:val="20"/>
                <w:color w:val="auto"/>
              </w:rPr>
              <w:t>5.5</w:t>
            </w:r>
          </w:p>
        </w:tc>
        <w:tc>
          <w:tcPr>
            <w:tcW w:w="1460" w:type="dxa"/>
            <w:vAlign w:val="bottom"/>
          </w:tcPr>
          <w:p>
            <w:pPr>
              <w:jc w:val="right"/>
              <w:ind w:right="281"/>
              <w:spacing w:after="0"/>
              <w:rPr>
                <w:sz w:val="20"/>
                <w:szCs w:val="20"/>
                <w:color w:val="auto"/>
              </w:rPr>
            </w:pPr>
            <w:r>
              <w:rPr>
                <w:rFonts w:ascii="Arial" w:cs="Arial" w:eastAsia="Arial" w:hAnsi="Arial"/>
                <w:sz w:val="20"/>
                <w:szCs w:val="20"/>
                <w:color w:val="auto"/>
              </w:rPr>
              <w:t>(11)</w:t>
            </w:r>
          </w:p>
        </w:tc>
        <w:tc>
          <w:tcPr>
            <w:tcW w:w="1120" w:type="dxa"/>
            <w:vAlign w:val="bottom"/>
          </w:tcPr>
          <w:p>
            <w:pPr>
              <w:jc w:val="right"/>
              <w:spacing w:after="0"/>
              <w:rPr>
                <w:sz w:val="20"/>
                <w:szCs w:val="20"/>
                <w:color w:val="auto"/>
              </w:rPr>
            </w:pPr>
            <w:r>
              <w:rPr>
                <w:rFonts w:ascii="Arial" w:cs="Arial" w:eastAsia="Arial" w:hAnsi="Arial"/>
                <w:sz w:val="20"/>
                <w:szCs w:val="20"/>
                <w:color w:val="auto"/>
              </w:rPr>
              <w:t>(1,132)</w:t>
            </w:r>
          </w:p>
        </w:tc>
        <w:tc>
          <w:tcPr>
            <w:tcW w:w="0" w:type="dxa"/>
            <w:vAlign w:val="bottom"/>
          </w:tcPr>
          <w:p>
            <w:pPr>
              <w:spacing w:after="0"/>
              <w:rPr>
                <w:sz w:val="1"/>
                <w:szCs w:val="1"/>
                <w:color w:val="auto"/>
              </w:rPr>
            </w:pPr>
          </w:p>
        </w:tc>
      </w:tr>
      <w:tr>
        <w:trPr>
          <w:trHeight w:val="513"/>
        </w:trPr>
        <w:tc>
          <w:tcPr>
            <w:tcW w:w="6920" w:type="dxa"/>
            <w:vAlign w:val="bottom"/>
          </w:tcPr>
          <w:p>
            <w:pPr>
              <w:ind w:left="20"/>
              <w:spacing w:after="0"/>
              <w:rPr>
                <w:sz w:val="20"/>
                <w:szCs w:val="20"/>
                <w:color w:val="auto"/>
              </w:rPr>
            </w:pPr>
            <w:r>
              <w:rPr>
                <w:rFonts w:ascii="Arial" w:cs="Arial" w:eastAsia="Arial" w:hAnsi="Arial"/>
                <w:sz w:val="20"/>
                <w:szCs w:val="20"/>
                <w:color w:val="auto"/>
              </w:rPr>
              <w:t>Net finance result</w:t>
            </w:r>
          </w:p>
        </w:tc>
        <w:tc>
          <w:tcPr>
            <w:tcW w:w="1680" w:type="dxa"/>
            <w:vAlign w:val="bottom"/>
          </w:tcPr>
          <w:p>
            <w:pPr>
              <w:spacing w:after="0"/>
              <w:rPr>
                <w:sz w:val="24"/>
                <w:szCs w:val="24"/>
                <w:color w:val="auto"/>
              </w:rPr>
            </w:pPr>
          </w:p>
        </w:tc>
        <w:tc>
          <w:tcPr>
            <w:tcW w:w="1460" w:type="dxa"/>
            <w:vAlign w:val="bottom"/>
          </w:tcPr>
          <w:p>
            <w:pPr>
              <w:jc w:val="right"/>
              <w:ind w:right="321"/>
              <w:spacing w:after="0"/>
              <w:rPr>
                <w:sz w:val="20"/>
                <w:szCs w:val="20"/>
                <w:color w:val="auto"/>
              </w:rPr>
            </w:pPr>
            <w:r>
              <w:rPr>
                <w:rFonts w:ascii="Arial" w:cs="Arial" w:eastAsia="Arial" w:hAnsi="Arial"/>
                <w:sz w:val="20"/>
                <w:szCs w:val="20"/>
                <w:color w:val="auto"/>
              </w:rPr>
              <w:t>299</w:t>
            </w:r>
          </w:p>
        </w:tc>
        <w:tc>
          <w:tcPr>
            <w:tcW w:w="1120" w:type="dxa"/>
            <w:vAlign w:val="bottom"/>
          </w:tcPr>
          <w:p>
            <w:pPr>
              <w:jc w:val="right"/>
              <w:spacing w:after="0"/>
              <w:rPr>
                <w:sz w:val="20"/>
                <w:szCs w:val="20"/>
                <w:color w:val="auto"/>
              </w:rPr>
            </w:pPr>
            <w:r>
              <w:rPr>
                <w:rFonts w:ascii="Arial" w:cs="Arial" w:eastAsia="Arial" w:hAnsi="Arial"/>
                <w:sz w:val="20"/>
                <w:szCs w:val="20"/>
                <w:color w:val="auto"/>
              </w:rPr>
              <w:t>(630)</w:t>
            </w:r>
          </w:p>
        </w:tc>
        <w:tc>
          <w:tcPr>
            <w:tcW w:w="0" w:type="dxa"/>
            <w:vAlign w:val="bottom"/>
          </w:tcPr>
          <w:p>
            <w:pPr>
              <w:spacing w:after="0"/>
              <w:rPr>
                <w:sz w:val="1"/>
                <w:szCs w:val="1"/>
                <w:color w:val="auto"/>
              </w:rPr>
            </w:pPr>
          </w:p>
        </w:tc>
      </w:tr>
      <w:tr>
        <w:trPr>
          <w:trHeight w:val="503"/>
        </w:trPr>
        <w:tc>
          <w:tcPr>
            <w:tcW w:w="6920" w:type="dxa"/>
            <w:vAlign w:val="bottom"/>
            <w:tcBorders>
              <w:bottom w:val="single" w:sz="8" w:color="BC2327"/>
            </w:tcBorders>
          </w:tcPr>
          <w:p>
            <w:pPr>
              <w:spacing w:after="0"/>
              <w:rPr>
                <w:sz w:val="24"/>
                <w:szCs w:val="24"/>
                <w:color w:val="auto"/>
              </w:rPr>
            </w:pPr>
          </w:p>
        </w:tc>
        <w:tc>
          <w:tcPr>
            <w:tcW w:w="1680" w:type="dxa"/>
            <w:vAlign w:val="bottom"/>
            <w:tcBorders>
              <w:bottom w:val="single" w:sz="8" w:color="BC2327"/>
            </w:tcBorders>
          </w:tcPr>
          <w:p>
            <w:pPr>
              <w:spacing w:after="0"/>
              <w:rPr>
                <w:sz w:val="24"/>
                <w:szCs w:val="24"/>
                <w:color w:val="auto"/>
              </w:rPr>
            </w:pPr>
          </w:p>
        </w:tc>
        <w:tc>
          <w:tcPr>
            <w:tcW w:w="1460" w:type="dxa"/>
            <w:vAlign w:val="bottom"/>
            <w:tcBorders>
              <w:bottom w:val="single" w:sz="8" w:color="BC2327"/>
            </w:tcBorders>
          </w:tcPr>
          <w:p>
            <w:pPr>
              <w:spacing w:after="0"/>
              <w:rPr>
                <w:sz w:val="24"/>
                <w:szCs w:val="24"/>
                <w:color w:val="auto"/>
              </w:rPr>
            </w:pPr>
          </w:p>
        </w:tc>
        <w:tc>
          <w:tcPr>
            <w:tcW w:w="1120" w:type="dxa"/>
            <w:vAlign w:val="bottom"/>
            <w:tcBorders>
              <w:bottom w:val="single" w:sz="8" w:color="BC2327"/>
            </w:tcBorders>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6920" w:type="dxa"/>
            <w:vAlign w:val="bottom"/>
          </w:tcPr>
          <w:p>
            <w:pPr>
              <w:ind w:left="20"/>
              <w:spacing w:after="0"/>
              <w:rPr>
                <w:sz w:val="20"/>
                <w:szCs w:val="20"/>
                <w:color w:val="auto"/>
              </w:rPr>
            </w:pPr>
            <w:r>
              <w:rPr>
                <w:rFonts w:ascii="Arial" w:cs="Arial" w:eastAsia="Arial" w:hAnsi="Arial"/>
                <w:sz w:val="20"/>
                <w:szCs w:val="20"/>
                <w:color w:val="auto"/>
              </w:rPr>
              <w:t>Result before income taxes</w:t>
            </w:r>
          </w:p>
        </w:tc>
        <w:tc>
          <w:tcPr>
            <w:tcW w:w="1680" w:type="dxa"/>
            <w:vAlign w:val="bottom"/>
          </w:tcPr>
          <w:p>
            <w:pPr>
              <w:spacing w:after="0"/>
              <w:rPr>
                <w:sz w:val="22"/>
                <w:szCs w:val="22"/>
                <w:color w:val="auto"/>
              </w:rPr>
            </w:pPr>
          </w:p>
        </w:tc>
        <w:tc>
          <w:tcPr>
            <w:tcW w:w="1460" w:type="dxa"/>
            <w:vAlign w:val="bottom"/>
          </w:tcPr>
          <w:p>
            <w:pPr>
              <w:jc w:val="right"/>
              <w:ind w:right="281"/>
              <w:spacing w:after="0"/>
              <w:rPr>
                <w:sz w:val="20"/>
                <w:szCs w:val="20"/>
                <w:color w:val="auto"/>
              </w:rPr>
            </w:pPr>
            <w:r>
              <w:rPr>
                <w:rFonts w:ascii="Arial" w:cs="Arial" w:eastAsia="Arial" w:hAnsi="Arial"/>
                <w:sz w:val="20"/>
                <w:szCs w:val="20"/>
                <w:color w:val="auto"/>
              </w:rPr>
              <w:t>(13,144)</w:t>
            </w:r>
          </w:p>
        </w:tc>
        <w:tc>
          <w:tcPr>
            <w:tcW w:w="1120" w:type="dxa"/>
            <w:vAlign w:val="bottom"/>
          </w:tcPr>
          <w:p>
            <w:pPr>
              <w:jc w:val="right"/>
              <w:spacing w:after="0"/>
              <w:rPr>
                <w:sz w:val="20"/>
                <w:szCs w:val="20"/>
                <w:color w:val="auto"/>
              </w:rPr>
            </w:pPr>
            <w:r>
              <w:rPr>
                <w:rFonts w:ascii="Arial" w:cs="Arial" w:eastAsia="Arial" w:hAnsi="Arial"/>
                <w:sz w:val="20"/>
                <w:szCs w:val="20"/>
                <w:color w:val="auto"/>
              </w:rPr>
              <w:t>(16,772)</w:t>
            </w:r>
          </w:p>
        </w:tc>
        <w:tc>
          <w:tcPr>
            <w:tcW w:w="0" w:type="dxa"/>
            <w:vAlign w:val="bottom"/>
          </w:tcPr>
          <w:p>
            <w:pPr>
              <w:spacing w:after="0"/>
              <w:rPr>
                <w:sz w:val="1"/>
                <w:szCs w:val="1"/>
                <w:color w:val="auto"/>
              </w:rPr>
            </w:pPr>
          </w:p>
        </w:tc>
      </w:tr>
      <w:tr>
        <w:trPr>
          <w:trHeight w:val="246"/>
        </w:trPr>
        <w:tc>
          <w:tcPr>
            <w:tcW w:w="6920" w:type="dxa"/>
            <w:vAlign w:val="bottom"/>
            <w:tcBorders>
              <w:bottom w:val="single" w:sz="8" w:color="BC2327"/>
            </w:tcBorders>
          </w:tcPr>
          <w:p>
            <w:pPr>
              <w:spacing w:after="0"/>
              <w:rPr>
                <w:sz w:val="21"/>
                <w:szCs w:val="21"/>
                <w:color w:val="auto"/>
              </w:rPr>
            </w:pPr>
          </w:p>
        </w:tc>
        <w:tc>
          <w:tcPr>
            <w:tcW w:w="1680" w:type="dxa"/>
            <w:vAlign w:val="bottom"/>
            <w:tcBorders>
              <w:bottom w:val="single" w:sz="8" w:color="BC2327"/>
            </w:tcBorders>
          </w:tcPr>
          <w:p>
            <w:pPr>
              <w:spacing w:after="0"/>
              <w:rPr>
                <w:sz w:val="21"/>
                <w:szCs w:val="21"/>
                <w:color w:val="auto"/>
              </w:rPr>
            </w:pPr>
          </w:p>
        </w:tc>
        <w:tc>
          <w:tcPr>
            <w:tcW w:w="1460" w:type="dxa"/>
            <w:vAlign w:val="bottom"/>
            <w:tcBorders>
              <w:bottom w:val="single" w:sz="8" w:color="BC2327"/>
            </w:tcBorders>
          </w:tcPr>
          <w:p>
            <w:pPr>
              <w:spacing w:after="0"/>
              <w:rPr>
                <w:sz w:val="21"/>
                <w:szCs w:val="21"/>
                <w:color w:val="auto"/>
              </w:rPr>
            </w:pPr>
          </w:p>
        </w:tc>
        <w:tc>
          <w:tcPr>
            <w:tcW w:w="1120" w:type="dxa"/>
            <w:vAlign w:val="bottom"/>
            <w:tcBorders>
              <w:bottom w:val="single" w:sz="8" w:color="BC2327"/>
            </w:tcBorders>
          </w:tcPr>
          <w:p>
            <w:pPr>
              <w:spacing w:after="0"/>
              <w:rPr>
                <w:sz w:val="21"/>
                <w:szCs w:val="21"/>
                <w:color w:val="auto"/>
              </w:rPr>
            </w:pPr>
          </w:p>
        </w:tc>
        <w:tc>
          <w:tcPr>
            <w:tcW w:w="0" w:type="dxa"/>
            <w:vAlign w:val="bottom"/>
          </w:tcPr>
          <w:p>
            <w:pPr>
              <w:spacing w:after="0"/>
              <w:rPr>
                <w:sz w:val="1"/>
                <w:szCs w:val="1"/>
                <w:color w:val="auto"/>
              </w:rPr>
            </w:pPr>
          </w:p>
        </w:tc>
      </w:tr>
      <w:tr>
        <w:trPr>
          <w:trHeight w:val="517"/>
        </w:trPr>
        <w:tc>
          <w:tcPr>
            <w:tcW w:w="6920" w:type="dxa"/>
            <w:vAlign w:val="bottom"/>
          </w:tcPr>
          <w:p>
            <w:pPr>
              <w:ind w:left="20"/>
              <w:spacing w:after="0"/>
              <w:rPr>
                <w:sz w:val="20"/>
                <w:szCs w:val="20"/>
                <w:color w:val="auto"/>
              </w:rPr>
            </w:pPr>
            <w:r>
              <w:rPr>
                <w:rFonts w:ascii="Arial" w:cs="Arial" w:eastAsia="Arial" w:hAnsi="Arial"/>
                <w:sz w:val="20"/>
                <w:szCs w:val="20"/>
                <w:color w:val="auto"/>
              </w:rPr>
              <w:t>Income taxes</w:t>
            </w:r>
          </w:p>
        </w:tc>
        <w:tc>
          <w:tcPr>
            <w:tcW w:w="1680" w:type="dxa"/>
            <w:vAlign w:val="bottom"/>
          </w:tcPr>
          <w:p>
            <w:pPr>
              <w:jc w:val="center"/>
              <w:ind w:left="461"/>
              <w:spacing w:after="0"/>
              <w:rPr>
                <w:sz w:val="20"/>
                <w:szCs w:val="20"/>
                <w:color w:val="auto"/>
              </w:rPr>
            </w:pPr>
            <w:r>
              <w:rPr>
                <w:rFonts w:ascii="Arial" w:cs="Arial" w:eastAsia="Arial" w:hAnsi="Arial"/>
                <w:sz w:val="20"/>
                <w:szCs w:val="20"/>
                <w:color w:val="auto"/>
              </w:rPr>
              <w:t>5.6</w:t>
            </w:r>
          </w:p>
        </w:tc>
        <w:tc>
          <w:tcPr>
            <w:tcW w:w="1460" w:type="dxa"/>
            <w:vAlign w:val="bottom"/>
          </w:tcPr>
          <w:p>
            <w:pPr>
              <w:jc w:val="right"/>
              <w:ind w:right="321"/>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2</w:t>
            </w:r>
          </w:p>
        </w:tc>
        <w:tc>
          <w:tcPr>
            <w:tcW w:w="0" w:type="dxa"/>
            <w:vAlign w:val="bottom"/>
          </w:tcPr>
          <w:p>
            <w:pPr>
              <w:spacing w:after="0"/>
              <w:rPr>
                <w:sz w:val="1"/>
                <w:szCs w:val="1"/>
                <w:color w:val="auto"/>
              </w:rPr>
            </w:pPr>
          </w:p>
        </w:tc>
      </w:tr>
      <w:tr>
        <w:trPr>
          <w:trHeight w:val="513"/>
        </w:trPr>
        <w:tc>
          <w:tcPr>
            <w:tcW w:w="6920" w:type="dxa"/>
            <w:vAlign w:val="bottom"/>
          </w:tcPr>
          <w:p>
            <w:pPr>
              <w:ind w:left="20"/>
              <w:spacing w:after="0"/>
              <w:rPr>
                <w:sz w:val="20"/>
                <w:szCs w:val="20"/>
                <w:color w:val="auto"/>
              </w:rPr>
            </w:pPr>
            <w:r>
              <w:rPr>
                <w:rFonts w:ascii="Arial" w:cs="Arial" w:eastAsia="Arial" w:hAnsi="Arial"/>
                <w:sz w:val="20"/>
                <w:szCs w:val="20"/>
                <w:color w:val="auto"/>
              </w:rPr>
              <w:t>Net result, attributable to shareholders</w:t>
            </w:r>
          </w:p>
        </w:tc>
        <w:tc>
          <w:tcPr>
            <w:tcW w:w="1680" w:type="dxa"/>
            <w:vAlign w:val="bottom"/>
          </w:tcPr>
          <w:p>
            <w:pPr>
              <w:spacing w:after="0"/>
              <w:rPr>
                <w:sz w:val="24"/>
                <w:szCs w:val="24"/>
                <w:color w:val="auto"/>
              </w:rPr>
            </w:pPr>
          </w:p>
        </w:tc>
        <w:tc>
          <w:tcPr>
            <w:tcW w:w="1460" w:type="dxa"/>
            <w:vAlign w:val="bottom"/>
          </w:tcPr>
          <w:p>
            <w:pPr>
              <w:jc w:val="right"/>
              <w:ind w:right="281"/>
              <w:spacing w:after="0"/>
              <w:rPr>
                <w:sz w:val="20"/>
                <w:szCs w:val="20"/>
                <w:color w:val="auto"/>
              </w:rPr>
            </w:pPr>
            <w:r>
              <w:rPr>
                <w:rFonts w:ascii="Arial" w:cs="Arial" w:eastAsia="Arial" w:hAnsi="Arial"/>
                <w:sz w:val="20"/>
                <w:szCs w:val="20"/>
                <w:color w:val="auto"/>
              </w:rPr>
              <w:t>(13,144)</w:t>
            </w:r>
          </w:p>
        </w:tc>
        <w:tc>
          <w:tcPr>
            <w:tcW w:w="1120" w:type="dxa"/>
            <w:vAlign w:val="bottom"/>
          </w:tcPr>
          <w:p>
            <w:pPr>
              <w:jc w:val="right"/>
              <w:spacing w:after="0"/>
              <w:rPr>
                <w:sz w:val="20"/>
                <w:szCs w:val="20"/>
                <w:color w:val="auto"/>
              </w:rPr>
            </w:pPr>
            <w:r>
              <w:rPr>
                <w:rFonts w:ascii="Arial" w:cs="Arial" w:eastAsia="Arial" w:hAnsi="Arial"/>
                <w:sz w:val="20"/>
                <w:szCs w:val="20"/>
                <w:color w:val="auto"/>
              </w:rPr>
              <w:t>(16,771)</w:t>
            </w:r>
          </w:p>
        </w:tc>
        <w:tc>
          <w:tcPr>
            <w:tcW w:w="0" w:type="dxa"/>
            <w:vAlign w:val="bottom"/>
          </w:tcPr>
          <w:p>
            <w:pPr>
              <w:spacing w:after="0"/>
              <w:rPr>
                <w:sz w:val="1"/>
                <w:szCs w:val="1"/>
                <w:color w:val="auto"/>
              </w:rPr>
            </w:pPr>
          </w:p>
        </w:tc>
      </w:tr>
      <w:tr>
        <w:trPr>
          <w:trHeight w:val="246"/>
        </w:trPr>
        <w:tc>
          <w:tcPr>
            <w:tcW w:w="6920" w:type="dxa"/>
            <w:vAlign w:val="bottom"/>
            <w:tcBorders>
              <w:bottom w:val="single" w:sz="8" w:color="BC2327"/>
            </w:tcBorders>
          </w:tcPr>
          <w:p>
            <w:pPr>
              <w:spacing w:after="0"/>
              <w:rPr>
                <w:sz w:val="21"/>
                <w:szCs w:val="21"/>
                <w:color w:val="auto"/>
              </w:rPr>
            </w:pPr>
          </w:p>
        </w:tc>
        <w:tc>
          <w:tcPr>
            <w:tcW w:w="1680" w:type="dxa"/>
            <w:vAlign w:val="bottom"/>
            <w:tcBorders>
              <w:bottom w:val="single" w:sz="8" w:color="BC2327"/>
            </w:tcBorders>
          </w:tcPr>
          <w:p>
            <w:pPr>
              <w:spacing w:after="0"/>
              <w:rPr>
                <w:sz w:val="21"/>
                <w:szCs w:val="21"/>
                <w:color w:val="auto"/>
              </w:rPr>
            </w:pPr>
          </w:p>
        </w:tc>
        <w:tc>
          <w:tcPr>
            <w:tcW w:w="1460" w:type="dxa"/>
            <w:vAlign w:val="bottom"/>
            <w:tcBorders>
              <w:bottom w:val="single" w:sz="8" w:color="BC2327"/>
            </w:tcBorders>
          </w:tcPr>
          <w:p>
            <w:pPr>
              <w:spacing w:after="0"/>
              <w:rPr>
                <w:sz w:val="21"/>
                <w:szCs w:val="21"/>
                <w:color w:val="auto"/>
              </w:rPr>
            </w:pPr>
          </w:p>
        </w:tc>
        <w:tc>
          <w:tcPr>
            <w:tcW w:w="1120" w:type="dxa"/>
            <w:vAlign w:val="bottom"/>
            <w:tcBorders>
              <w:bottom w:val="single" w:sz="8" w:color="BC2327"/>
            </w:tcBorders>
          </w:tcPr>
          <w:p>
            <w:pPr>
              <w:spacing w:after="0"/>
              <w:rPr>
                <w:sz w:val="21"/>
                <w:szCs w:val="21"/>
                <w:color w:val="auto"/>
              </w:rPr>
            </w:pPr>
          </w:p>
        </w:tc>
        <w:tc>
          <w:tcPr>
            <w:tcW w:w="0" w:type="dxa"/>
            <w:vAlign w:val="bottom"/>
          </w:tcPr>
          <w:p>
            <w:pPr>
              <w:spacing w:after="0"/>
              <w:rPr>
                <w:sz w:val="1"/>
                <w:szCs w:val="1"/>
                <w:color w:val="auto"/>
              </w:rPr>
            </w:pPr>
          </w:p>
        </w:tc>
      </w:tr>
      <w:tr>
        <w:trPr>
          <w:trHeight w:val="516"/>
        </w:trPr>
        <w:tc>
          <w:tcPr>
            <w:tcW w:w="6920" w:type="dxa"/>
            <w:vAlign w:val="bottom"/>
          </w:tcPr>
          <w:p>
            <w:pPr>
              <w:ind w:left="20"/>
              <w:spacing w:after="0"/>
              <w:rPr>
                <w:sz w:val="20"/>
                <w:szCs w:val="20"/>
                <w:color w:val="auto"/>
              </w:rPr>
            </w:pPr>
            <w:r>
              <w:rPr>
                <w:rFonts w:ascii="Arial" w:cs="Arial" w:eastAsia="Arial" w:hAnsi="Arial"/>
                <w:sz w:val="20"/>
                <w:szCs w:val="20"/>
                <w:color w:val="auto"/>
              </w:rPr>
              <w:t>Other comprehensive result</w:t>
            </w:r>
          </w:p>
        </w:tc>
        <w:tc>
          <w:tcPr>
            <w:tcW w:w="16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6920" w:type="dxa"/>
            <w:vAlign w:val="bottom"/>
          </w:tcPr>
          <w:p>
            <w:pPr>
              <w:ind w:left="20"/>
              <w:spacing w:after="0"/>
              <w:rPr>
                <w:sz w:val="20"/>
                <w:szCs w:val="20"/>
                <w:color w:val="auto"/>
              </w:rPr>
            </w:pPr>
            <w:r>
              <w:rPr>
                <w:rFonts w:ascii="Arial" w:cs="Arial" w:eastAsia="Arial" w:hAnsi="Arial"/>
                <w:sz w:val="20"/>
                <w:szCs w:val="20"/>
                <w:color w:val="auto"/>
              </w:rPr>
              <w:t>Items that will not be reclassified to profit or loss</w:t>
            </w:r>
          </w:p>
        </w:tc>
        <w:tc>
          <w:tcPr>
            <w:tcW w:w="16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6920" w:type="dxa"/>
            <w:vAlign w:val="bottom"/>
          </w:tcPr>
          <w:p>
            <w:pPr>
              <w:ind w:left="20"/>
              <w:spacing w:after="0"/>
              <w:rPr>
                <w:sz w:val="20"/>
                <w:szCs w:val="20"/>
                <w:color w:val="auto"/>
              </w:rPr>
            </w:pPr>
            <w:r>
              <w:rPr>
                <w:rFonts w:ascii="Arial" w:cs="Arial" w:eastAsia="Arial" w:hAnsi="Arial"/>
                <w:sz w:val="20"/>
                <w:szCs w:val="20"/>
                <w:color w:val="auto"/>
              </w:rPr>
              <w:t>Remeasurement of net pension liabilities, net of tax</w:t>
            </w:r>
          </w:p>
        </w:tc>
        <w:tc>
          <w:tcPr>
            <w:tcW w:w="1680" w:type="dxa"/>
            <w:vAlign w:val="bottom"/>
          </w:tcPr>
          <w:p>
            <w:pPr>
              <w:jc w:val="center"/>
              <w:ind w:left="461"/>
              <w:spacing w:after="0"/>
              <w:rPr>
                <w:sz w:val="20"/>
                <w:szCs w:val="20"/>
                <w:color w:val="auto"/>
              </w:rPr>
            </w:pPr>
            <w:r>
              <w:rPr>
                <w:rFonts w:ascii="Arial" w:cs="Arial" w:eastAsia="Arial" w:hAnsi="Arial"/>
                <w:sz w:val="20"/>
                <w:szCs w:val="20"/>
                <w:color w:val="auto"/>
              </w:rPr>
              <w:t>5.8</w:t>
            </w:r>
          </w:p>
        </w:tc>
        <w:tc>
          <w:tcPr>
            <w:tcW w:w="1460" w:type="dxa"/>
            <w:vAlign w:val="bottom"/>
          </w:tcPr>
          <w:p>
            <w:pPr>
              <w:jc w:val="right"/>
              <w:ind w:right="321"/>
              <w:spacing w:after="0"/>
              <w:rPr>
                <w:sz w:val="20"/>
                <w:szCs w:val="20"/>
                <w:color w:val="auto"/>
              </w:rPr>
            </w:pPr>
            <w:r>
              <w:rPr>
                <w:rFonts w:ascii="Arial" w:cs="Arial" w:eastAsia="Arial" w:hAnsi="Arial"/>
                <w:sz w:val="20"/>
                <w:szCs w:val="20"/>
                <w:color w:val="auto"/>
              </w:rPr>
              <w:t>267</w:t>
            </w:r>
          </w:p>
        </w:tc>
        <w:tc>
          <w:tcPr>
            <w:tcW w:w="1120" w:type="dxa"/>
            <w:vAlign w:val="bottom"/>
          </w:tcPr>
          <w:p>
            <w:pPr>
              <w:jc w:val="right"/>
              <w:spacing w:after="0"/>
              <w:rPr>
                <w:sz w:val="20"/>
                <w:szCs w:val="20"/>
                <w:color w:val="auto"/>
              </w:rPr>
            </w:pPr>
            <w:r>
              <w:rPr>
                <w:rFonts w:ascii="Arial" w:cs="Arial" w:eastAsia="Arial" w:hAnsi="Arial"/>
                <w:sz w:val="20"/>
                <w:szCs w:val="20"/>
                <w:color w:val="auto"/>
              </w:rPr>
              <w:t>2,178</w:t>
            </w:r>
          </w:p>
        </w:tc>
        <w:tc>
          <w:tcPr>
            <w:tcW w:w="0" w:type="dxa"/>
            <w:vAlign w:val="bottom"/>
          </w:tcPr>
          <w:p>
            <w:pPr>
              <w:spacing w:after="0"/>
              <w:rPr>
                <w:sz w:val="1"/>
                <w:szCs w:val="1"/>
                <w:color w:val="auto"/>
              </w:rPr>
            </w:pPr>
          </w:p>
        </w:tc>
      </w:tr>
      <w:tr>
        <w:trPr>
          <w:trHeight w:val="621"/>
        </w:trPr>
        <w:tc>
          <w:tcPr>
            <w:tcW w:w="6920" w:type="dxa"/>
            <w:vAlign w:val="bottom"/>
          </w:tcPr>
          <w:p>
            <w:pPr>
              <w:ind w:left="20"/>
              <w:spacing w:after="0"/>
              <w:rPr>
                <w:sz w:val="20"/>
                <w:szCs w:val="20"/>
                <w:color w:val="auto"/>
              </w:rPr>
            </w:pPr>
            <w:r>
              <w:rPr>
                <w:rFonts w:ascii="Arial" w:cs="Arial" w:eastAsia="Arial" w:hAnsi="Arial"/>
                <w:sz w:val="20"/>
                <w:szCs w:val="20"/>
                <w:color w:val="auto"/>
              </w:rPr>
              <w:t>Items that are or may be reclassified subsequently to profit or loss</w:t>
            </w:r>
          </w:p>
        </w:tc>
        <w:tc>
          <w:tcPr>
            <w:tcW w:w="16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6920" w:type="dxa"/>
            <w:vAlign w:val="bottom"/>
          </w:tcPr>
          <w:p>
            <w:pPr>
              <w:ind w:left="20"/>
              <w:spacing w:after="0"/>
              <w:rPr>
                <w:sz w:val="20"/>
                <w:szCs w:val="20"/>
                <w:color w:val="auto"/>
              </w:rPr>
            </w:pPr>
            <w:r>
              <w:rPr>
                <w:rFonts w:ascii="Arial" w:cs="Arial" w:eastAsia="Arial" w:hAnsi="Arial"/>
                <w:sz w:val="20"/>
                <w:szCs w:val="20"/>
                <w:color w:val="auto"/>
              </w:rPr>
              <w:t>Exchange differences on translating foreign operations</w:t>
            </w:r>
          </w:p>
        </w:tc>
        <w:tc>
          <w:tcPr>
            <w:tcW w:w="1680" w:type="dxa"/>
            <w:vAlign w:val="bottom"/>
          </w:tcPr>
          <w:p>
            <w:pPr>
              <w:spacing w:after="0"/>
              <w:rPr>
                <w:sz w:val="24"/>
                <w:szCs w:val="24"/>
                <w:color w:val="auto"/>
              </w:rPr>
            </w:pPr>
          </w:p>
        </w:tc>
        <w:tc>
          <w:tcPr>
            <w:tcW w:w="1460" w:type="dxa"/>
            <w:vAlign w:val="bottom"/>
          </w:tcPr>
          <w:p>
            <w:pPr>
              <w:jc w:val="right"/>
              <w:ind w:right="321"/>
              <w:spacing w:after="0"/>
              <w:rPr>
                <w:sz w:val="20"/>
                <w:szCs w:val="20"/>
                <w:color w:val="auto"/>
              </w:rPr>
            </w:pPr>
            <w:r>
              <w:rPr>
                <w:rFonts w:ascii="Arial" w:cs="Arial" w:eastAsia="Arial" w:hAnsi="Arial"/>
                <w:sz w:val="20"/>
                <w:szCs w:val="20"/>
                <w:color w:val="auto"/>
              </w:rPr>
              <w:t>4</w:t>
            </w:r>
          </w:p>
        </w:tc>
        <w:tc>
          <w:tcPr>
            <w:tcW w:w="1120" w:type="dxa"/>
            <w:vAlign w:val="bottom"/>
          </w:tcPr>
          <w:p>
            <w:pPr>
              <w:jc w:val="right"/>
              <w:spacing w:after="0"/>
              <w:rPr>
                <w:sz w:val="20"/>
                <w:szCs w:val="20"/>
                <w:color w:val="auto"/>
              </w:rPr>
            </w:pPr>
            <w:r>
              <w:rPr>
                <w:rFonts w:ascii="Arial" w:cs="Arial" w:eastAsia="Arial" w:hAnsi="Arial"/>
                <w:sz w:val="20"/>
                <w:szCs w:val="20"/>
                <w:color w:val="auto"/>
              </w:rPr>
              <w:t>6</w:t>
            </w:r>
          </w:p>
        </w:tc>
        <w:tc>
          <w:tcPr>
            <w:tcW w:w="0" w:type="dxa"/>
            <w:vAlign w:val="bottom"/>
          </w:tcPr>
          <w:p>
            <w:pPr>
              <w:spacing w:after="0"/>
              <w:rPr>
                <w:sz w:val="1"/>
                <w:szCs w:val="1"/>
                <w:color w:val="auto"/>
              </w:rPr>
            </w:pPr>
          </w:p>
        </w:tc>
      </w:tr>
      <w:tr>
        <w:trPr>
          <w:trHeight w:val="661"/>
        </w:trPr>
        <w:tc>
          <w:tcPr>
            <w:tcW w:w="6920" w:type="dxa"/>
            <w:vAlign w:val="bottom"/>
          </w:tcPr>
          <w:p>
            <w:pPr>
              <w:ind w:left="20"/>
              <w:spacing w:after="0"/>
              <w:rPr>
                <w:sz w:val="20"/>
                <w:szCs w:val="20"/>
                <w:color w:val="auto"/>
              </w:rPr>
            </w:pPr>
            <w:r>
              <w:rPr>
                <w:rFonts w:ascii="Arial" w:cs="Arial" w:eastAsia="Arial" w:hAnsi="Arial"/>
                <w:sz w:val="20"/>
                <w:szCs w:val="20"/>
                <w:color w:val="auto"/>
              </w:rPr>
              <w:t>Other comprehensive result, net of tax</w:t>
            </w:r>
          </w:p>
        </w:tc>
        <w:tc>
          <w:tcPr>
            <w:tcW w:w="1680" w:type="dxa"/>
            <w:vAlign w:val="bottom"/>
          </w:tcPr>
          <w:p>
            <w:pPr>
              <w:spacing w:after="0"/>
              <w:rPr>
                <w:sz w:val="24"/>
                <w:szCs w:val="24"/>
                <w:color w:val="auto"/>
              </w:rPr>
            </w:pPr>
          </w:p>
        </w:tc>
        <w:tc>
          <w:tcPr>
            <w:tcW w:w="1460" w:type="dxa"/>
            <w:vAlign w:val="bottom"/>
          </w:tcPr>
          <w:p>
            <w:pPr>
              <w:jc w:val="right"/>
              <w:ind w:right="321"/>
              <w:spacing w:after="0"/>
              <w:rPr>
                <w:sz w:val="20"/>
                <w:szCs w:val="20"/>
                <w:color w:val="auto"/>
              </w:rPr>
            </w:pPr>
            <w:r>
              <w:rPr>
                <w:rFonts w:ascii="Arial" w:cs="Arial" w:eastAsia="Arial" w:hAnsi="Arial"/>
                <w:sz w:val="20"/>
                <w:szCs w:val="20"/>
                <w:color w:val="auto"/>
              </w:rPr>
              <w:t>271</w:t>
            </w:r>
          </w:p>
        </w:tc>
        <w:tc>
          <w:tcPr>
            <w:tcW w:w="1120" w:type="dxa"/>
            <w:vAlign w:val="bottom"/>
          </w:tcPr>
          <w:p>
            <w:pPr>
              <w:jc w:val="right"/>
              <w:spacing w:after="0"/>
              <w:rPr>
                <w:sz w:val="20"/>
                <w:szCs w:val="20"/>
                <w:color w:val="auto"/>
              </w:rPr>
            </w:pPr>
            <w:r>
              <w:rPr>
                <w:rFonts w:ascii="Arial" w:cs="Arial" w:eastAsia="Arial" w:hAnsi="Arial"/>
                <w:sz w:val="20"/>
                <w:szCs w:val="20"/>
                <w:color w:val="auto"/>
              </w:rPr>
              <w:t>2,184</w:t>
            </w:r>
          </w:p>
        </w:tc>
        <w:tc>
          <w:tcPr>
            <w:tcW w:w="0" w:type="dxa"/>
            <w:vAlign w:val="bottom"/>
          </w:tcPr>
          <w:p>
            <w:pPr>
              <w:spacing w:after="0"/>
              <w:rPr>
                <w:sz w:val="1"/>
                <w:szCs w:val="1"/>
                <w:color w:val="auto"/>
              </w:rPr>
            </w:pPr>
          </w:p>
        </w:tc>
      </w:tr>
      <w:tr>
        <w:trPr>
          <w:trHeight w:val="516"/>
        </w:trPr>
        <w:tc>
          <w:tcPr>
            <w:tcW w:w="6920" w:type="dxa"/>
            <w:vAlign w:val="bottom"/>
            <w:tcBorders>
              <w:bottom w:val="single" w:sz="8" w:color="BC2327"/>
            </w:tcBorders>
          </w:tcPr>
          <w:p>
            <w:pPr>
              <w:spacing w:after="0"/>
              <w:rPr>
                <w:sz w:val="24"/>
                <w:szCs w:val="24"/>
                <w:color w:val="auto"/>
              </w:rPr>
            </w:pPr>
          </w:p>
        </w:tc>
        <w:tc>
          <w:tcPr>
            <w:tcW w:w="1680" w:type="dxa"/>
            <w:vAlign w:val="bottom"/>
            <w:tcBorders>
              <w:bottom w:val="single" w:sz="8" w:color="BC2327"/>
            </w:tcBorders>
          </w:tcPr>
          <w:p>
            <w:pPr>
              <w:spacing w:after="0"/>
              <w:rPr>
                <w:sz w:val="24"/>
                <w:szCs w:val="24"/>
                <w:color w:val="auto"/>
              </w:rPr>
            </w:pPr>
          </w:p>
        </w:tc>
        <w:tc>
          <w:tcPr>
            <w:tcW w:w="1460" w:type="dxa"/>
            <w:vAlign w:val="bottom"/>
            <w:tcBorders>
              <w:bottom w:val="single" w:sz="8" w:color="BC2327"/>
            </w:tcBorders>
          </w:tcPr>
          <w:p>
            <w:pPr>
              <w:spacing w:after="0"/>
              <w:rPr>
                <w:sz w:val="24"/>
                <w:szCs w:val="24"/>
                <w:color w:val="auto"/>
              </w:rPr>
            </w:pPr>
          </w:p>
        </w:tc>
        <w:tc>
          <w:tcPr>
            <w:tcW w:w="1120" w:type="dxa"/>
            <w:vAlign w:val="bottom"/>
            <w:tcBorders>
              <w:bottom w:val="single" w:sz="8" w:color="BC2327"/>
            </w:tcBorders>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6920" w:type="dxa"/>
            <w:vAlign w:val="bottom"/>
          </w:tcPr>
          <w:p>
            <w:pPr>
              <w:ind w:left="20"/>
              <w:spacing w:after="0"/>
              <w:rPr>
                <w:sz w:val="20"/>
                <w:szCs w:val="20"/>
                <w:color w:val="auto"/>
              </w:rPr>
            </w:pPr>
            <w:r>
              <w:rPr>
                <w:rFonts w:ascii="Arial" w:cs="Arial" w:eastAsia="Arial" w:hAnsi="Arial"/>
                <w:sz w:val="20"/>
                <w:szCs w:val="20"/>
                <w:color w:val="auto"/>
              </w:rPr>
              <w:t>Total comprehensive result, attributable to shareholders</w:t>
            </w:r>
          </w:p>
        </w:tc>
        <w:tc>
          <w:tcPr>
            <w:tcW w:w="1680" w:type="dxa"/>
            <w:vAlign w:val="bottom"/>
          </w:tcPr>
          <w:p>
            <w:pPr>
              <w:spacing w:after="0"/>
              <w:rPr>
                <w:sz w:val="22"/>
                <w:szCs w:val="22"/>
                <w:color w:val="auto"/>
              </w:rPr>
            </w:pPr>
          </w:p>
        </w:tc>
        <w:tc>
          <w:tcPr>
            <w:tcW w:w="1460" w:type="dxa"/>
            <w:vAlign w:val="bottom"/>
          </w:tcPr>
          <w:p>
            <w:pPr>
              <w:jc w:val="right"/>
              <w:ind w:right="281"/>
              <w:spacing w:after="0"/>
              <w:rPr>
                <w:sz w:val="20"/>
                <w:szCs w:val="20"/>
                <w:color w:val="auto"/>
              </w:rPr>
            </w:pPr>
            <w:r>
              <w:rPr>
                <w:rFonts w:ascii="Arial" w:cs="Arial" w:eastAsia="Arial" w:hAnsi="Arial"/>
                <w:sz w:val="20"/>
                <w:szCs w:val="20"/>
                <w:color w:val="auto"/>
              </w:rPr>
              <w:t>(12,873)</w:t>
            </w:r>
          </w:p>
        </w:tc>
        <w:tc>
          <w:tcPr>
            <w:tcW w:w="1120" w:type="dxa"/>
            <w:vAlign w:val="bottom"/>
          </w:tcPr>
          <w:p>
            <w:pPr>
              <w:jc w:val="right"/>
              <w:spacing w:after="0"/>
              <w:rPr>
                <w:sz w:val="20"/>
                <w:szCs w:val="20"/>
                <w:color w:val="auto"/>
              </w:rPr>
            </w:pPr>
            <w:r>
              <w:rPr>
                <w:rFonts w:ascii="Arial" w:cs="Arial" w:eastAsia="Arial" w:hAnsi="Arial"/>
                <w:sz w:val="20"/>
                <w:szCs w:val="20"/>
                <w:color w:val="auto"/>
              </w:rPr>
              <w:t>(14,587)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0891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1180"/>
          </w:cols>
          <w:pgMar w:left="320" w:top="1157" w:right="399" w:bottom="50" w:gutter="0" w:footer="0" w:header="0"/>
        </w:sectPr>
      </w:pPr>
    </w:p>
    <w:p>
      <w:pPr>
        <w:spacing w:after="0" w:line="200" w:lineRule="exact"/>
        <w:rPr>
          <w:sz w:val="20"/>
          <w:szCs w:val="20"/>
          <w:color w:val="auto"/>
        </w:rPr>
      </w:pPr>
    </w:p>
    <w:p>
      <w:pPr>
        <w:spacing w:after="0" w:line="322" w:lineRule="exact"/>
        <w:rPr>
          <w:sz w:val="20"/>
          <w:szCs w:val="20"/>
          <w:color w:val="auto"/>
        </w:rPr>
      </w:pPr>
    </w:p>
    <w:p>
      <w:pPr>
        <w:ind w:left="20"/>
        <w:spacing w:after="0"/>
        <w:tabs>
          <w:tab w:leader="none" w:pos="7880" w:val="left"/>
          <w:tab w:leader="none" w:pos="9160" w:val="left"/>
          <w:tab w:leader="none" w:pos="10600" w:val="left"/>
        </w:tabs>
        <w:rPr>
          <w:sz w:val="20"/>
          <w:szCs w:val="20"/>
          <w:color w:val="auto"/>
        </w:rPr>
      </w:pPr>
      <w:r>
        <w:rPr>
          <w:rFonts w:ascii="Arial" w:cs="Arial" w:eastAsia="Arial" w:hAnsi="Arial"/>
          <w:sz w:val="20"/>
          <w:szCs w:val="20"/>
          <w:color w:val="auto"/>
        </w:rPr>
        <w:t>Basic and diluted net result per share (in CHF)</w:t>
      </w:r>
      <w:r>
        <w:rPr>
          <w:sz w:val="20"/>
          <w:szCs w:val="20"/>
          <w:color w:val="auto"/>
        </w:rPr>
        <w:tab/>
      </w:r>
      <w:r>
        <w:rPr>
          <w:rFonts w:ascii="Arial" w:cs="Arial" w:eastAsia="Arial" w:hAnsi="Arial"/>
          <w:sz w:val="20"/>
          <w:szCs w:val="20"/>
          <w:color w:val="auto"/>
        </w:rPr>
        <w:t>5.7</w:t>
      </w:r>
      <w:r>
        <w:rPr>
          <w:sz w:val="20"/>
          <w:szCs w:val="20"/>
          <w:color w:val="auto"/>
        </w:rPr>
        <w:tab/>
      </w:r>
      <w:r>
        <w:rPr>
          <w:rFonts w:ascii="Arial" w:cs="Arial" w:eastAsia="Arial" w:hAnsi="Arial"/>
          <w:sz w:val="20"/>
          <w:szCs w:val="20"/>
          <w:color w:val="auto"/>
        </w:rPr>
        <w:t>(0.35)</w:t>
      </w:r>
      <w:r>
        <w:rPr>
          <w:sz w:val="20"/>
          <w:szCs w:val="20"/>
          <w:color w:val="auto"/>
        </w:rPr>
        <w:tab/>
      </w:r>
      <w:r>
        <w:rPr>
          <w:rFonts w:ascii="Arial" w:cs="Arial" w:eastAsia="Arial" w:hAnsi="Arial"/>
          <w:sz w:val="19"/>
          <w:szCs w:val="19"/>
          <w:color w:val="auto"/>
        </w:rPr>
        <w:t>(0.45)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70891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1180"/>
          </w:cols>
          <w:pgMar w:left="320" w:top="1157" w:right="399" w:bottom="50" w:gutter="0" w:footer="0" w:header="0"/>
          <w:type w:val="continuous"/>
        </w:sectPr>
      </w:pPr>
    </w:p>
    <w:bookmarkStart w:id="13" w:name="page14"/>
    <w:bookmarkEnd w:id="13"/>
    <w:p>
      <w:pPr>
        <w:spacing w:after="0"/>
        <w:rPr>
          <w:sz w:val="20"/>
          <w:szCs w:val="20"/>
          <w:color w:val="auto"/>
        </w:rPr>
      </w:pPr>
      <w:r>
        <w:rPr>
          <w:rFonts w:ascii="Arial" w:cs="Arial" w:eastAsia="Arial" w:hAnsi="Arial"/>
          <w:sz w:val="20"/>
          <w:szCs w:val="20"/>
          <w:i w:val="1"/>
          <w:iCs w:val="1"/>
          <w:color w:val="auto"/>
        </w:rPr>
        <w:t>See accompanying notes, which form an integral part of these unaudited condensed consolidated interim financial statements.</w:t>
      </w:r>
    </w:p>
    <w:p>
      <w:pPr>
        <w:spacing w:after="0" w:line="32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18" w:right="339" w:bottom="1440" w:gutter="0" w:footer="0" w:header="0"/>
        </w:sectPr>
      </w:pPr>
    </w:p>
    <w:bookmarkStart w:id="14" w:name="page15"/>
    <w:bookmarkEnd w:id="14"/>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980" w:type="dxa"/>
            <w:vAlign w:val="bottom"/>
          </w:tcPr>
          <w:p>
            <w:pPr>
              <w:ind w:left="20"/>
              <w:spacing w:after="0"/>
              <w:rPr>
                <w:sz w:val="20"/>
                <w:szCs w:val="20"/>
                <w:color w:val="auto"/>
              </w:rPr>
            </w:pPr>
            <w:r>
              <w:rPr>
                <w:rFonts w:ascii="Arial" w:cs="Arial" w:eastAsia="Arial" w:hAnsi="Arial"/>
                <w:sz w:val="20"/>
                <w:szCs w:val="20"/>
                <w:color w:val="auto"/>
              </w:rPr>
              <w:t>Condensed consolidated interim cash flow statement for the 3 months ended March</w:t>
            </w:r>
          </w:p>
        </w:tc>
        <w:tc>
          <w:tcPr>
            <w:tcW w:w="1900" w:type="dxa"/>
            <w:vAlign w:val="bottom"/>
            <w:vMerge w:val="restart"/>
          </w:tcPr>
          <w:p>
            <w:pPr>
              <w:jc w:val="right"/>
              <w:ind w:right="401"/>
              <w:spacing w:after="0"/>
              <w:rPr>
                <w:sz w:val="20"/>
                <w:szCs w:val="20"/>
                <w:color w:val="auto"/>
              </w:rPr>
            </w:pPr>
            <w:r>
              <w:rPr>
                <w:rFonts w:ascii="Arial" w:cs="Arial" w:eastAsia="Arial" w:hAnsi="Arial"/>
                <w:sz w:val="20"/>
                <w:szCs w:val="20"/>
                <w:color w:val="auto"/>
              </w:rPr>
              <w:t>2026</w:t>
            </w:r>
          </w:p>
        </w:tc>
        <w:tc>
          <w:tcPr>
            <w:tcW w:w="1260" w:type="dxa"/>
            <w:vAlign w:val="bottom"/>
            <w:vMerge w:val="restart"/>
          </w:tcPr>
          <w:p>
            <w:pPr>
              <w:jc w:val="right"/>
              <w:spacing w:after="0"/>
              <w:rPr>
                <w:sz w:val="20"/>
                <w:szCs w:val="20"/>
                <w:color w:val="auto"/>
              </w:rPr>
            </w:pPr>
            <w:r>
              <w:rPr>
                <w:rFonts w:ascii="Arial" w:cs="Arial" w:eastAsia="Arial" w:hAnsi="Arial"/>
                <w:sz w:val="20"/>
                <w:szCs w:val="20"/>
                <w:color w:val="auto"/>
              </w:rPr>
              <w:t>2025</w:t>
            </w:r>
          </w:p>
        </w:tc>
        <w:tc>
          <w:tcPr>
            <w:tcW w:w="0" w:type="dxa"/>
            <w:vAlign w:val="bottom"/>
          </w:tcPr>
          <w:p>
            <w:pPr>
              <w:spacing w:after="0"/>
              <w:rPr>
                <w:sz w:val="1"/>
                <w:szCs w:val="1"/>
                <w:color w:val="auto"/>
              </w:rPr>
            </w:pPr>
          </w:p>
        </w:tc>
      </w:tr>
      <w:tr>
        <w:trPr>
          <w:trHeight w:val="261"/>
        </w:trPr>
        <w:tc>
          <w:tcPr>
            <w:tcW w:w="7980" w:type="dxa"/>
            <w:vAlign w:val="bottom"/>
          </w:tcPr>
          <w:p>
            <w:pPr>
              <w:ind w:left="20"/>
              <w:spacing w:after="0"/>
              <w:rPr>
                <w:sz w:val="20"/>
                <w:szCs w:val="20"/>
                <w:color w:val="auto"/>
              </w:rPr>
            </w:pPr>
            <w:r>
              <w:rPr>
                <w:rFonts w:ascii="Arial" w:cs="Arial" w:eastAsia="Arial" w:hAnsi="Arial"/>
                <w:sz w:val="20"/>
                <w:szCs w:val="20"/>
                <w:color w:val="auto"/>
              </w:rPr>
              <w:t>31,</w:t>
            </w:r>
          </w:p>
        </w:tc>
        <w:tc>
          <w:tcPr>
            <w:tcW w:w="1900" w:type="dxa"/>
            <w:vAlign w:val="bottom"/>
            <w:vMerge w:val="continue"/>
          </w:tcPr>
          <w:p>
            <w:pPr>
              <w:spacing w:after="0"/>
              <w:rPr>
                <w:sz w:val="22"/>
                <w:szCs w:val="22"/>
                <w:color w:val="auto"/>
              </w:rPr>
            </w:pPr>
          </w:p>
        </w:tc>
        <w:tc>
          <w:tcPr>
            <w:tcW w:w="12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7980" w:type="dxa"/>
            <w:vAlign w:val="bottom"/>
            <w:tcBorders>
              <w:bottom w:val="single" w:sz="8" w:color="BF2115"/>
            </w:tcBorders>
          </w:tcPr>
          <w:p>
            <w:pPr>
              <w:spacing w:after="0"/>
              <w:rPr>
                <w:sz w:val="20"/>
                <w:szCs w:val="20"/>
                <w:color w:val="auto"/>
              </w:rPr>
            </w:pPr>
          </w:p>
        </w:tc>
        <w:tc>
          <w:tcPr>
            <w:tcW w:w="1900" w:type="dxa"/>
            <w:vAlign w:val="bottom"/>
            <w:tcBorders>
              <w:bottom w:val="single" w:sz="8" w:color="BF2115"/>
            </w:tcBorders>
          </w:tcPr>
          <w:p>
            <w:pPr>
              <w:spacing w:after="0"/>
              <w:rPr>
                <w:sz w:val="20"/>
                <w:szCs w:val="20"/>
                <w:color w:val="auto"/>
              </w:rPr>
            </w:pPr>
          </w:p>
        </w:tc>
        <w:tc>
          <w:tcPr>
            <w:tcW w:w="1260" w:type="dxa"/>
            <w:vAlign w:val="bottom"/>
            <w:tcBorders>
              <w:bottom w:val="single" w:sz="8" w:color="BF2115"/>
            </w:tcBorders>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7980" w:type="dxa"/>
            <w:vAlign w:val="bottom"/>
          </w:tcPr>
          <w:p>
            <w:pPr>
              <w:ind w:left="20"/>
              <w:spacing w:after="0"/>
              <w:rPr>
                <w:sz w:val="20"/>
                <w:szCs w:val="20"/>
                <w:color w:val="auto"/>
              </w:rPr>
            </w:pPr>
            <w:r>
              <w:rPr>
                <w:rFonts w:ascii="Arial" w:cs="Arial" w:eastAsia="Arial" w:hAnsi="Arial"/>
                <w:sz w:val="20"/>
                <w:szCs w:val="20"/>
                <w:color w:val="auto"/>
              </w:rPr>
              <w:t>in CHF thousands</w:t>
            </w:r>
          </w:p>
        </w:tc>
        <w:tc>
          <w:tcPr>
            <w:tcW w:w="19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61"/>
        </w:trPr>
        <w:tc>
          <w:tcPr>
            <w:tcW w:w="7980" w:type="dxa"/>
            <w:vAlign w:val="bottom"/>
          </w:tcPr>
          <w:p>
            <w:pPr>
              <w:ind w:left="20"/>
              <w:spacing w:after="0"/>
              <w:rPr>
                <w:sz w:val="20"/>
                <w:szCs w:val="20"/>
                <w:color w:val="auto"/>
              </w:rPr>
            </w:pPr>
            <w:r>
              <w:rPr>
                <w:rFonts w:ascii="Arial" w:cs="Arial" w:eastAsia="Arial" w:hAnsi="Arial"/>
                <w:sz w:val="20"/>
                <w:szCs w:val="20"/>
                <w:color w:val="auto"/>
              </w:rPr>
              <w:t>Net result attributable to shareholders</w:t>
            </w:r>
          </w:p>
        </w:tc>
        <w:tc>
          <w:tcPr>
            <w:tcW w:w="1900" w:type="dxa"/>
            <w:vAlign w:val="bottom"/>
          </w:tcPr>
          <w:p>
            <w:pPr>
              <w:jc w:val="right"/>
              <w:ind w:right="421"/>
              <w:spacing w:after="0"/>
              <w:rPr>
                <w:sz w:val="20"/>
                <w:szCs w:val="20"/>
                <w:color w:val="auto"/>
              </w:rPr>
            </w:pPr>
            <w:r>
              <w:rPr>
                <w:rFonts w:ascii="Arial" w:cs="Arial" w:eastAsia="Arial" w:hAnsi="Arial"/>
                <w:sz w:val="20"/>
                <w:szCs w:val="20"/>
                <w:color w:val="auto"/>
              </w:rPr>
              <w:t>(13,144)</w:t>
            </w:r>
          </w:p>
        </w:tc>
        <w:tc>
          <w:tcPr>
            <w:tcW w:w="1260" w:type="dxa"/>
            <w:vAlign w:val="bottom"/>
          </w:tcPr>
          <w:p>
            <w:pPr>
              <w:jc w:val="right"/>
              <w:spacing w:after="0"/>
              <w:rPr>
                <w:sz w:val="20"/>
                <w:szCs w:val="20"/>
                <w:color w:val="auto"/>
              </w:rPr>
            </w:pPr>
            <w:r>
              <w:rPr>
                <w:rFonts w:ascii="Arial" w:cs="Arial" w:eastAsia="Arial" w:hAnsi="Arial"/>
                <w:sz w:val="20"/>
                <w:szCs w:val="20"/>
                <w:color w:val="auto"/>
              </w:rPr>
              <w:t>(16,771)</w:t>
            </w:r>
          </w:p>
        </w:tc>
        <w:tc>
          <w:tcPr>
            <w:tcW w:w="0" w:type="dxa"/>
            <w:vAlign w:val="bottom"/>
          </w:tcPr>
          <w:p>
            <w:pPr>
              <w:spacing w:after="0"/>
              <w:rPr>
                <w:sz w:val="1"/>
                <w:szCs w:val="1"/>
                <w:color w:val="auto"/>
              </w:rPr>
            </w:pPr>
          </w:p>
        </w:tc>
      </w:tr>
      <w:tr>
        <w:trPr>
          <w:trHeight w:val="513"/>
        </w:trPr>
        <w:tc>
          <w:tcPr>
            <w:tcW w:w="7980" w:type="dxa"/>
            <w:vAlign w:val="bottom"/>
          </w:tcPr>
          <w:p>
            <w:pPr>
              <w:ind w:left="360"/>
              <w:spacing w:after="0"/>
              <w:rPr>
                <w:sz w:val="20"/>
                <w:szCs w:val="20"/>
                <w:color w:val="auto"/>
              </w:rPr>
            </w:pPr>
            <w:r>
              <w:rPr>
                <w:rFonts w:ascii="Arial" w:cs="Arial" w:eastAsia="Arial" w:hAnsi="Arial"/>
                <w:sz w:val="20"/>
                <w:szCs w:val="20"/>
                <w:color w:val="auto"/>
              </w:rPr>
              <w:t>Adjustments for:</w:t>
            </w:r>
          </w:p>
        </w:tc>
        <w:tc>
          <w:tcPr>
            <w:tcW w:w="1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7980" w:type="dxa"/>
            <w:vAlign w:val="bottom"/>
          </w:tcPr>
          <w:p>
            <w:pPr>
              <w:ind w:left="680"/>
              <w:spacing w:after="0"/>
              <w:rPr>
                <w:sz w:val="20"/>
                <w:szCs w:val="20"/>
                <w:color w:val="auto"/>
              </w:rPr>
            </w:pPr>
            <w:r>
              <w:rPr>
                <w:rFonts w:ascii="Arial" w:cs="Arial" w:eastAsia="Arial" w:hAnsi="Arial"/>
                <w:sz w:val="20"/>
                <w:szCs w:val="20"/>
                <w:color w:val="auto"/>
              </w:rPr>
              <w:t>Depreciation and amortization</w:t>
            </w:r>
          </w:p>
        </w:tc>
        <w:tc>
          <w:tcPr>
            <w:tcW w:w="1900" w:type="dxa"/>
            <w:vAlign w:val="bottom"/>
          </w:tcPr>
          <w:p>
            <w:pPr>
              <w:jc w:val="right"/>
              <w:ind w:right="481"/>
              <w:spacing w:after="0"/>
              <w:rPr>
                <w:sz w:val="20"/>
                <w:szCs w:val="20"/>
                <w:color w:val="auto"/>
              </w:rPr>
            </w:pPr>
            <w:r>
              <w:rPr>
                <w:rFonts w:ascii="Arial" w:cs="Arial" w:eastAsia="Arial" w:hAnsi="Arial"/>
                <w:sz w:val="20"/>
                <w:szCs w:val="20"/>
                <w:color w:val="auto"/>
              </w:rPr>
              <w:t>501</w:t>
            </w:r>
          </w:p>
        </w:tc>
        <w:tc>
          <w:tcPr>
            <w:tcW w:w="1260" w:type="dxa"/>
            <w:vAlign w:val="bottom"/>
          </w:tcPr>
          <w:p>
            <w:pPr>
              <w:jc w:val="right"/>
              <w:spacing w:after="0"/>
              <w:rPr>
                <w:sz w:val="20"/>
                <w:szCs w:val="20"/>
                <w:color w:val="auto"/>
              </w:rPr>
            </w:pPr>
            <w:r>
              <w:rPr>
                <w:rFonts w:ascii="Arial" w:cs="Arial" w:eastAsia="Arial" w:hAnsi="Arial"/>
                <w:sz w:val="20"/>
                <w:szCs w:val="20"/>
                <w:color w:val="auto"/>
              </w:rPr>
              <w:t>552</w:t>
            </w:r>
          </w:p>
        </w:tc>
        <w:tc>
          <w:tcPr>
            <w:tcW w:w="0" w:type="dxa"/>
            <w:vAlign w:val="bottom"/>
          </w:tcPr>
          <w:p>
            <w:pPr>
              <w:spacing w:after="0"/>
              <w:rPr>
                <w:sz w:val="1"/>
                <w:szCs w:val="1"/>
                <w:color w:val="auto"/>
              </w:rPr>
            </w:pPr>
          </w:p>
        </w:tc>
      </w:tr>
      <w:tr>
        <w:trPr>
          <w:trHeight w:val="513"/>
        </w:trPr>
        <w:tc>
          <w:tcPr>
            <w:tcW w:w="7980" w:type="dxa"/>
            <w:vAlign w:val="bottom"/>
          </w:tcPr>
          <w:p>
            <w:pPr>
              <w:ind w:left="680"/>
              <w:spacing w:after="0"/>
              <w:rPr>
                <w:sz w:val="20"/>
                <w:szCs w:val="20"/>
                <w:color w:val="auto"/>
              </w:rPr>
            </w:pPr>
            <w:r>
              <w:rPr>
                <w:rFonts w:ascii="Arial" w:cs="Arial" w:eastAsia="Arial" w:hAnsi="Arial"/>
                <w:sz w:val="20"/>
                <w:szCs w:val="20"/>
                <w:color w:val="auto"/>
              </w:rPr>
              <w:t>Share-based compensation</w:t>
            </w:r>
          </w:p>
        </w:tc>
        <w:tc>
          <w:tcPr>
            <w:tcW w:w="1900" w:type="dxa"/>
            <w:vAlign w:val="bottom"/>
          </w:tcPr>
          <w:p>
            <w:pPr>
              <w:jc w:val="right"/>
              <w:ind w:right="481"/>
              <w:spacing w:after="0"/>
              <w:rPr>
                <w:sz w:val="20"/>
                <w:szCs w:val="20"/>
                <w:color w:val="auto"/>
              </w:rPr>
            </w:pPr>
            <w:r>
              <w:rPr>
                <w:rFonts w:ascii="Arial" w:cs="Arial" w:eastAsia="Arial" w:hAnsi="Arial"/>
                <w:sz w:val="20"/>
                <w:szCs w:val="20"/>
                <w:color w:val="auto"/>
              </w:rPr>
              <w:t>936</w:t>
            </w:r>
          </w:p>
        </w:tc>
        <w:tc>
          <w:tcPr>
            <w:tcW w:w="1260" w:type="dxa"/>
            <w:vAlign w:val="bottom"/>
          </w:tcPr>
          <w:p>
            <w:pPr>
              <w:jc w:val="right"/>
              <w:spacing w:after="0"/>
              <w:rPr>
                <w:sz w:val="20"/>
                <w:szCs w:val="20"/>
                <w:color w:val="auto"/>
              </w:rPr>
            </w:pPr>
            <w:r>
              <w:rPr>
                <w:rFonts w:ascii="Arial" w:cs="Arial" w:eastAsia="Arial" w:hAnsi="Arial"/>
                <w:sz w:val="20"/>
                <w:szCs w:val="20"/>
                <w:color w:val="auto"/>
              </w:rPr>
              <w:t>1,142</w:t>
            </w:r>
          </w:p>
        </w:tc>
        <w:tc>
          <w:tcPr>
            <w:tcW w:w="0" w:type="dxa"/>
            <w:vAlign w:val="bottom"/>
          </w:tcPr>
          <w:p>
            <w:pPr>
              <w:spacing w:after="0"/>
              <w:rPr>
                <w:sz w:val="1"/>
                <w:szCs w:val="1"/>
                <w:color w:val="auto"/>
              </w:rPr>
            </w:pPr>
          </w:p>
        </w:tc>
      </w:tr>
      <w:tr>
        <w:trPr>
          <w:trHeight w:val="495"/>
        </w:trPr>
        <w:tc>
          <w:tcPr>
            <w:tcW w:w="7980" w:type="dxa"/>
            <w:vAlign w:val="bottom"/>
          </w:tcPr>
          <w:p>
            <w:pPr>
              <w:ind w:left="680"/>
              <w:spacing w:after="0"/>
              <w:rPr>
                <w:sz w:val="20"/>
                <w:szCs w:val="20"/>
                <w:color w:val="auto"/>
              </w:rPr>
            </w:pPr>
            <w:r>
              <w:rPr>
                <w:rFonts w:ascii="Arial" w:cs="Arial" w:eastAsia="Arial" w:hAnsi="Arial"/>
                <w:sz w:val="20"/>
                <w:szCs w:val="20"/>
                <w:color w:val="auto"/>
              </w:rPr>
              <w:t>Social security and tax paid on behalf of employees on shares vested under</w:t>
            </w:r>
          </w:p>
        </w:tc>
        <w:tc>
          <w:tcPr>
            <w:tcW w:w="1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7980" w:type="dxa"/>
            <w:vAlign w:val="bottom"/>
          </w:tcPr>
          <w:p>
            <w:pPr>
              <w:ind w:left="680"/>
              <w:spacing w:after="0"/>
              <w:rPr>
                <w:sz w:val="20"/>
                <w:szCs w:val="20"/>
                <w:color w:val="auto"/>
              </w:rPr>
            </w:pPr>
            <w:r>
              <w:rPr>
                <w:rFonts w:ascii="Arial" w:cs="Arial" w:eastAsia="Arial" w:hAnsi="Arial"/>
                <w:sz w:val="20"/>
                <w:szCs w:val="20"/>
                <w:color w:val="auto"/>
              </w:rPr>
              <w:t>the PSU and RSU program</w:t>
            </w:r>
          </w:p>
        </w:tc>
        <w:tc>
          <w:tcPr>
            <w:tcW w:w="1900" w:type="dxa"/>
            <w:vAlign w:val="bottom"/>
            <w:vMerge w:val="restart"/>
          </w:tcPr>
          <w:p>
            <w:pPr>
              <w:jc w:val="right"/>
              <w:ind w:right="421"/>
              <w:spacing w:after="0"/>
              <w:rPr>
                <w:sz w:val="20"/>
                <w:szCs w:val="20"/>
                <w:color w:val="auto"/>
              </w:rPr>
            </w:pPr>
            <w:r>
              <w:rPr>
                <w:rFonts w:ascii="Arial" w:cs="Arial" w:eastAsia="Arial" w:hAnsi="Arial"/>
                <w:sz w:val="20"/>
                <w:szCs w:val="20"/>
                <w:color w:val="auto"/>
              </w:rPr>
              <w:t>(35)</w:t>
            </w:r>
          </w:p>
        </w:tc>
        <w:tc>
          <w:tcPr>
            <w:tcW w:w="126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29"/>
        </w:trPr>
        <w:tc>
          <w:tcPr>
            <w:tcW w:w="7980" w:type="dxa"/>
            <w:vAlign w:val="bottom"/>
          </w:tcPr>
          <w:p>
            <w:pPr>
              <w:spacing w:after="0"/>
              <w:rPr>
                <w:sz w:val="19"/>
                <w:szCs w:val="19"/>
                <w:color w:val="auto"/>
              </w:rPr>
            </w:pPr>
          </w:p>
        </w:tc>
        <w:tc>
          <w:tcPr>
            <w:tcW w:w="1900" w:type="dxa"/>
            <w:vAlign w:val="bottom"/>
            <w:vMerge w:val="continue"/>
          </w:tcPr>
          <w:p>
            <w:pPr>
              <w:spacing w:after="0"/>
              <w:rPr>
                <w:sz w:val="19"/>
                <w:szCs w:val="19"/>
                <w:color w:val="auto"/>
              </w:rPr>
            </w:pPr>
          </w:p>
        </w:tc>
        <w:tc>
          <w:tcPr>
            <w:tcW w:w="1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980" w:type="dxa"/>
            <w:vAlign w:val="bottom"/>
          </w:tcPr>
          <w:p>
            <w:pPr>
              <w:ind w:left="680"/>
              <w:spacing w:after="0"/>
              <w:rPr>
                <w:sz w:val="20"/>
                <w:szCs w:val="20"/>
                <w:color w:val="auto"/>
              </w:rPr>
            </w:pPr>
            <w:r>
              <w:rPr>
                <w:rFonts w:ascii="Arial" w:cs="Arial" w:eastAsia="Arial" w:hAnsi="Arial"/>
                <w:sz w:val="20"/>
                <w:szCs w:val="20"/>
                <w:color w:val="auto"/>
              </w:rPr>
              <w:t>Other equity-settled transactions</w:t>
            </w:r>
          </w:p>
        </w:tc>
        <w:tc>
          <w:tcPr>
            <w:tcW w:w="1900" w:type="dxa"/>
            <w:vAlign w:val="bottom"/>
            <w:vMerge w:val="restart"/>
          </w:tcPr>
          <w:p>
            <w:pPr>
              <w:jc w:val="right"/>
              <w:ind w:right="481"/>
              <w:spacing w:after="0"/>
              <w:rPr>
                <w:sz w:val="20"/>
                <w:szCs w:val="20"/>
                <w:color w:val="auto"/>
              </w:rPr>
            </w:pPr>
            <w:r>
              <w:rPr>
                <w:rFonts w:ascii="Arial" w:cs="Arial" w:eastAsia="Arial" w:hAnsi="Arial"/>
                <w:sz w:val="20"/>
                <w:szCs w:val="20"/>
                <w:color w:val="auto"/>
              </w:rPr>
              <w:t>81</w:t>
            </w:r>
          </w:p>
        </w:tc>
        <w:tc>
          <w:tcPr>
            <w:tcW w:w="126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3"/>
        </w:trPr>
        <w:tc>
          <w:tcPr>
            <w:tcW w:w="7980" w:type="dxa"/>
            <w:vAlign w:val="bottom"/>
          </w:tcPr>
          <w:p>
            <w:pPr>
              <w:spacing w:after="0"/>
              <w:rPr>
                <w:sz w:val="21"/>
                <w:szCs w:val="21"/>
                <w:color w:val="auto"/>
              </w:rPr>
            </w:pPr>
          </w:p>
        </w:tc>
        <w:tc>
          <w:tcPr>
            <w:tcW w:w="1900" w:type="dxa"/>
            <w:vAlign w:val="bottom"/>
            <w:vMerge w:val="continue"/>
          </w:tcPr>
          <w:p>
            <w:pPr>
              <w:spacing w:after="0"/>
              <w:rPr>
                <w:sz w:val="21"/>
                <w:szCs w:val="21"/>
                <w:color w:val="auto"/>
              </w:rPr>
            </w:pPr>
          </w:p>
        </w:tc>
        <w:tc>
          <w:tcPr>
            <w:tcW w:w="12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980" w:type="dxa"/>
            <w:vAlign w:val="bottom"/>
          </w:tcPr>
          <w:p>
            <w:pPr>
              <w:ind w:left="680"/>
              <w:spacing w:after="0"/>
              <w:rPr>
                <w:sz w:val="20"/>
                <w:szCs w:val="20"/>
                <w:color w:val="auto"/>
              </w:rPr>
            </w:pPr>
            <w:r>
              <w:rPr>
                <w:rFonts w:ascii="Arial" w:cs="Arial" w:eastAsia="Arial" w:hAnsi="Arial"/>
                <w:sz w:val="20"/>
                <w:szCs w:val="20"/>
                <w:color w:val="auto"/>
              </w:rPr>
              <w:t>Change in employee benefits</w:t>
            </w:r>
          </w:p>
        </w:tc>
        <w:tc>
          <w:tcPr>
            <w:tcW w:w="1900" w:type="dxa"/>
            <w:vAlign w:val="bottom"/>
          </w:tcPr>
          <w:p>
            <w:pPr>
              <w:jc w:val="right"/>
              <w:ind w:right="481"/>
              <w:spacing w:after="0"/>
              <w:rPr>
                <w:sz w:val="20"/>
                <w:szCs w:val="20"/>
                <w:color w:val="auto"/>
              </w:rPr>
            </w:pPr>
            <w:r>
              <w:rPr>
                <w:rFonts w:ascii="Arial" w:cs="Arial" w:eastAsia="Arial" w:hAnsi="Arial"/>
                <w:sz w:val="20"/>
                <w:szCs w:val="20"/>
                <w:color w:val="auto"/>
              </w:rPr>
              <w:t>231</w:t>
            </w:r>
          </w:p>
        </w:tc>
        <w:tc>
          <w:tcPr>
            <w:tcW w:w="1260" w:type="dxa"/>
            <w:vAlign w:val="bottom"/>
          </w:tcPr>
          <w:p>
            <w:pPr>
              <w:jc w:val="right"/>
              <w:spacing w:after="0"/>
              <w:rPr>
                <w:sz w:val="20"/>
                <w:szCs w:val="20"/>
                <w:color w:val="auto"/>
              </w:rPr>
            </w:pPr>
            <w:r>
              <w:rPr>
                <w:rFonts w:ascii="Arial" w:cs="Arial" w:eastAsia="Arial" w:hAnsi="Arial"/>
                <w:sz w:val="20"/>
                <w:szCs w:val="20"/>
                <w:color w:val="auto"/>
              </w:rPr>
              <w:t>157</w:t>
            </w:r>
          </w:p>
        </w:tc>
        <w:tc>
          <w:tcPr>
            <w:tcW w:w="0" w:type="dxa"/>
            <w:vAlign w:val="bottom"/>
          </w:tcPr>
          <w:p>
            <w:pPr>
              <w:spacing w:after="0"/>
              <w:rPr>
                <w:sz w:val="1"/>
                <w:szCs w:val="1"/>
                <w:color w:val="auto"/>
              </w:rPr>
            </w:pPr>
          </w:p>
        </w:tc>
      </w:tr>
      <w:tr>
        <w:trPr>
          <w:trHeight w:val="513"/>
        </w:trPr>
        <w:tc>
          <w:tcPr>
            <w:tcW w:w="7980" w:type="dxa"/>
            <w:vAlign w:val="bottom"/>
          </w:tcPr>
          <w:p>
            <w:pPr>
              <w:ind w:left="680"/>
              <w:spacing w:after="0"/>
              <w:rPr>
                <w:sz w:val="20"/>
                <w:szCs w:val="20"/>
                <w:color w:val="auto"/>
              </w:rPr>
            </w:pPr>
            <w:r>
              <w:rPr>
                <w:rFonts w:ascii="Arial" w:cs="Arial" w:eastAsia="Arial" w:hAnsi="Arial"/>
                <w:sz w:val="20"/>
                <w:szCs w:val="20"/>
                <w:color w:val="auto"/>
              </w:rPr>
              <w:t>Income tax</w:t>
            </w:r>
          </w:p>
        </w:tc>
        <w:tc>
          <w:tcPr>
            <w:tcW w:w="1900" w:type="dxa"/>
            <w:vAlign w:val="bottom"/>
          </w:tcPr>
          <w:p>
            <w:pPr>
              <w:jc w:val="right"/>
              <w:ind w:right="481"/>
              <w:spacing w:after="0"/>
              <w:rPr>
                <w:sz w:val="20"/>
                <w:szCs w:val="20"/>
                <w:color w:val="auto"/>
              </w:rPr>
            </w:pPr>
            <w:r>
              <w:rPr>
                <w:rFonts w:ascii="Arial" w:cs="Arial" w:eastAsia="Arial" w:hAnsi="Arial"/>
                <w:sz w:val="20"/>
                <w:szCs w:val="20"/>
                <w:color w:val="auto"/>
              </w:rPr>
              <w:t>—</w:t>
            </w:r>
          </w:p>
        </w:tc>
        <w:tc>
          <w:tcPr>
            <w:tcW w:w="1260" w:type="dxa"/>
            <w:vAlign w:val="bottom"/>
          </w:tcPr>
          <w:p>
            <w:pPr>
              <w:jc w:val="right"/>
              <w:spacing w:after="0"/>
              <w:rPr>
                <w:sz w:val="20"/>
                <w:szCs w:val="20"/>
                <w:color w:val="auto"/>
              </w:rPr>
            </w:pPr>
            <w:r>
              <w:rPr>
                <w:rFonts w:ascii="Arial" w:cs="Arial" w:eastAsia="Arial" w:hAnsi="Arial"/>
                <w:sz w:val="20"/>
                <w:szCs w:val="20"/>
                <w:color w:val="auto"/>
              </w:rPr>
              <w:t>(2)</w:t>
            </w:r>
          </w:p>
        </w:tc>
        <w:tc>
          <w:tcPr>
            <w:tcW w:w="0" w:type="dxa"/>
            <w:vAlign w:val="bottom"/>
          </w:tcPr>
          <w:p>
            <w:pPr>
              <w:spacing w:after="0"/>
              <w:rPr>
                <w:sz w:val="1"/>
                <w:szCs w:val="1"/>
                <w:color w:val="auto"/>
              </w:rPr>
            </w:pPr>
          </w:p>
        </w:tc>
      </w:tr>
      <w:tr>
        <w:trPr>
          <w:trHeight w:val="513"/>
        </w:trPr>
        <w:tc>
          <w:tcPr>
            <w:tcW w:w="7980" w:type="dxa"/>
            <w:vAlign w:val="bottom"/>
          </w:tcPr>
          <w:p>
            <w:pPr>
              <w:ind w:left="680"/>
              <w:spacing w:after="0"/>
              <w:rPr>
                <w:sz w:val="20"/>
                <w:szCs w:val="20"/>
                <w:color w:val="auto"/>
              </w:rPr>
            </w:pPr>
            <w:r>
              <w:rPr>
                <w:rFonts w:ascii="Arial" w:cs="Arial" w:eastAsia="Arial" w:hAnsi="Arial"/>
                <w:sz w:val="20"/>
                <w:szCs w:val="20"/>
                <w:color w:val="auto"/>
              </w:rPr>
              <w:t>Financial income</w:t>
            </w:r>
          </w:p>
        </w:tc>
        <w:tc>
          <w:tcPr>
            <w:tcW w:w="1900" w:type="dxa"/>
            <w:vAlign w:val="bottom"/>
          </w:tcPr>
          <w:p>
            <w:pPr>
              <w:jc w:val="right"/>
              <w:ind w:right="421"/>
              <w:spacing w:after="0"/>
              <w:rPr>
                <w:sz w:val="20"/>
                <w:szCs w:val="20"/>
                <w:color w:val="auto"/>
              </w:rPr>
            </w:pPr>
            <w:r>
              <w:rPr>
                <w:rFonts w:ascii="Arial" w:cs="Arial" w:eastAsia="Arial" w:hAnsi="Arial"/>
                <w:sz w:val="20"/>
                <w:szCs w:val="20"/>
                <w:color w:val="auto"/>
              </w:rPr>
              <w:t>(310)</w:t>
            </w:r>
          </w:p>
        </w:tc>
        <w:tc>
          <w:tcPr>
            <w:tcW w:w="1260" w:type="dxa"/>
            <w:vAlign w:val="bottom"/>
          </w:tcPr>
          <w:p>
            <w:pPr>
              <w:jc w:val="right"/>
              <w:spacing w:after="0"/>
              <w:rPr>
                <w:sz w:val="20"/>
                <w:szCs w:val="20"/>
                <w:color w:val="auto"/>
              </w:rPr>
            </w:pPr>
            <w:r>
              <w:rPr>
                <w:rFonts w:ascii="Arial" w:cs="Arial" w:eastAsia="Arial" w:hAnsi="Arial"/>
                <w:sz w:val="20"/>
                <w:szCs w:val="20"/>
                <w:color w:val="auto"/>
              </w:rPr>
              <w:t>(502)</w:t>
            </w:r>
          </w:p>
        </w:tc>
        <w:tc>
          <w:tcPr>
            <w:tcW w:w="0" w:type="dxa"/>
            <w:vAlign w:val="bottom"/>
          </w:tcPr>
          <w:p>
            <w:pPr>
              <w:spacing w:after="0"/>
              <w:rPr>
                <w:sz w:val="1"/>
                <w:szCs w:val="1"/>
                <w:color w:val="auto"/>
              </w:rPr>
            </w:pPr>
          </w:p>
        </w:tc>
      </w:tr>
      <w:tr>
        <w:trPr>
          <w:trHeight w:val="513"/>
        </w:trPr>
        <w:tc>
          <w:tcPr>
            <w:tcW w:w="7980" w:type="dxa"/>
            <w:vAlign w:val="bottom"/>
          </w:tcPr>
          <w:p>
            <w:pPr>
              <w:ind w:left="680"/>
              <w:spacing w:after="0"/>
              <w:rPr>
                <w:sz w:val="20"/>
                <w:szCs w:val="20"/>
                <w:color w:val="auto"/>
              </w:rPr>
            </w:pPr>
            <w:r>
              <w:rPr>
                <w:rFonts w:ascii="Arial" w:cs="Arial" w:eastAsia="Arial" w:hAnsi="Arial"/>
                <w:sz w:val="20"/>
                <w:szCs w:val="20"/>
                <w:color w:val="auto"/>
              </w:rPr>
              <w:t>Financial expenses</w:t>
            </w:r>
          </w:p>
        </w:tc>
        <w:tc>
          <w:tcPr>
            <w:tcW w:w="1900" w:type="dxa"/>
            <w:vAlign w:val="bottom"/>
          </w:tcPr>
          <w:p>
            <w:pPr>
              <w:jc w:val="right"/>
              <w:ind w:right="481"/>
              <w:spacing w:after="0"/>
              <w:rPr>
                <w:sz w:val="20"/>
                <w:szCs w:val="20"/>
                <w:color w:val="auto"/>
              </w:rPr>
            </w:pPr>
            <w:r>
              <w:rPr>
                <w:rFonts w:ascii="Arial" w:cs="Arial" w:eastAsia="Arial" w:hAnsi="Arial"/>
                <w:sz w:val="20"/>
                <w:szCs w:val="20"/>
                <w:color w:val="auto"/>
              </w:rPr>
              <w:t>11</w:t>
            </w:r>
          </w:p>
        </w:tc>
        <w:tc>
          <w:tcPr>
            <w:tcW w:w="1260" w:type="dxa"/>
            <w:vAlign w:val="bottom"/>
          </w:tcPr>
          <w:p>
            <w:pPr>
              <w:jc w:val="right"/>
              <w:spacing w:after="0"/>
              <w:rPr>
                <w:sz w:val="20"/>
                <w:szCs w:val="20"/>
                <w:color w:val="auto"/>
              </w:rPr>
            </w:pPr>
            <w:r>
              <w:rPr>
                <w:rFonts w:ascii="Arial" w:cs="Arial" w:eastAsia="Arial" w:hAnsi="Arial"/>
                <w:sz w:val="20"/>
                <w:szCs w:val="20"/>
                <w:color w:val="auto"/>
              </w:rPr>
              <w:t>1,132</w:t>
            </w:r>
          </w:p>
        </w:tc>
        <w:tc>
          <w:tcPr>
            <w:tcW w:w="0" w:type="dxa"/>
            <w:vAlign w:val="bottom"/>
          </w:tcPr>
          <w:p>
            <w:pPr>
              <w:spacing w:after="0"/>
              <w:rPr>
                <w:sz w:val="1"/>
                <w:szCs w:val="1"/>
                <w:color w:val="auto"/>
              </w:rPr>
            </w:pPr>
          </w:p>
        </w:tc>
      </w:tr>
      <w:tr>
        <w:trPr>
          <w:trHeight w:val="513"/>
        </w:trPr>
        <w:tc>
          <w:tcPr>
            <w:tcW w:w="7980" w:type="dxa"/>
            <w:vAlign w:val="bottom"/>
          </w:tcPr>
          <w:p>
            <w:pPr>
              <w:ind w:left="20"/>
              <w:spacing w:after="0"/>
              <w:rPr>
                <w:sz w:val="20"/>
                <w:szCs w:val="20"/>
                <w:color w:val="auto"/>
              </w:rPr>
            </w:pPr>
            <w:r>
              <w:rPr>
                <w:rFonts w:ascii="Arial" w:cs="Arial" w:eastAsia="Arial" w:hAnsi="Arial"/>
                <w:sz w:val="20"/>
                <w:szCs w:val="20"/>
                <w:color w:val="auto"/>
              </w:rPr>
              <w:t>Changes in working capital:</w:t>
            </w:r>
          </w:p>
        </w:tc>
        <w:tc>
          <w:tcPr>
            <w:tcW w:w="1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7980" w:type="dxa"/>
            <w:vAlign w:val="bottom"/>
          </w:tcPr>
          <w:p>
            <w:pPr>
              <w:ind w:left="680"/>
              <w:spacing w:after="0"/>
              <w:rPr>
                <w:sz w:val="20"/>
                <w:szCs w:val="20"/>
                <w:color w:val="auto"/>
              </w:rPr>
            </w:pPr>
            <w:r>
              <w:rPr>
                <w:rFonts w:ascii="Arial" w:cs="Arial" w:eastAsia="Arial" w:hAnsi="Arial"/>
                <w:sz w:val="20"/>
                <w:szCs w:val="20"/>
                <w:color w:val="auto"/>
              </w:rPr>
              <w:t>Change in other current assets</w:t>
            </w:r>
          </w:p>
        </w:tc>
        <w:tc>
          <w:tcPr>
            <w:tcW w:w="1900" w:type="dxa"/>
            <w:vAlign w:val="bottom"/>
          </w:tcPr>
          <w:p>
            <w:pPr>
              <w:jc w:val="right"/>
              <w:ind w:right="481"/>
              <w:spacing w:after="0"/>
              <w:rPr>
                <w:sz w:val="20"/>
                <w:szCs w:val="20"/>
                <w:color w:val="auto"/>
              </w:rPr>
            </w:pPr>
            <w:r>
              <w:rPr>
                <w:rFonts w:ascii="Arial" w:cs="Arial" w:eastAsia="Arial" w:hAnsi="Arial"/>
                <w:sz w:val="20"/>
                <w:szCs w:val="20"/>
                <w:color w:val="auto"/>
              </w:rPr>
              <w:t>224</w:t>
            </w:r>
          </w:p>
        </w:tc>
        <w:tc>
          <w:tcPr>
            <w:tcW w:w="1260" w:type="dxa"/>
            <w:vAlign w:val="bottom"/>
          </w:tcPr>
          <w:p>
            <w:pPr>
              <w:jc w:val="right"/>
              <w:spacing w:after="0"/>
              <w:rPr>
                <w:sz w:val="20"/>
                <w:szCs w:val="20"/>
                <w:color w:val="auto"/>
              </w:rPr>
            </w:pPr>
            <w:r>
              <w:rPr>
                <w:rFonts w:ascii="Arial" w:cs="Arial" w:eastAsia="Arial" w:hAnsi="Arial"/>
                <w:sz w:val="20"/>
                <w:szCs w:val="20"/>
                <w:color w:val="auto"/>
              </w:rPr>
              <w:t>546</w:t>
            </w:r>
          </w:p>
        </w:tc>
        <w:tc>
          <w:tcPr>
            <w:tcW w:w="0" w:type="dxa"/>
            <w:vAlign w:val="bottom"/>
          </w:tcPr>
          <w:p>
            <w:pPr>
              <w:spacing w:after="0"/>
              <w:rPr>
                <w:sz w:val="1"/>
                <w:szCs w:val="1"/>
                <w:color w:val="auto"/>
              </w:rPr>
            </w:pPr>
          </w:p>
        </w:tc>
      </w:tr>
      <w:tr>
        <w:trPr>
          <w:trHeight w:val="513"/>
        </w:trPr>
        <w:tc>
          <w:tcPr>
            <w:tcW w:w="7980" w:type="dxa"/>
            <w:vAlign w:val="bottom"/>
          </w:tcPr>
          <w:p>
            <w:pPr>
              <w:ind w:left="680"/>
              <w:spacing w:after="0"/>
              <w:rPr>
                <w:sz w:val="20"/>
                <w:szCs w:val="20"/>
                <w:color w:val="auto"/>
              </w:rPr>
            </w:pPr>
            <w:r>
              <w:rPr>
                <w:rFonts w:ascii="Arial" w:cs="Arial" w:eastAsia="Arial" w:hAnsi="Arial"/>
                <w:sz w:val="20"/>
                <w:szCs w:val="20"/>
                <w:color w:val="auto"/>
              </w:rPr>
              <w:t>Change in trade and other receivables</w:t>
            </w:r>
          </w:p>
        </w:tc>
        <w:tc>
          <w:tcPr>
            <w:tcW w:w="1900" w:type="dxa"/>
            <w:vAlign w:val="bottom"/>
          </w:tcPr>
          <w:p>
            <w:pPr>
              <w:jc w:val="right"/>
              <w:ind w:right="421"/>
              <w:spacing w:after="0"/>
              <w:rPr>
                <w:sz w:val="20"/>
                <w:szCs w:val="20"/>
                <w:color w:val="auto"/>
              </w:rPr>
            </w:pPr>
            <w:r>
              <w:rPr>
                <w:rFonts w:ascii="Arial" w:cs="Arial" w:eastAsia="Arial" w:hAnsi="Arial"/>
                <w:sz w:val="20"/>
                <w:szCs w:val="20"/>
                <w:color w:val="auto"/>
              </w:rPr>
              <w:t>(488)</w:t>
            </w:r>
          </w:p>
        </w:tc>
        <w:tc>
          <w:tcPr>
            <w:tcW w:w="1260" w:type="dxa"/>
            <w:vAlign w:val="bottom"/>
          </w:tcPr>
          <w:p>
            <w:pPr>
              <w:jc w:val="right"/>
              <w:spacing w:after="0"/>
              <w:rPr>
                <w:sz w:val="20"/>
                <w:szCs w:val="20"/>
                <w:color w:val="auto"/>
              </w:rPr>
            </w:pPr>
            <w:r>
              <w:rPr>
                <w:rFonts w:ascii="Arial" w:cs="Arial" w:eastAsia="Arial" w:hAnsi="Arial"/>
                <w:sz w:val="20"/>
                <w:szCs w:val="20"/>
                <w:color w:val="auto"/>
              </w:rPr>
              <w:t>(1,649)</w:t>
            </w:r>
          </w:p>
        </w:tc>
        <w:tc>
          <w:tcPr>
            <w:tcW w:w="0" w:type="dxa"/>
            <w:vAlign w:val="bottom"/>
          </w:tcPr>
          <w:p>
            <w:pPr>
              <w:spacing w:after="0"/>
              <w:rPr>
                <w:sz w:val="1"/>
                <w:szCs w:val="1"/>
                <w:color w:val="auto"/>
              </w:rPr>
            </w:pPr>
          </w:p>
        </w:tc>
      </w:tr>
      <w:tr>
        <w:trPr>
          <w:trHeight w:val="513"/>
        </w:trPr>
        <w:tc>
          <w:tcPr>
            <w:tcW w:w="7980" w:type="dxa"/>
            <w:vAlign w:val="bottom"/>
          </w:tcPr>
          <w:p>
            <w:pPr>
              <w:ind w:left="680"/>
              <w:spacing w:after="0"/>
              <w:rPr>
                <w:sz w:val="20"/>
                <w:szCs w:val="20"/>
                <w:color w:val="auto"/>
              </w:rPr>
            </w:pPr>
            <w:r>
              <w:rPr>
                <w:rFonts w:ascii="Arial" w:cs="Arial" w:eastAsia="Arial" w:hAnsi="Arial"/>
                <w:sz w:val="20"/>
                <w:szCs w:val="20"/>
                <w:color w:val="auto"/>
              </w:rPr>
              <w:t>Change in trade and other payables</w:t>
            </w:r>
          </w:p>
        </w:tc>
        <w:tc>
          <w:tcPr>
            <w:tcW w:w="1900" w:type="dxa"/>
            <w:vAlign w:val="bottom"/>
          </w:tcPr>
          <w:p>
            <w:pPr>
              <w:jc w:val="right"/>
              <w:ind w:right="481"/>
              <w:spacing w:after="0"/>
              <w:rPr>
                <w:sz w:val="20"/>
                <w:szCs w:val="20"/>
                <w:color w:val="auto"/>
              </w:rPr>
            </w:pPr>
            <w:r>
              <w:rPr>
                <w:rFonts w:ascii="Arial" w:cs="Arial" w:eastAsia="Arial" w:hAnsi="Arial"/>
                <w:sz w:val="20"/>
                <w:szCs w:val="20"/>
                <w:color w:val="auto"/>
              </w:rPr>
              <w:t>151</w:t>
            </w:r>
          </w:p>
        </w:tc>
        <w:tc>
          <w:tcPr>
            <w:tcW w:w="1260" w:type="dxa"/>
            <w:vAlign w:val="bottom"/>
          </w:tcPr>
          <w:p>
            <w:pPr>
              <w:jc w:val="right"/>
              <w:spacing w:after="0"/>
              <w:rPr>
                <w:sz w:val="20"/>
                <w:szCs w:val="20"/>
                <w:color w:val="auto"/>
              </w:rPr>
            </w:pPr>
            <w:r>
              <w:rPr>
                <w:rFonts w:ascii="Arial" w:cs="Arial" w:eastAsia="Arial" w:hAnsi="Arial"/>
                <w:sz w:val="20"/>
                <w:szCs w:val="20"/>
                <w:color w:val="auto"/>
              </w:rPr>
              <w:t>696</w:t>
            </w:r>
          </w:p>
        </w:tc>
        <w:tc>
          <w:tcPr>
            <w:tcW w:w="0" w:type="dxa"/>
            <w:vAlign w:val="bottom"/>
          </w:tcPr>
          <w:p>
            <w:pPr>
              <w:spacing w:after="0"/>
              <w:rPr>
                <w:sz w:val="1"/>
                <w:szCs w:val="1"/>
                <w:color w:val="auto"/>
              </w:rPr>
            </w:pPr>
          </w:p>
        </w:tc>
      </w:tr>
      <w:tr>
        <w:trPr>
          <w:trHeight w:val="513"/>
        </w:trPr>
        <w:tc>
          <w:tcPr>
            <w:tcW w:w="7980" w:type="dxa"/>
            <w:vAlign w:val="bottom"/>
          </w:tcPr>
          <w:p>
            <w:pPr>
              <w:ind w:left="680"/>
              <w:spacing w:after="0"/>
              <w:rPr>
                <w:sz w:val="20"/>
                <w:szCs w:val="20"/>
                <w:color w:val="auto"/>
              </w:rPr>
            </w:pPr>
            <w:r>
              <w:rPr>
                <w:rFonts w:ascii="Arial" w:cs="Arial" w:eastAsia="Arial" w:hAnsi="Arial"/>
                <w:sz w:val="20"/>
                <w:szCs w:val="20"/>
                <w:color w:val="auto"/>
              </w:rPr>
              <w:t>Change in accrued expenses</w:t>
            </w:r>
          </w:p>
        </w:tc>
        <w:tc>
          <w:tcPr>
            <w:tcW w:w="1900" w:type="dxa"/>
            <w:vAlign w:val="bottom"/>
          </w:tcPr>
          <w:p>
            <w:pPr>
              <w:jc w:val="right"/>
              <w:ind w:right="421"/>
              <w:spacing w:after="0"/>
              <w:rPr>
                <w:sz w:val="20"/>
                <w:szCs w:val="20"/>
                <w:color w:val="auto"/>
              </w:rPr>
            </w:pPr>
            <w:r>
              <w:rPr>
                <w:rFonts w:ascii="Arial" w:cs="Arial" w:eastAsia="Arial" w:hAnsi="Arial"/>
                <w:sz w:val="20"/>
                <w:szCs w:val="20"/>
                <w:color w:val="auto"/>
              </w:rPr>
              <w:t>(2,389)</w:t>
            </w:r>
          </w:p>
        </w:tc>
        <w:tc>
          <w:tcPr>
            <w:tcW w:w="1260" w:type="dxa"/>
            <w:vAlign w:val="bottom"/>
          </w:tcPr>
          <w:p>
            <w:pPr>
              <w:jc w:val="right"/>
              <w:spacing w:after="0"/>
              <w:rPr>
                <w:sz w:val="20"/>
                <w:szCs w:val="20"/>
                <w:color w:val="auto"/>
              </w:rPr>
            </w:pPr>
            <w:r>
              <w:rPr>
                <w:rFonts w:ascii="Arial" w:cs="Arial" w:eastAsia="Arial" w:hAnsi="Arial"/>
                <w:sz w:val="20"/>
                <w:szCs w:val="20"/>
                <w:color w:val="auto"/>
              </w:rPr>
              <w:t>(2,359)</w:t>
            </w:r>
          </w:p>
        </w:tc>
        <w:tc>
          <w:tcPr>
            <w:tcW w:w="0" w:type="dxa"/>
            <w:vAlign w:val="bottom"/>
          </w:tcPr>
          <w:p>
            <w:pPr>
              <w:spacing w:after="0"/>
              <w:rPr>
                <w:sz w:val="1"/>
                <w:szCs w:val="1"/>
                <w:color w:val="auto"/>
              </w:rPr>
            </w:pPr>
          </w:p>
        </w:tc>
      </w:tr>
      <w:tr>
        <w:trPr>
          <w:trHeight w:val="513"/>
        </w:trPr>
        <w:tc>
          <w:tcPr>
            <w:tcW w:w="7980" w:type="dxa"/>
            <w:vAlign w:val="bottom"/>
          </w:tcPr>
          <w:p>
            <w:pPr>
              <w:ind w:left="680"/>
              <w:spacing w:after="0"/>
              <w:rPr>
                <w:sz w:val="20"/>
                <w:szCs w:val="20"/>
                <w:color w:val="auto"/>
              </w:rPr>
            </w:pPr>
            <w:r>
              <w:rPr>
                <w:rFonts w:ascii="Arial" w:cs="Arial" w:eastAsia="Arial" w:hAnsi="Arial"/>
                <w:sz w:val="20"/>
                <w:szCs w:val="20"/>
                <w:color w:val="auto"/>
              </w:rPr>
              <w:t>Exchange (loss) gain on working capital positions</w:t>
            </w:r>
          </w:p>
        </w:tc>
        <w:tc>
          <w:tcPr>
            <w:tcW w:w="1900" w:type="dxa"/>
            <w:vAlign w:val="bottom"/>
          </w:tcPr>
          <w:p>
            <w:pPr>
              <w:jc w:val="right"/>
              <w:ind w:right="481"/>
              <w:spacing w:after="0"/>
              <w:rPr>
                <w:sz w:val="20"/>
                <w:szCs w:val="20"/>
                <w:color w:val="auto"/>
              </w:rPr>
            </w:pPr>
            <w:r>
              <w:rPr>
                <w:rFonts w:ascii="Arial" w:cs="Arial" w:eastAsia="Arial" w:hAnsi="Arial"/>
                <w:sz w:val="20"/>
                <w:szCs w:val="20"/>
                <w:color w:val="auto"/>
              </w:rPr>
              <w:t>—</w:t>
            </w:r>
          </w:p>
        </w:tc>
        <w:tc>
          <w:tcPr>
            <w:tcW w:w="1260" w:type="dxa"/>
            <w:vAlign w:val="bottom"/>
          </w:tcPr>
          <w:p>
            <w:pPr>
              <w:jc w:val="right"/>
              <w:spacing w:after="0"/>
              <w:rPr>
                <w:sz w:val="20"/>
                <w:szCs w:val="20"/>
                <w:color w:val="auto"/>
              </w:rPr>
            </w:pPr>
            <w:r>
              <w:rPr>
                <w:rFonts w:ascii="Arial" w:cs="Arial" w:eastAsia="Arial" w:hAnsi="Arial"/>
                <w:sz w:val="20"/>
                <w:szCs w:val="20"/>
                <w:color w:val="auto"/>
              </w:rPr>
              <w:t>(14)</w:t>
            </w:r>
          </w:p>
        </w:tc>
        <w:tc>
          <w:tcPr>
            <w:tcW w:w="0" w:type="dxa"/>
            <w:vAlign w:val="bottom"/>
          </w:tcPr>
          <w:p>
            <w:pPr>
              <w:spacing w:after="0"/>
              <w:rPr>
                <w:sz w:val="1"/>
                <w:szCs w:val="1"/>
                <w:color w:val="auto"/>
              </w:rPr>
            </w:pPr>
          </w:p>
        </w:tc>
      </w:tr>
      <w:tr>
        <w:trPr>
          <w:trHeight w:val="513"/>
        </w:trPr>
        <w:tc>
          <w:tcPr>
            <w:tcW w:w="7980" w:type="dxa"/>
            <w:vAlign w:val="bottom"/>
          </w:tcPr>
          <w:p>
            <w:pPr>
              <w:ind w:left="20"/>
              <w:spacing w:after="0"/>
              <w:rPr>
                <w:sz w:val="20"/>
                <w:szCs w:val="20"/>
                <w:color w:val="auto"/>
              </w:rPr>
            </w:pPr>
            <w:r>
              <w:rPr>
                <w:rFonts w:ascii="Arial" w:cs="Arial" w:eastAsia="Arial" w:hAnsi="Arial"/>
                <w:sz w:val="20"/>
                <w:szCs w:val="20"/>
                <w:color w:val="auto"/>
              </w:rPr>
              <w:t>Interest paid on lease liabilities</w:t>
            </w:r>
          </w:p>
        </w:tc>
        <w:tc>
          <w:tcPr>
            <w:tcW w:w="1900" w:type="dxa"/>
            <w:vAlign w:val="bottom"/>
          </w:tcPr>
          <w:p>
            <w:pPr>
              <w:jc w:val="right"/>
              <w:ind w:right="421"/>
              <w:spacing w:after="0"/>
              <w:rPr>
                <w:sz w:val="20"/>
                <w:szCs w:val="20"/>
                <w:color w:val="auto"/>
              </w:rPr>
            </w:pPr>
            <w:r>
              <w:rPr>
                <w:rFonts w:ascii="Arial" w:cs="Arial" w:eastAsia="Arial" w:hAnsi="Arial"/>
                <w:sz w:val="20"/>
                <w:szCs w:val="20"/>
                <w:color w:val="auto"/>
              </w:rPr>
              <w:t>(7)</w:t>
            </w:r>
          </w:p>
        </w:tc>
        <w:tc>
          <w:tcPr>
            <w:tcW w:w="1260" w:type="dxa"/>
            <w:vAlign w:val="bottom"/>
          </w:tcPr>
          <w:p>
            <w:pPr>
              <w:jc w:val="right"/>
              <w:spacing w:after="0"/>
              <w:rPr>
                <w:sz w:val="20"/>
                <w:szCs w:val="20"/>
                <w:color w:val="auto"/>
              </w:rPr>
            </w:pPr>
            <w:r>
              <w:rPr>
                <w:rFonts w:ascii="Arial" w:cs="Arial" w:eastAsia="Arial" w:hAnsi="Arial"/>
                <w:sz w:val="20"/>
                <w:szCs w:val="20"/>
                <w:color w:val="auto"/>
              </w:rPr>
              <w:t>(5)</w:t>
            </w:r>
          </w:p>
        </w:tc>
        <w:tc>
          <w:tcPr>
            <w:tcW w:w="0" w:type="dxa"/>
            <w:vAlign w:val="bottom"/>
          </w:tcPr>
          <w:p>
            <w:pPr>
              <w:spacing w:after="0"/>
              <w:rPr>
                <w:sz w:val="1"/>
                <w:szCs w:val="1"/>
                <w:color w:val="auto"/>
              </w:rPr>
            </w:pPr>
          </w:p>
        </w:tc>
      </w:tr>
      <w:tr>
        <w:trPr>
          <w:trHeight w:val="513"/>
        </w:trPr>
        <w:tc>
          <w:tcPr>
            <w:tcW w:w="7980" w:type="dxa"/>
            <w:vAlign w:val="bottom"/>
          </w:tcPr>
          <w:p>
            <w:pPr>
              <w:ind w:left="20"/>
              <w:spacing w:after="0"/>
              <w:rPr>
                <w:sz w:val="20"/>
                <w:szCs w:val="20"/>
                <w:color w:val="auto"/>
              </w:rPr>
            </w:pPr>
            <w:r>
              <w:rPr>
                <w:rFonts w:ascii="Arial" w:cs="Arial" w:eastAsia="Arial" w:hAnsi="Arial"/>
                <w:sz w:val="20"/>
                <w:szCs w:val="20"/>
                <w:color w:val="auto"/>
              </w:rPr>
              <w:t>Other financial expense</w:t>
            </w:r>
          </w:p>
        </w:tc>
        <w:tc>
          <w:tcPr>
            <w:tcW w:w="1900" w:type="dxa"/>
            <w:vAlign w:val="bottom"/>
          </w:tcPr>
          <w:p>
            <w:pPr>
              <w:jc w:val="right"/>
              <w:ind w:right="421"/>
              <w:spacing w:after="0"/>
              <w:rPr>
                <w:sz w:val="20"/>
                <w:szCs w:val="20"/>
                <w:color w:val="auto"/>
              </w:rPr>
            </w:pPr>
            <w:r>
              <w:rPr>
                <w:rFonts w:ascii="Arial" w:cs="Arial" w:eastAsia="Arial" w:hAnsi="Arial"/>
                <w:sz w:val="20"/>
                <w:szCs w:val="20"/>
                <w:color w:val="auto"/>
              </w:rPr>
              <w:t>(5)</w:t>
            </w:r>
          </w:p>
        </w:tc>
        <w:tc>
          <w:tcPr>
            <w:tcW w:w="1260" w:type="dxa"/>
            <w:vAlign w:val="bottom"/>
          </w:tcPr>
          <w:p>
            <w:pPr>
              <w:jc w:val="right"/>
              <w:spacing w:after="0"/>
              <w:rPr>
                <w:sz w:val="20"/>
                <w:szCs w:val="20"/>
                <w:color w:val="auto"/>
              </w:rPr>
            </w:pPr>
            <w:r>
              <w:rPr>
                <w:rFonts w:ascii="Arial" w:cs="Arial" w:eastAsia="Arial" w:hAnsi="Arial"/>
                <w:sz w:val="20"/>
                <w:szCs w:val="20"/>
                <w:color w:val="auto"/>
              </w:rPr>
              <w:t>(4)</w:t>
            </w:r>
          </w:p>
        </w:tc>
        <w:tc>
          <w:tcPr>
            <w:tcW w:w="0" w:type="dxa"/>
            <w:vAlign w:val="bottom"/>
          </w:tcPr>
          <w:p>
            <w:pPr>
              <w:spacing w:after="0"/>
              <w:rPr>
                <w:sz w:val="1"/>
                <w:szCs w:val="1"/>
                <w:color w:val="auto"/>
              </w:rPr>
            </w:pPr>
          </w:p>
        </w:tc>
      </w:tr>
      <w:tr>
        <w:trPr>
          <w:trHeight w:val="513"/>
        </w:trPr>
        <w:tc>
          <w:tcPr>
            <w:tcW w:w="7980" w:type="dxa"/>
            <w:vAlign w:val="bottom"/>
          </w:tcPr>
          <w:p>
            <w:pPr>
              <w:ind w:left="20"/>
              <w:spacing w:after="0"/>
              <w:rPr>
                <w:sz w:val="20"/>
                <w:szCs w:val="20"/>
                <w:color w:val="auto"/>
              </w:rPr>
            </w:pPr>
            <w:r>
              <w:rPr>
                <w:rFonts w:ascii="Arial" w:cs="Arial" w:eastAsia="Arial" w:hAnsi="Arial"/>
                <w:sz w:val="20"/>
                <w:szCs w:val="20"/>
                <w:color w:val="auto"/>
              </w:rPr>
              <w:t>Net cash (used in) from operating activities</w:t>
            </w:r>
          </w:p>
        </w:tc>
        <w:tc>
          <w:tcPr>
            <w:tcW w:w="1900" w:type="dxa"/>
            <w:vAlign w:val="bottom"/>
          </w:tcPr>
          <w:p>
            <w:pPr>
              <w:jc w:val="right"/>
              <w:ind w:right="421"/>
              <w:spacing w:after="0"/>
              <w:rPr>
                <w:sz w:val="20"/>
                <w:szCs w:val="20"/>
                <w:color w:val="auto"/>
              </w:rPr>
            </w:pPr>
            <w:r>
              <w:rPr>
                <w:rFonts w:ascii="Arial" w:cs="Arial" w:eastAsia="Arial" w:hAnsi="Arial"/>
                <w:sz w:val="20"/>
                <w:szCs w:val="20"/>
                <w:color w:val="auto"/>
              </w:rPr>
              <w:t>(14,243)</w:t>
            </w:r>
          </w:p>
        </w:tc>
        <w:tc>
          <w:tcPr>
            <w:tcW w:w="1260" w:type="dxa"/>
            <w:vAlign w:val="bottom"/>
          </w:tcPr>
          <w:p>
            <w:pPr>
              <w:jc w:val="right"/>
              <w:spacing w:after="0"/>
              <w:rPr>
                <w:sz w:val="20"/>
                <w:szCs w:val="20"/>
                <w:color w:val="auto"/>
              </w:rPr>
            </w:pPr>
            <w:r>
              <w:rPr>
                <w:rFonts w:ascii="Arial" w:cs="Arial" w:eastAsia="Arial" w:hAnsi="Arial"/>
                <w:sz w:val="20"/>
                <w:szCs w:val="20"/>
                <w:color w:val="auto"/>
              </w:rPr>
              <w:t>(17,080)</w:t>
            </w:r>
          </w:p>
        </w:tc>
        <w:tc>
          <w:tcPr>
            <w:tcW w:w="0" w:type="dxa"/>
            <w:vAlign w:val="bottom"/>
          </w:tcPr>
          <w:p>
            <w:pPr>
              <w:spacing w:after="0"/>
              <w:rPr>
                <w:sz w:val="1"/>
                <w:szCs w:val="1"/>
                <w:color w:val="auto"/>
              </w:rPr>
            </w:pPr>
          </w:p>
        </w:tc>
      </w:tr>
      <w:tr>
        <w:trPr>
          <w:trHeight w:val="247"/>
        </w:trPr>
        <w:tc>
          <w:tcPr>
            <w:tcW w:w="7980" w:type="dxa"/>
            <w:vAlign w:val="bottom"/>
            <w:tcBorders>
              <w:bottom w:val="single" w:sz="8" w:color="BC2327"/>
            </w:tcBorders>
          </w:tcPr>
          <w:p>
            <w:pPr>
              <w:spacing w:after="0"/>
              <w:rPr>
                <w:sz w:val="21"/>
                <w:szCs w:val="21"/>
                <w:color w:val="auto"/>
              </w:rPr>
            </w:pPr>
          </w:p>
        </w:tc>
        <w:tc>
          <w:tcPr>
            <w:tcW w:w="1900" w:type="dxa"/>
            <w:vAlign w:val="bottom"/>
            <w:tcBorders>
              <w:bottom w:val="single" w:sz="8" w:color="BC2327"/>
            </w:tcBorders>
          </w:tcPr>
          <w:p>
            <w:pPr>
              <w:spacing w:after="0"/>
              <w:rPr>
                <w:sz w:val="21"/>
                <w:szCs w:val="21"/>
                <w:color w:val="auto"/>
              </w:rPr>
            </w:pPr>
          </w:p>
        </w:tc>
        <w:tc>
          <w:tcPr>
            <w:tcW w:w="1260" w:type="dxa"/>
            <w:vAlign w:val="bottom"/>
            <w:tcBorders>
              <w:bottom w:val="single" w:sz="8" w:color="BC2327"/>
            </w:tcBorders>
          </w:tcPr>
          <w:p>
            <w:pPr>
              <w:spacing w:after="0"/>
              <w:rPr>
                <w:sz w:val="21"/>
                <w:szCs w:val="21"/>
                <w:color w:val="auto"/>
              </w:rPr>
            </w:pPr>
          </w:p>
        </w:tc>
        <w:tc>
          <w:tcPr>
            <w:tcW w:w="0" w:type="dxa"/>
            <w:vAlign w:val="bottom"/>
          </w:tcPr>
          <w:p>
            <w:pPr>
              <w:spacing w:after="0"/>
              <w:rPr>
                <w:sz w:val="1"/>
                <w:szCs w:val="1"/>
                <w:color w:val="auto"/>
              </w:rPr>
            </w:pPr>
          </w:p>
        </w:tc>
      </w:tr>
      <w:tr>
        <w:trPr>
          <w:trHeight w:val="395"/>
        </w:trPr>
        <w:tc>
          <w:tcPr>
            <w:tcW w:w="7980" w:type="dxa"/>
            <w:vAlign w:val="bottom"/>
          </w:tcPr>
          <w:p>
            <w:pPr>
              <w:ind w:left="20"/>
              <w:spacing w:after="0"/>
              <w:rPr>
                <w:sz w:val="20"/>
                <w:szCs w:val="20"/>
                <w:color w:val="auto"/>
              </w:rPr>
            </w:pPr>
            <w:r>
              <w:rPr>
                <w:rFonts w:ascii="Arial" w:cs="Arial" w:eastAsia="Arial" w:hAnsi="Arial"/>
                <w:sz w:val="20"/>
                <w:szCs w:val="20"/>
                <w:color w:val="auto"/>
              </w:rPr>
              <w:t>Proceeds from investments in short term time deposits</w:t>
            </w:r>
          </w:p>
        </w:tc>
        <w:tc>
          <w:tcPr>
            <w:tcW w:w="1900" w:type="dxa"/>
            <w:vAlign w:val="bottom"/>
          </w:tcPr>
          <w:p>
            <w:pPr>
              <w:jc w:val="right"/>
              <w:ind w:right="481"/>
              <w:spacing w:after="0"/>
              <w:rPr>
                <w:sz w:val="20"/>
                <w:szCs w:val="20"/>
                <w:color w:val="auto"/>
              </w:rPr>
            </w:pPr>
            <w:r>
              <w:rPr>
                <w:rFonts w:ascii="Arial" w:cs="Arial" w:eastAsia="Arial" w:hAnsi="Arial"/>
                <w:sz w:val="20"/>
                <w:szCs w:val="20"/>
                <w:color w:val="auto"/>
              </w:rPr>
              <w:t>4,019</w:t>
            </w:r>
          </w:p>
        </w:tc>
        <w:tc>
          <w:tcPr>
            <w:tcW w:w="1260" w:type="dxa"/>
            <w:vAlign w:val="bottom"/>
          </w:tcPr>
          <w:p>
            <w:pPr>
              <w:jc w:val="right"/>
              <w:spacing w:after="0"/>
              <w:rPr>
                <w:sz w:val="20"/>
                <w:szCs w:val="20"/>
                <w:color w:val="auto"/>
              </w:rPr>
            </w:pPr>
            <w:r>
              <w:rPr>
                <w:rFonts w:ascii="Arial" w:cs="Arial" w:eastAsia="Arial" w:hAnsi="Arial"/>
                <w:sz w:val="20"/>
                <w:szCs w:val="20"/>
                <w:color w:val="auto"/>
              </w:rPr>
              <w:t>54,130</w:t>
            </w:r>
          </w:p>
        </w:tc>
        <w:tc>
          <w:tcPr>
            <w:tcW w:w="0" w:type="dxa"/>
            <w:vAlign w:val="bottom"/>
          </w:tcPr>
          <w:p>
            <w:pPr>
              <w:spacing w:after="0"/>
              <w:rPr>
                <w:sz w:val="1"/>
                <w:szCs w:val="1"/>
                <w:color w:val="auto"/>
              </w:rPr>
            </w:pPr>
          </w:p>
        </w:tc>
      </w:tr>
      <w:tr>
        <w:trPr>
          <w:trHeight w:val="513"/>
        </w:trPr>
        <w:tc>
          <w:tcPr>
            <w:tcW w:w="7980" w:type="dxa"/>
            <w:vAlign w:val="bottom"/>
          </w:tcPr>
          <w:p>
            <w:pPr>
              <w:ind w:left="20"/>
              <w:spacing w:after="0"/>
              <w:rPr>
                <w:sz w:val="20"/>
                <w:szCs w:val="20"/>
                <w:color w:val="auto"/>
              </w:rPr>
            </w:pPr>
            <w:r>
              <w:rPr>
                <w:rFonts w:ascii="Arial" w:cs="Arial" w:eastAsia="Arial" w:hAnsi="Arial"/>
                <w:sz w:val="20"/>
                <w:szCs w:val="20"/>
                <w:color w:val="auto"/>
              </w:rPr>
              <w:t>Investments in short term time deposits</w:t>
            </w:r>
          </w:p>
        </w:tc>
        <w:tc>
          <w:tcPr>
            <w:tcW w:w="1900" w:type="dxa"/>
            <w:vAlign w:val="bottom"/>
          </w:tcPr>
          <w:p>
            <w:pPr>
              <w:jc w:val="right"/>
              <w:ind w:right="421"/>
              <w:spacing w:after="0"/>
              <w:rPr>
                <w:sz w:val="20"/>
                <w:szCs w:val="20"/>
                <w:color w:val="auto"/>
              </w:rPr>
            </w:pPr>
            <w:r>
              <w:rPr>
                <w:rFonts w:ascii="Arial" w:cs="Arial" w:eastAsia="Arial" w:hAnsi="Arial"/>
                <w:sz w:val="20"/>
                <w:szCs w:val="20"/>
                <w:color w:val="auto"/>
              </w:rPr>
              <w:t>(8,037)</w:t>
            </w:r>
          </w:p>
        </w:tc>
        <w:tc>
          <w:tcPr>
            <w:tcW w:w="1260" w:type="dxa"/>
            <w:vAlign w:val="bottom"/>
          </w:tcPr>
          <w:p>
            <w:pPr>
              <w:jc w:val="right"/>
              <w:spacing w:after="0"/>
              <w:rPr>
                <w:sz w:val="20"/>
                <w:szCs w:val="20"/>
                <w:color w:val="auto"/>
              </w:rPr>
            </w:pPr>
            <w:r>
              <w:rPr>
                <w:rFonts w:ascii="Arial" w:cs="Arial" w:eastAsia="Arial" w:hAnsi="Arial"/>
                <w:sz w:val="20"/>
                <w:szCs w:val="20"/>
                <w:color w:val="auto"/>
              </w:rPr>
              <w:t>(19,130)</w:t>
            </w:r>
          </w:p>
        </w:tc>
        <w:tc>
          <w:tcPr>
            <w:tcW w:w="0" w:type="dxa"/>
            <w:vAlign w:val="bottom"/>
          </w:tcPr>
          <w:p>
            <w:pPr>
              <w:spacing w:after="0"/>
              <w:rPr>
                <w:sz w:val="1"/>
                <w:szCs w:val="1"/>
                <w:color w:val="auto"/>
              </w:rPr>
            </w:pPr>
          </w:p>
        </w:tc>
      </w:tr>
      <w:tr>
        <w:trPr>
          <w:trHeight w:val="513"/>
        </w:trPr>
        <w:tc>
          <w:tcPr>
            <w:tcW w:w="7980" w:type="dxa"/>
            <w:vAlign w:val="bottom"/>
          </w:tcPr>
          <w:p>
            <w:pPr>
              <w:ind w:left="20"/>
              <w:spacing w:after="0"/>
              <w:rPr>
                <w:sz w:val="20"/>
                <w:szCs w:val="20"/>
                <w:color w:val="auto"/>
              </w:rPr>
            </w:pPr>
            <w:r>
              <w:rPr>
                <w:rFonts w:ascii="Arial" w:cs="Arial" w:eastAsia="Arial" w:hAnsi="Arial"/>
                <w:sz w:val="20"/>
                <w:szCs w:val="20"/>
                <w:color w:val="auto"/>
              </w:rPr>
              <w:t>Acquisition of property, plant and equipment</w:t>
            </w:r>
          </w:p>
        </w:tc>
        <w:tc>
          <w:tcPr>
            <w:tcW w:w="1900" w:type="dxa"/>
            <w:vAlign w:val="bottom"/>
            <w:vMerge w:val="restart"/>
          </w:tcPr>
          <w:p>
            <w:pPr>
              <w:jc w:val="right"/>
              <w:ind w:right="481"/>
              <w:spacing w:after="0"/>
              <w:rPr>
                <w:sz w:val="20"/>
                <w:szCs w:val="20"/>
                <w:color w:val="auto"/>
              </w:rPr>
            </w:pPr>
            <w:r>
              <w:rPr>
                <w:rFonts w:ascii="Arial" w:cs="Arial" w:eastAsia="Arial" w:hAnsi="Arial"/>
                <w:sz w:val="20"/>
                <w:szCs w:val="20"/>
                <w:color w:val="auto"/>
              </w:rPr>
              <w:t>—</w:t>
            </w:r>
          </w:p>
        </w:tc>
        <w:tc>
          <w:tcPr>
            <w:tcW w:w="1260" w:type="dxa"/>
            <w:vAlign w:val="bottom"/>
          </w:tcPr>
          <w:p>
            <w:pPr>
              <w:jc w:val="right"/>
              <w:spacing w:after="0"/>
              <w:rPr>
                <w:sz w:val="20"/>
                <w:szCs w:val="20"/>
                <w:color w:val="auto"/>
              </w:rPr>
            </w:pPr>
            <w:r>
              <w:rPr>
                <w:rFonts w:ascii="Arial" w:cs="Arial" w:eastAsia="Arial" w:hAnsi="Arial"/>
                <w:sz w:val="20"/>
                <w:szCs w:val="20"/>
                <w:color w:val="auto"/>
              </w:rPr>
              <w:t>(448)</w:t>
            </w:r>
          </w:p>
        </w:tc>
        <w:tc>
          <w:tcPr>
            <w:tcW w:w="0" w:type="dxa"/>
            <w:vAlign w:val="bottom"/>
          </w:tcPr>
          <w:p>
            <w:pPr>
              <w:spacing w:after="0"/>
              <w:rPr>
                <w:sz w:val="1"/>
                <w:szCs w:val="1"/>
                <w:color w:val="auto"/>
              </w:rPr>
            </w:pPr>
          </w:p>
        </w:tc>
      </w:tr>
      <w:tr>
        <w:trPr>
          <w:trHeight w:val="243"/>
        </w:trPr>
        <w:tc>
          <w:tcPr>
            <w:tcW w:w="7980" w:type="dxa"/>
            <w:vAlign w:val="bottom"/>
          </w:tcPr>
          <w:p>
            <w:pPr>
              <w:spacing w:after="0"/>
              <w:rPr>
                <w:sz w:val="21"/>
                <w:szCs w:val="21"/>
                <w:color w:val="auto"/>
              </w:rPr>
            </w:pPr>
          </w:p>
        </w:tc>
        <w:tc>
          <w:tcPr>
            <w:tcW w:w="1900" w:type="dxa"/>
            <w:vAlign w:val="bottom"/>
            <w:vMerge w:val="continue"/>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980" w:type="dxa"/>
            <w:vAlign w:val="bottom"/>
          </w:tcPr>
          <w:p>
            <w:pPr>
              <w:ind w:left="20"/>
              <w:spacing w:after="0"/>
              <w:rPr>
                <w:sz w:val="20"/>
                <w:szCs w:val="20"/>
                <w:color w:val="auto"/>
              </w:rPr>
            </w:pPr>
            <w:r>
              <w:rPr>
                <w:rFonts w:ascii="Arial" w:cs="Arial" w:eastAsia="Arial" w:hAnsi="Arial"/>
                <w:sz w:val="20"/>
                <w:szCs w:val="20"/>
                <w:color w:val="auto"/>
              </w:rPr>
              <w:t>Interest received</w:t>
            </w:r>
          </w:p>
        </w:tc>
        <w:tc>
          <w:tcPr>
            <w:tcW w:w="1900" w:type="dxa"/>
            <w:vAlign w:val="bottom"/>
          </w:tcPr>
          <w:p>
            <w:pPr>
              <w:jc w:val="right"/>
              <w:ind w:right="481"/>
              <w:spacing w:after="0"/>
              <w:rPr>
                <w:sz w:val="20"/>
                <w:szCs w:val="20"/>
                <w:color w:val="auto"/>
              </w:rPr>
            </w:pPr>
            <w:r>
              <w:rPr>
                <w:rFonts w:ascii="Arial" w:cs="Arial" w:eastAsia="Arial" w:hAnsi="Arial"/>
                <w:sz w:val="20"/>
                <w:szCs w:val="20"/>
                <w:color w:val="auto"/>
              </w:rPr>
              <w:t>90</w:t>
            </w:r>
          </w:p>
        </w:tc>
        <w:tc>
          <w:tcPr>
            <w:tcW w:w="1260" w:type="dxa"/>
            <w:vAlign w:val="bottom"/>
          </w:tcPr>
          <w:p>
            <w:pPr>
              <w:jc w:val="right"/>
              <w:spacing w:after="0"/>
              <w:rPr>
                <w:sz w:val="20"/>
                <w:szCs w:val="20"/>
                <w:color w:val="auto"/>
              </w:rPr>
            </w:pPr>
            <w:r>
              <w:rPr>
                <w:rFonts w:ascii="Arial" w:cs="Arial" w:eastAsia="Arial" w:hAnsi="Arial"/>
                <w:sz w:val="20"/>
                <w:szCs w:val="20"/>
                <w:color w:val="auto"/>
              </w:rPr>
              <w:t>412</w:t>
            </w:r>
          </w:p>
        </w:tc>
        <w:tc>
          <w:tcPr>
            <w:tcW w:w="0" w:type="dxa"/>
            <w:vAlign w:val="bottom"/>
          </w:tcPr>
          <w:p>
            <w:pPr>
              <w:spacing w:after="0"/>
              <w:rPr>
                <w:sz w:val="1"/>
                <w:szCs w:val="1"/>
                <w:color w:val="auto"/>
              </w:rPr>
            </w:pPr>
          </w:p>
        </w:tc>
      </w:tr>
      <w:tr>
        <w:trPr>
          <w:trHeight w:val="513"/>
        </w:trPr>
        <w:tc>
          <w:tcPr>
            <w:tcW w:w="7980" w:type="dxa"/>
            <w:vAlign w:val="bottom"/>
          </w:tcPr>
          <w:p>
            <w:pPr>
              <w:ind w:left="20"/>
              <w:spacing w:after="0"/>
              <w:rPr>
                <w:sz w:val="20"/>
                <w:szCs w:val="20"/>
                <w:color w:val="auto"/>
              </w:rPr>
            </w:pPr>
            <w:r>
              <w:rPr>
                <w:rFonts w:ascii="Arial" w:cs="Arial" w:eastAsia="Arial" w:hAnsi="Arial"/>
                <w:sz w:val="20"/>
                <w:szCs w:val="20"/>
                <w:color w:val="auto"/>
              </w:rPr>
              <w:t>Net cash (used in) from investing activities</w:t>
            </w:r>
          </w:p>
        </w:tc>
        <w:tc>
          <w:tcPr>
            <w:tcW w:w="1900" w:type="dxa"/>
            <w:vAlign w:val="bottom"/>
          </w:tcPr>
          <w:p>
            <w:pPr>
              <w:jc w:val="right"/>
              <w:ind w:right="421"/>
              <w:spacing w:after="0"/>
              <w:rPr>
                <w:sz w:val="20"/>
                <w:szCs w:val="20"/>
                <w:color w:val="auto"/>
              </w:rPr>
            </w:pPr>
            <w:r>
              <w:rPr>
                <w:rFonts w:ascii="Arial" w:cs="Arial" w:eastAsia="Arial" w:hAnsi="Arial"/>
                <w:sz w:val="20"/>
                <w:szCs w:val="20"/>
                <w:color w:val="auto"/>
              </w:rPr>
              <w:t>(3,928)</w:t>
            </w:r>
          </w:p>
        </w:tc>
        <w:tc>
          <w:tcPr>
            <w:tcW w:w="1260" w:type="dxa"/>
            <w:vAlign w:val="bottom"/>
          </w:tcPr>
          <w:p>
            <w:pPr>
              <w:jc w:val="right"/>
              <w:spacing w:after="0"/>
              <w:rPr>
                <w:sz w:val="20"/>
                <w:szCs w:val="20"/>
                <w:color w:val="auto"/>
              </w:rPr>
            </w:pPr>
            <w:r>
              <w:rPr>
                <w:rFonts w:ascii="Arial" w:cs="Arial" w:eastAsia="Arial" w:hAnsi="Arial"/>
                <w:sz w:val="20"/>
                <w:szCs w:val="20"/>
                <w:color w:val="auto"/>
              </w:rPr>
              <w:t>34,963</w:t>
            </w:r>
          </w:p>
        </w:tc>
        <w:tc>
          <w:tcPr>
            <w:tcW w:w="0" w:type="dxa"/>
            <w:vAlign w:val="bottom"/>
          </w:tcPr>
          <w:p>
            <w:pPr>
              <w:spacing w:after="0"/>
              <w:rPr>
                <w:sz w:val="1"/>
                <w:szCs w:val="1"/>
                <w:color w:val="auto"/>
              </w:rPr>
            </w:pPr>
          </w:p>
        </w:tc>
      </w:tr>
      <w:tr>
        <w:trPr>
          <w:trHeight w:val="247"/>
        </w:trPr>
        <w:tc>
          <w:tcPr>
            <w:tcW w:w="7980" w:type="dxa"/>
            <w:vAlign w:val="bottom"/>
            <w:tcBorders>
              <w:bottom w:val="single" w:sz="8" w:color="BC2327"/>
            </w:tcBorders>
          </w:tcPr>
          <w:p>
            <w:pPr>
              <w:spacing w:after="0"/>
              <w:rPr>
                <w:sz w:val="21"/>
                <w:szCs w:val="21"/>
                <w:color w:val="auto"/>
              </w:rPr>
            </w:pPr>
          </w:p>
        </w:tc>
        <w:tc>
          <w:tcPr>
            <w:tcW w:w="1900" w:type="dxa"/>
            <w:vAlign w:val="bottom"/>
            <w:tcBorders>
              <w:bottom w:val="single" w:sz="8" w:color="BC2327"/>
            </w:tcBorders>
          </w:tcPr>
          <w:p>
            <w:pPr>
              <w:spacing w:after="0"/>
              <w:rPr>
                <w:sz w:val="21"/>
                <w:szCs w:val="21"/>
                <w:color w:val="auto"/>
              </w:rPr>
            </w:pPr>
          </w:p>
        </w:tc>
        <w:tc>
          <w:tcPr>
            <w:tcW w:w="1260" w:type="dxa"/>
            <w:vAlign w:val="bottom"/>
            <w:tcBorders>
              <w:bottom w:val="single" w:sz="8" w:color="BC2327"/>
            </w:tcBorders>
          </w:tcPr>
          <w:p>
            <w:pPr>
              <w:spacing w:after="0"/>
              <w:rPr>
                <w:sz w:val="21"/>
                <w:szCs w:val="21"/>
                <w:color w:val="auto"/>
              </w:rPr>
            </w:pPr>
          </w:p>
        </w:tc>
        <w:tc>
          <w:tcPr>
            <w:tcW w:w="0" w:type="dxa"/>
            <w:vAlign w:val="bottom"/>
          </w:tcPr>
          <w:p>
            <w:pPr>
              <w:spacing w:after="0"/>
              <w:rPr>
                <w:sz w:val="1"/>
                <w:szCs w:val="1"/>
                <w:color w:val="auto"/>
              </w:rPr>
            </w:pPr>
          </w:p>
        </w:tc>
      </w:tr>
      <w:tr>
        <w:trPr>
          <w:trHeight w:val="395"/>
        </w:trPr>
        <w:tc>
          <w:tcPr>
            <w:tcW w:w="7980" w:type="dxa"/>
            <w:vAlign w:val="bottom"/>
          </w:tcPr>
          <w:p>
            <w:pPr>
              <w:ind w:left="20"/>
              <w:spacing w:after="0"/>
              <w:rPr>
                <w:sz w:val="20"/>
                <w:szCs w:val="20"/>
                <w:color w:val="auto"/>
              </w:rPr>
            </w:pPr>
            <w:r>
              <w:rPr>
                <w:rFonts w:ascii="Arial" w:cs="Arial" w:eastAsia="Arial" w:hAnsi="Arial"/>
                <w:sz w:val="20"/>
                <w:szCs w:val="20"/>
                <w:color w:val="auto"/>
              </w:rPr>
              <w:t>Proceeds from vesting under the LTI plans, net of transaction costs</w:t>
            </w:r>
          </w:p>
        </w:tc>
        <w:tc>
          <w:tcPr>
            <w:tcW w:w="1900" w:type="dxa"/>
            <w:vAlign w:val="bottom"/>
          </w:tcPr>
          <w:p>
            <w:pPr>
              <w:jc w:val="right"/>
              <w:ind w:right="481"/>
              <w:spacing w:after="0"/>
              <w:rPr>
                <w:sz w:val="20"/>
                <w:szCs w:val="20"/>
                <w:color w:val="auto"/>
              </w:rPr>
            </w:pPr>
            <w:r>
              <w:rPr>
                <w:rFonts w:ascii="Arial" w:cs="Arial" w:eastAsia="Arial" w:hAnsi="Arial"/>
                <w:sz w:val="20"/>
                <w:szCs w:val="20"/>
                <w:color w:val="auto"/>
              </w:rPr>
              <w:t>8</w:t>
            </w:r>
          </w:p>
        </w:tc>
        <w:tc>
          <w:tcPr>
            <w:tcW w:w="126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513"/>
        </w:trPr>
        <w:tc>
          <w:tcPr>
            <w:tcW w:w="7980" w:type="dxa"/>
            <w:vAlign w:val="bottom"/>
          </w:tcPr>
          <w:p>
            <w:pPr>
              <w:ind w:left="20"/>
              <w:spacing w:after="0"/>
              <w:rPr>
                <w:sz w:val="20"/>
                <w:szCs w:val="20"/>
                <w:color w:val="auto"/>
              </w:rPr>
            </w:pPr>
            <w:r>
              <w:rPr>
                <w:rFonts w:ascii="Arial" w:cs="Arial" w:eastAsia="Arial" w:hAnsi="Arial"/>
                <w:sz w:val="20"/>
                <w:szCs w:val="20"/>
                <w:color w:val="auto"/>
              </w:rPr>
              <w:t>Proceeds from issuance of shares under LTI plans</w:t>
            </w:r>
          </w:p>
        </w:tc>
        <w:tc>
          <w:tcPr>
            <w:tcW w:w="1900" w:type="dxa"/>
            <w:vAlign w:val="bottom"/>
          </w:tcPr>
          <w:p>
            <w:pPr>
              <w:jc w:val="right"/>
              <w:ind w:right="481"/>
              <w:spacing w:after="0"/>
              <w:rPr>
                <w:sz w:val="20"/>
                <w:szCs w:val="20"/>
                <w:color w:val="auto"/>
              </w:rPr>
            </w:pPr>
            <w:r>
              <w:rPr>
                <w:rFonts w:ascii="Arial" w:cs="Arial" w:eastAsia="Arial" w:hAnsi="Arial"/>
                <w:sz w:val="20"/>
                <w:szCs w:val="20"/>
                <w:color w:val="auto"/>
              </w:rPr>
              <w:t>—</w:t>
            </w:r>
          </w:p>
        </w:tc>
        <w:tc>
          <w:tcPr>
            <w:tcW w:w="1260" w:type="dxa"/>
            <w:vAlign w:val="bottom"/>
          </w:tcPr>
          <w:p>
            <w:pPr>
              <w:jc w:val="right"/>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513"/>
        </w:trPr>
        <w:tc>
          <w:tcPr>
            <w:tcW w:w="7980" w:type="dxa"/>
            <w:vAlign w:val="bottom"/>
          </w:tcPr>
          <w:p>
            <w:pPr>
              <w:ind w:left="20"/>
              <w:spacing w:after="0"/>
              <w:rPr>
                <w:sz w:val="20"/>
                <w:szCs w:val="20"/>
                <w:color w:val="auto"/>
              </w:rPr>
            </w:pPr>
            <w:r>
              <w:rPr>
                <w:rFonts w:ascii="Arial" w:cs="Arial" w:eastAsia="Arial" w:hAnsi="Arial"/>
                <w:sz w:val="20"/>
                <w:szCs w:val="20"/>
                <w:color w:val="auto"/>
              </w:rPr>
              <w:t>Payment of lease liabilities</w:t>
            </w:r>
          </w:p>
        </w:tc>
        <w:tc>
          <w:tcPr>
            <w:tcW w:w="1900" w:type="dxa"/>
            <w:vAlign w:val="bottom"/>
          </w:tcPr>
          <w:p>
            <w:pPr>
              <w:jc w:val="right"/>
              <w:ind w:right="421"/>
              <w:spacing w:after="0"/>
              <w:rPr>
                <w:sz w:val="20"/>
                <w:szCs w:val="20"/>
                <w:color w:val="auto"/>
              </w:rPr>
            </w:pPr>
            <w:r>
              <w:rPr>
                <w:rFonts w:ascii="Arial" w:cs="Arial" w:eastAsia="Arial" w:hAnsi="Arial"/>
                <w:sz w:val="20"/>
                <w:szCs w:val="20"/>
                <w:color w:val="auto"/>
              </w:rPr>
              <w:t>(300)</w:t>
            </w:r>
          </w:p>
        </w:tc>
        <w:tc>
          <w:tcPr>
            <w:tcW w:w="1260" w:type="dxa"/>
            <w:vAlign w:val="bottom"/>
          </w:tcPr>
          <w:p>
            <w:pPr>
              <w:jc w:val="right"/>
              <w:spacing w:after="0"/>
              <w:rPr>
                <w:sz w:val="20"/>
                <w:szCs w:val="20"/>
                <w:color w:val="auto"/>
              </w:rPr>
            </w:pPr>
            <w:r>
              <w:rPr>
                <w:rFonts w:ascii="Arial" w:cs="Arial" w:eastAsia="Arial" w:hAnsi="Arial"/>
                <w:sz w:val="20"/>
                <w:szCs w:val="20"/>
                <w:color w:val="auto"/>
              </w:rPr>
              <w:t>(303)</w:t>
            </w:r>
          </w:p>
        </w:tc>
        <w:tc>
          <w:tcPr>
            <w:tcW w:w="0" w:type="dxa"/>
            <w:vAlign w:val="bottom"/>
          </w:tcPr>
          <w:p>
            <w:pPr>
              <w:spacing w:after="0"/>
              <w:rPr>
                <w:sz w:val="1"/>
                <w:szCs w:val="1"/>
                <w:color w:val="auto"/>
              </w:rPr>
            </w:pPr>
          </w:p>
        </w:tc>
      </w:tr>
    </w:tbl>
    <w:p>
      <w:pPr>
        <w:sectPr>
          <w:pgSz w:w="11900" w:h="16901" w:orient="portrait"/>
          <w:cols w:equalWidth="0" w:num="1">
            <w:col w:w="11140"/>
          </w:cols>
          <w:pgMar w:left="320" w:top="1157" w:right="439" w:bottom="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6680" w:type="dxa"/>
            <w:vAlign w:val="bottom"/>
          </w:tcPr>
          <w:p>
            <w:pPr>
              <w:ind w:left="20"/>
              <w:spacing w:after="0"/>
              <w:rPr>
                <w:sz w:val="20"/>
                <w:szCs w:val="20"/>
                <w:color w:val="auto"/>
              </w:rPr>
            </w:pPr>
            <w:r>
              <w:rPr>
                <w:rFonts w:ascii="Arial" w:cs="Arial" w:eastAsia="Arial" w:hAnsi="Arial"/>
                <w:sz w:val="20"/>
                <w:szCs w:val="20"/>
                <w:color w:val="auto"/>
              </w:rPr>
              <w:t>Net cash (used in) from financing activities</w:t>
            </w:r>
          </w:p>
        </w:tc>
        <w:tc>
          <w:tcPr>
            <w:tcW w:w="3220" w:type="dxa"/>
            <w:vAlign w:val="bottom"/>
          </w:tcPr>
          <w:p>
            <w:pPr>
              <w:jc w:val="right"/>
              <w:ind w:right="441"/>
              <w:spacing w:after="0"/>
              <w:rPr>
                <w:sz w:val="20"/>
                <w:szCs w:val="20"/>
                <w:color w:val="auto"/>
              </w:rPr>
            </w:pPr>
            <w:r>
              <w:rPr>
                <w:rFonts w:ascii="Arial" w:cs="Arial" w:eastAsia="Arial" w:hAnsi="Arial"/>
                <w:sz w:val="20"/>
                <w:szCs w:val="20"/>
                <w:color w:val="auto"/>
              </w:rPr>
              <w:t>(292)</w:t>
            </w:r>
          </w:p>
        </w:tc>
        <w:tc>
          <w:tcPr>
            <w:tcW w:w="1240" w:type="dxa"/>
            <w:vAlign w:val="bottom"/>
          </w:tcPr>
          <w:p>
            <w:pPr>
              <w:jc w:val="right"/>
              <w:spacing w:after="0"/>
              <w:rPr>
                <w:sz w:val="20"/>
                <w:szCs w:val="20"/>
                <w:color w:val="auto"/>
              </w:rPr>
            </w:pPr>
            <w:r>
              <w:rPr>
                <w:rFonts w:ascii="Arial" w:cs="Arial" w:eastAsia="Arial" w:hAnsi="Arial"/>
                <w:sz w:val="20"/>
                <w:szCs w:val="20"/>
                <w:color w:val="auto"/>
              </w:rPr>
              <w:t>(302)</w:t>
            </w:r>
          </w:p>
        </w:tc>
      </w:tr>
      <w:tr>
        <w:trPr>
          <w:trHeight w:val="246"/>
        </w:trPr>
        <w:tc>
          <w:tcPr>
            <w:tcW w:w="6680" w:type="dxa"/>
            <w:vAlign w:val="bottom"/>
            <w:tcBorders>
              <w:bottom w:val="single" w:sz="8" w:color="BC2327"/>
            </w:tcBorders>
          </w:tcPr>
          <w:p>
            <w:pPr>
              <w:spacing w:after="0"/>
              <w:rPr>
                <w:sz w:val="21"/>
                <w:szCs w:val="21"/>
                <w:color w:val="auto"/>
              </w:rPr>
            </w:pPr>
          </w:p>
        </w:tc>
        <w:tc>
          <w:tcPr>
            <w:tcW w:w="3220" w:type="dxa"/>
            <w:vAlign w:val="bottom"/>
            <w:tcBorders>
              <w:bottom w:val="single" w:sz="8" w:color="BC2327"/>
            </w:tcBorders>
          </w:tcPr>
          <w:p>
            <w:pPr>
              <w:spacing w:after="0"/>
              <w:rPr>
                <w:sz w:val="21"/>
                <w:szCs w:val="21"/>
                <w:color w:val="auto"/>
              </w:rPr>
            </w:pPr>
          </w:p>
        </w:tc>
        <w:tc>
          <w:tcPr>
            <w:tcW w:w="1240" w:type="dxa"/>
            <w:vAlign w:val="bottom"/>
            <w:tcBorders>
              <w:bottom w:val="single" w:sz="8" w:color="BC2327"/>
            </w:tcBorders>
          </w:tcPr>
          <w:p>
            <w:pPr>
              <w:spacing w:after="0"/>
              <w:rPr>
                <w:sz w:val="21"/>
                <w:szCs w:val="21"/>
                <w:color w:val="auto"/>
              </w:rPr>
            </w:pPr>
          </w:p>
        </w:tc>
      </w:tr>
      <w:tr>
        <w:trPr>
          <w:trHeight w:val="395"/>
        </w:trPr>
        <w:tc>
          <w:tcPr>
            <w:tcW w:w="6680" w:type="dxa"/>
            <w:vAlign w:val="bottom"/>
          </w:tcPr>
          <w:p>
            <w:pPr>
              <w:ind w:left="20"/>
              <w:spacing w:after="0"/>
              <w:rPr>
                <w:sz w:val="20"/>
                <w:szCs w:val="20"/>
                <w:color w:val="auto"/>
              </w:rPr>
            </w:pPr>
            <w:r>
              <w:rPr>
                <w:rFonts w:ascii="Arial" w:cs="Arial" w:eastAsia="Arial" w:hAnsi="Arial"/>
                <w:sz w:val="20"/>
                <w:szCs w:val="20"/>
                <w:color w:val="auto"/>
              </w:rPr>
              <w:t>Exchange (loss) gain on cash positions</w:t>
            </w:r>
          </w:p>
        </w:tc>
        <w:tc>
          <w:tcPr>
            <w:tcW w:w="3220" w:type="dxa"/>
            <w:vAlign w:val="bottom"/>
          </w:tcPr>
          <w:p>
            <w:pPr>
              <w:jc w:val="right"/>
              <w:ind w:right="501"/>
              <w:spacing w:after="0"/>
              <w:rPr>
                <w:sz w:val="20"/>
                <w:szCs w:val="20"/>
                <w:color w:val="auto"/>
              </w:rPr>
            </w:pPr>
            <w:r>
              <w:rPr>
                <w:rFonts w:ascii="Arial" w:cs="Arial" w:eastAsia="Arial" w:hAnsi="Arial"/>
                <w:sz w:val="20"/>
                <w:szCs w:val="20"/>
                <w:color w:val="auto"/>
              </w:rPr>
              <w:t>61</w:t>
            </w:r>
          </w:p>
        </w:tc>
        <w:tc>
          <w:tcPr>
            <w:tcW w:w="1240" w:type="dxa"/>
            <w:vAlign w:val="bottom"/>
          </w:tcPr>
          <w:p>
            <w:pPr>
              <w:jc w:val="right"/>
              <w:spacing w:after="0"/>
              <w:rPr>
                <w:sz w:val="20"/>
                <w:szCs w:val="20"/>
                <w:color w:val="auto"/>
              </w:rPr>
            </w:pPr>
            <w:r>
              <w:rPr>
                <w:rFonts w:ascii="Arial" w:cs="Arial" w:eastAsia="Arial" w:hAnsi="Arial"/>
                <w:sz w:val="20"/>
                <w:szCs w:val="20"/>
                <w:color w:val="auto"/>
              </w:rPr>
              <w:t>(84)</w:t>
            </w:r>
          </w:p>
        </w:tc>
      </w:tr>
      <w:tr>
        <w:trPr>
          <w:trHeight w:val="395"/>
        </w:trPr>
        <w:tc>
          <w:tcPr>
            <w:tcW w:w="6680" w:type="dxa"/>
            <w:vAlign w:val="bottom"/>
            <w:tcBorders>
              <w:bottom w:val="single" w:sz="8" w:color="BC2327"/>
            </w:tcBorders>
          </w:tcPr>
          <w:p>
            <w:pPr>
              <w:spacing w:after="0"/>
              <w:rPr>
                <w:sz w:val="24"/>
                <w:szCs w:val="24"/>
                <w:color w:val="auto"/>
              </w:rPr>
            </w:pPr>
          </w:p>
        </w:tc>
        <w:tc>
          <w:tcPr>
            <w:tcW w:w="3220" w:type="dxa"/>
            <w:vAlign w:val="bottom"/>
            <w:tcBorders>
              <w:bottom w:val="single" w:sz="8" w:color="BC2327"/>
            </w:tcBorders>
          </w:tcPr>
          <w:p>
            <w:pPr>
              <w:spacing w:after="0"/>
              <w:rPr>
                <w:sz w:val="24"/>
                <w:szCs w:val="24"/>
                <w:color w:val="auto"/>
              </w:rPr>
            </w:pPr>
          </w:p>
        </w:tc>
        <w:tc>
          <w:tcPr>
            <w:tcW w:w="1240" w:type="dxa"/>
            <w:vAlign w:val="bottom"/>
            <w:tcBorders>
              <w:bottom w:val="single" w:sz="8" w:color="BC2327"/>
            </w:tcBorders>
          </w:tcPr>
          <w:p>
            <w:pPr>
              <w:spacing w:after="0"/>
              <w:rPr>
                <w:sz w:val="24"/>
                <w:szCs w:val="24"/>
                <w:color w:val="auto"/>
              </w:rPr>
            </w:pPr>
          </w:p>
        </w:tc>
      </w:tr>
      <w:tr>
        <w:trPr>
          <w:trHeight w:val="260"/>
        </w:trPr>
        <w:tc>
          <w:tcPr>
            <w:tcW w:w="6680" w:type="dxa"/>
            <w:vAlign w:val="bottom"/>
          </w:tcPr>
          <w:p>
            <w:pPr>
              <w:ind w:left="20"/>
              <w:spacing w:after="0"/>
              <w:rPr>
                <w:sz w:val="20"/>
                <w:szCs w:val="20"/>
                <w:color w:val="auto"/>
              </w:rPr>
            </w:pPr>
            <w:r>
              <w:rPr>
                <w:rFonts w:ascii="Arial" w:cs="Arial" w:eastAsia="Arial" w:hAnsi="Arial"/>
                <w:sz w:val="20"/>
                <w:szCs w:val="20"/>
                <w:color w:val="auto"/>
              </w:rPr>
              <w:t>Net increase (decrease) in cash and cash equivalents</w:t>
            </w:r>
          </w:p>
        </w:tc>
        <w:tc>
          <w:tcPr>
            <w:tcW w:w="3220" w:type="dxa"/>
            <w:vAlign w:val="bottom"/>
          </w:tcPr>
          <w:p>
            <w:pPr>
              <w:jc w:val="right"/>
              <w:ind w:right="441"/>
              <w:spacing w:after="0"/>
              <w:rPr>
                <w:sz w:val="20"/>
                <w:szCs w:val="20"/>
                <w:color w:val="auto"/>
              </w:rPr>
            </w:pPr>
            <w:r>
              <w:rPr>
                <w:rFonts w:ascii="Arial" w:cs="Arial" w:eastAsia="Arial" w:hAnsi="Arial"/>
                <w:sz w:val="20"/>
                <w:szCs w:val="20"/>
                <w:color w:val="auto"/>
              </w:rPr>
              <w:t>(18,402)</w:t>
            </w:r>
          </w:p>
        </w:tc>
        <w:tc>
          <w:tcPr>
            <w:tcW w:w="1240" w:type="dxa"/>
            <w:vAlign w:val="bottom"/>
          </w:tcPr>
          <w:p>
            <w:pPr>
              <w:jc w:val="right"/>
              <w:spacing w:after="0"/>
              <w:rPr>
                <w:sz w:val="20"/>
                <w:szCs w:val="20"/>
                <w:color w:val="auto"/>
              </w:rPr>
            </w:pPr>
            <w:r>
              <w:rPr>
                <w:rFonts w:ascii="Arial" w:cs="Arial" w:eastAsia="Arial" w:hAnsi="Arial"/>
                <w:sz w:val="20"/>
                <w:szCs w:val="20"/>
                <w:color w:val="auto"/>
              </w:rPr>
              <w:t>17,498</w:t>
            </w:r>
          </w:p>
        </w:tc>
      </w:tr>
      <w:tr>
        <w:trPr>
          <w:trHeight w:val="246"/>
        </w:trPr>
        <w:tc>
          <w:tcPr>
            <w:tcW w:w="6680" w:type="dxa"/>
            <w:vAlign w:val="bottom"/>
            <w:tcBorders>
              <w:bottom w:val="single" w:sz="8" w:color="BC2327"/>
            </w:tcBorders>
          </w:tcPr>
          <w:p>
            <w:pPr>
              <w:spacing w:after="0"/>
              <w:rPr>
                <w:sz w:val="21"/>
                <w:szCs w:val="21"/>
                <w:color w:val="auto"/>
              </w:rPr>
            </w:pPr>
          </w:p>
        </w:tc>
        <w:tc>
          <w:tcPr>
            <w:tcW w:w="3220" w:type="dxa"/>
            <w:vAlign w:val="bottom"/>
            <w:tcBorders>
              <w:bottom w:val="single" w:sz="8" w:color="BC2327"/>
            </w:tcBorders>
          </w:tcPr>
          <w:p>
            <w:pPr>
              <w:spacing w:after="0"/>
              <w:rPr>
                <w:sz w:val="21"/>
                <w:szCs w:val="21"/>
                <w:color w:val="auto"/>
              </w:rPr>
            </w:pPr>
          </w:p>
        </w:tc>
        <w:tc>
          <w:tcPr>
            <w:tcW w:w="1240" w:type="dxa"/>
            <w:vAlign w:val="bottom"/>
            <w:tcBorders>
              <w:bottom w:val="single" w:sz="8" w:color="BC2327"/>
            </w:tcBorders>
          </w:tcPr>
          <w:p>
            <w:pPr>
              <w:spacing w:after="0"/>
              <w:rPr>
                <w:sz w:val="21"/>
                <w:szCs w:val="21"/>
                <w:color w:val="auto"/>
              </w:rPr>
            </w:pPr>
          </w:p>
        </w:tc>
      </w:tr>
      <w:tr>
        <w:trPr>
          <w:trHeight w:val="463"/>
        </w:trPr>
        <w:tc>
          <w:tcPr>
            <w:tcW w:w="6680" w:type="dxa"/>
            <w:vAlign w:val="bottom"/>
          </w:tcPr>
          <w:p>
            <w:pPr>
              <w:ind w:left="20"/>
              <w:spacing w:after="0"/>
              <w:rPr>
                <w:sz w:val="20"/>
                <w:szCs w:val="20"/>
                <w:color w:val="auto"/>
              </w:rPr>
            </w:pPr>
            <w:r>
              <w:rPr>
                <w:rFonts w:ascii="Arial" w:cs="Arial" w:eastAsia="Arial" w:hAnsi="Arial"/>
                <w:sz w:val="20"/>
                <w:szCs w:val="20"/>
                <w:color w:val="auto"/>
              </w:rPr>
              <w:t>Cash and cash equivalents at January 1</w:t>
            </w:r>
          </w:p>
        </w:tc>
        <w:tc>
          <w:tcPr>
            <w:tcW w:w="3220" w:type="dxa"/>
            <w:vAlign w:val="bottom"/>
          </w:tcPr>
          <w:p>
            <w:pPr>
              <w:jc w:val="right"/>
              <w:ind w:right="501"/>
              <w:spacing w:after="0"/>
              <w:rPr>
                <w:sz w:val="20"/>
                <w:szCs w:val="20"/>
                <w:color w:val="auto"/>
              </w:rPr>
            </w:pPr>
            <w:r>
              <w:rPr>
                <w:rFonts w:ascii="Arial" w:cs="Arial" w:eastAsia="Arial" w:hAnsi="Arial"/>
                <w:sz w:val="20"/>
                <w:szCs w:val="20"/>
                <w:color w:val="auto"/>
              </w:rPr>
              <w:t>82,653</w:t>
            </w:r>
          </w:p>
        </w:tc>
        <w:tc>
          <w:tcPr>
            <w:tcW w:w="1240" w:type="dxa"/>
            <w:vAlign w:val="bottom"/>
          </w:tcPr>
          <w:p>
            <w:pPr>
              <w:jc w:val="right"/>
              <w:spacing w:after="0"/>
              <w:rPr>
                <w:sz w:val="20"/>
                <w:szCs w:val="20"/>
                <w:color w:val="auto"/>
              </w:rPr>
            </w:pPr>
            <w:r>
              <w:rPr>
                <w:rFonts w:ascii="Arial" w:cs="Arial" w:eastAsia="Arial" w:hAnsi="Arial"/>
                <w:sz w:val="20"/>
                <w:szCs w:val="20"/>
                <w:color w:val="auto"/>
              </w:rPr>
              <w:t>63,874</w:t>
            </w:r>
          </w:p>
        </w:tc>
      </w:tr>
      <w:tr>
        <w:trPr>
          <w:trHeight w:val="729"/>
        </w:trPr>
        <w:tc>
          <w:tcPr>
            <w:tcW w:w="6680" w:type="dxa"/>
            <w:vAlign w:val="bottom"/>
          </w:tcPr>
          <w:p>
            <w:pPr>
              <w:ind w:left="20"/>
              <w:spacing w:after="0"/>
              <w:rPr>
                <w:sz w:val="20"/>
                <w:szCs w:val="20"/>
                <w:color w:val="auto"/>
              </w:rPr>
            </w:pPr>
            <w:r>
              <w:rPr>
                <w:rFonts w:ascii="Arial" w:cs="Arial" w:eastAsia="Arial" w:hAnsi="Arial"/>
                <w:sz w:val="20"/>
                <w:szCs w:val="20"/>
                <w:color w:val="auto"/>
              </w:rPr>
              <w:t>Cash and cash equivalents at March 31,</w:t>
            </w:r>
          </w:p>
        </w:tc>
        <w:tc>
          <w:tcPr>
            <w:tcW w:w="3220" w:type="dxa"/>
            <w:vAlign w:val="bottom"/>
          </w:tcPr>
          <w:p>
            <w:pPr>
              <w:jc w:val="right"/>
              <w:ind w:right="501"/>
              <w:spacing w:after="0"/>
              <w:rPr>
                <w:sz w:val="20"/>
                <w:szCs w:val="20"/>
                <w:color w:val="auto"/>
              </w:rPr>
            </w:pPr>
            <w:r>
              <w:rPr>
                <w:rFonts w:ascii="Arial" w:cs="Arial" w:eastAsia="Arial" w:hAnsi="Arial"/>
                <w:sz w:val="20"/>
                <w:szCs w:val="20"/>
                <w:color w:val="auto"/>
              </w:rPr>
              <w:t>64,251</w:t>
            </w:r>
          </w:p>
        </w:tc>
        <w:tc>
          <w:tcPr>
            <w:tcW w:w="1240" w:type="dxa"/>
            <w:vAlign w:val="bottom"/>
          </w:tcPr>
          <w:p>
            <w:pPr>
              <w:jc w:val="right"/>
              <w:spacing w:after="0"/>
              <w:rPr>
                <w:sz w:val="20"/>
                <w:szCs w:val="20"/>
                <w:color w:val="auto"/>
              </w:rPr>
            </w:pPr>
            <w:r>
              <w:rPr>
                <w:rFonts w:ascii="Arial" w:cs="Arial" w:eastAsia="Arial" w:hAnsi="Arial"/>
                <w:sz w:val="20"/>
                <w:szCs w:val="20"/>
                <w:color w:val="auto"/>
              </w:rPr>
              <w:t>81,371</w:t>
            </w:r>
          </w:p>
        </w:tc>
      </w:tr>
      <w:tr>
        <w:trPr>
          <w:trHeight w:val="247"/>
        </w:trPr>
        <w:tc>
          <w:tcPr>
            <w:tcW w:w="6680" w:type="dxa"/>
            <w:vAlign w:val="bottom"/>
            <w:tcBorders>
              <w:bottom w:val="single" w:sz="8" w:color="BF2115"/>
            </w:tcBorders>
          </w:tcPr>
          <w:p>
            <w:pPr>
              <w:spacing w:after="0"/>
              <w:rPr>
                <w:sz w:val="21"/>
                <w:szCs w:val="21"/>
                <w:color w:val="auto"/>
              </w:rPr>
            </w:pPr>
          </w:p>
        </w:tc>
        <w:tc>
          <w:tcPr>
            <w:tcW w:w="3220" w:type="dxa"/>
            <w:vAlign w:val="bottom"/>
            <w:tcBorders>
              <w:bottom w:val="single" w:sz="8" w:color="BF2115"/>
            </w:tcBorders>
          </w:tcPr>
          <w:p>
            <w:pPr>
              <w:spacing w:after="0"/>
              <w:rPr>
                <w:sz w:val="21"/>
                <w:szCs w:val="21"/>
                <w:color w:val="auto"/>
              </w:rPr>
            </w:pPr>
          </w:p>
        </w:tc>
        <w:tc>
          <w:tcPr>
            <w:tcW w:w="1240" w:type="dxa"/>
            <w:vAlign w:val="bottom"/>
            <w:tcBorders>
              <w:bottom w:val="single" w:sz="8" w:color="BF2115"/>
            </w:tcBorders>
          </w:tcPr>
          <w:p>
            <w:pPr>
              <w:spacing w:after="0"/>
              <w:rPr>
                <w:sz w:val="21"/>
                <w:szCs w:val="21"/>
                <w:color w:val="auto"/>
              </w:rPr>
            </w:pPr>
          </w:p>
        </w:tc>
      </w:tr>
    </w:tbl>
    <w:p>
      <w:pPr>
        <w:spacing w:after="0" w:line="28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See accompanying notes, which form an integral part of these unaudited condensed consolidated interim financial statements.</w:t>
      </w:r>
    </w:p>
    <w:p>
      <w:pPr>
        <w:spacing w:after="0" w:line="32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374" w:right="339" w:bottom="1440" w:gutter="0" w:footer="0" w:header="0"/>
        </w:sectPr>
      </w:pPr>
    </w:p>
    <w:bookmarkStart w:id="16" w:name="page17"/>
    <w:bookmarkEnd w:id="16"/>
    <w:p>
      <w:pPr>
        <w:ind w:left="20"/>
        <w:spacing w:after="0"/>
        <w:rPr>
          <w:sz w:val="20"/>
          <w:szCs w:val="20"/>
          <w:color w:val="auto"/>
        </w:rPr>
      </w:pPr>
      <w:r>
        <w:rPr>
          <w:rFonts w:ascii="Arial" w:cs="Arial" w:eastAsia="Arial" w:hAnsi="Arial"/>
          <w:sz w:val="20"/>
          <w:szCs w:val="20"/>
          <w:color w:val="auto"/>
        </w:rPr>
        <w:t>Condensed consolidated interim statement</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20"/>
          <w:szCs w:val="20"/>
          <w:color w:val="auto"/>
        </w:rPr>
        <w:t>of changes in equity</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tcPr>
          <w:p>
            <w:pPr>
              <w:spacing w:after="0"/>
              <w:rPr>
                <w:sz w:val="19"/>
                <w:szCs w:val="19"/>
                <w:color w:val="auto"/>
              </w:rPr>
            </w:pPr>
          </w:p>
        </w:tc>
        <w:tc>
          <w:tcPr>
            <w:tcW w:w="1500" w:type="dxa"/>
            <w:vAlign w:val="bottom"/>
          </w:tcPr>
          <w:p>
            <w:pPr>
              <w:jc w:val="right"/>
              <w:ind w:right="61"/>
              <w:spacing w:after="0"/>
              <w:rPr>
                <w:sz w:val="20"/>
                <w:szCs w:val="20"/>
                <w:color w:val="auto"/>
              </w:rPr>
            </w:pPr>
            <w:r>
              <w:rPr>
                <w:rFonts w:ascii="Arial" w:cs="Arial" w:eastAsia="Arial" w:hAnsi="Arial"/>
                <w:sz w:val="20"/>
                <w:szCs w:val="20"/>
                <w:color w:val="auto"/>
              </w:rPr>
              <w:t>Share capital</w:t>
            </w:r>
          </w:p>
        </w:tc>
        <w:tc>
          <w:tcPr>
            <w:tcW w:w="1420" w:type="dxa"/>
            <w:vAlign w:val="bottom"/>
          </w:tcPr>
          <w:p>
            <w:pPr>
              <w:jc w:val="center"/>
              <w:ind w:right="1"/>
              <w:spacing w:after="0"/>
              <w:rPr>
                <w:sz w:val="20"/>
                <w:szCs w:val="20"/>
                <w:color w:val="auto"/>
              </w:rPr>
            </w:pPr>
            <w:r>
              <w:rPr>
                <w:rFonts w:ascii="Arial" w:cs="Arial" w:eastAsia="Arial" w:hAnsi="Arial"/>
                <w:sz w:val="20"/>
                <w:szCs w:val="20"/>
                <w:color w:val="auto"/>
              </w:rPr>
              <w:t>Additional</w:t>
            </w:r>
          </w:p>
        </w:tc>
        <w:tc>
          <w:tcPr>
            <w:tcW w:w="1160" w:type="dxa"/>
            <w:vAlign w:val="bottom"/>
          </w:tcPr>
          <w:p>
            <w:pPr>
              <w:jc w:val="center"/>
              <w:ind w:right="61"/>
              <w:spacing w:after="0"/>
              <w:rPr>
                <w:sz w:val="20"/>
                <w:szCs w:val="20"/>
                <w:color w:val="auto"/>
              </w:rPr>
            </w:pPr>
            <w:r>
              <w:rPr>
                <w:rFonts w:ascii="Arial" w:cs="Arial" w:eastAsia="Arial" w:hAnsi="Arial"/>
                <w:sz w:val="20"/>
                <w:szCs w:val="20"/>
                <w:color w:val="auto"/>
                <w:w w:val="96"/>
              </w:rPr>
              <w:t>Treasury</w:t>
            </w:r>
          </w:p>
        </w:tc>
        <w:tc>
          <w:tcPr>
            <w:tcW w:w="1260" w:type="dxa"/>
            <w:vAlign w:val="bottom"/>
          </w:tcPr>
          <w:p>
            <w:pPr>
              <w:jc w:val="right"/>
              <w:ind w:right="81"/>
              <w:spacing w:after="0"/>
              <w:rPr>
                <w:sz w:val="20"/>
                <w:szCs w:val="20"/>
                <w:color w:val="auto"/>
              </w:rPr>
            </w:pPr>
            <w:r>
              <w:rPr>
                <w:rFonts w:ascii="Arial" w:cs="Arial" w:eastAsia="Arial" w:hAnsi="Arial"/>
                <w:sz w:val="20"/>
                <w:szCs w:val="20"/>
                <w:color w:val="auto"/>
              </w:rPr>
              <w:t>Cumulative</w:t>
            </w:r>
          </w:p>
        </w:tc>
        <w:tc>
          <w:tcPr>
            <w:tcW w:w="1560" w:type="dxa"/>
            <w:vAlign w:val="bottom"/>
          </w:tcPr>
          <w:p>
            <w:pPr>
              <w:jc w:val="center"/>
              <w:spacing w:after="0"/>
              <w:rPr>
                <w:sz w:val="20"/>
                <w:szCs w:val="20"/>
                <w:color w:val="auto"/>
              </w:rPr>
            </w:pPr>
            <w:r>
              <w:rPr>
                <w:rFonts w:ascii="Arial" w:cs="Arial" w:eastAsia="Arial" w:hAnsi="Arial"/>
                <w:sz w:val="20"/>
                <w:szCs w:val="20"/>
                <w:color w:val="auto"/>
                <w:w w:val="94"/>
              </w:rPr>
              <w:t>Total</w:t>
            </w:r>
          </w:p>
        </w:tc>
        <w:tc>
          <w:tcPr>
            <w:tcW w:w="0" w:type="dxa"/>
            <w:vAlign w:val="bottom"/>
          </w:tcPr>
          <w:p>
            <w:pPr>
              <w:spacing w:after="0"/>
              <w:rPr>
                <w:sz w:val="1"/>
                <w:szCs w:val="1"/>
                <w:color w:val="auto"/>
              </w:rPr>
            </w:pPr>
          </w:p>
        </w:tc>
      </w:tr>
      <w:tr>
        <w:trPr>
          <w:trHeight w:val="243"/>
        </w:trPr>
        <w:tc>
          <w:tcPr>
            <w:tcW w:w="37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420" w:type="dxa"/>
            <w:vAlign w:val="bottom"/>
          </w:tcPr>
          <w:p>
            <w:pPr>
              <w:jc w:val="center"/>
              <w:ind w:right="1"/>
              <w:spacing w:after="0"/>
              <w:rPr>
                <w:sz w:val="20"/>
                <w:szCs w:val="20"/>
                <w:color w:val="auto"/>
              </w:rPr>
            </w:pPr>
            <w:r>
              <w:rPr>
                <w:rFonts w:ascii="Arial" w:cs="Arial" w:eastAsia="Arial" w:hAnsi="Arial"/>
                <w:sz w:val="20"/>
                <w:szCs w:val="20"/>
                <w:color w:val="auto"/>
                <w:w w:val="99"/>
              </w:rPr>
              <w:t>paid-in</w:t>
            </w:r>
          </w:p>
        </w:tc>
        <w:tc>
          <w:tcPr>
            <w:tcW w:w="1160" w:type="dxa"/>
            <w:vAlign w:val="bottom"/>
          </w:tcPr>
          <w:p>
            <w:pPr>
              <w:jc w:val="center"/>
              <w:ind w:right="1"/>
              <w:spacing w:after="0"/>
              <w:rPr>
                <w:sz w:val="20"/>
                <w:szCs w:val="20"/>
                <w:color w:val="auto"/>
              </w:rPr>
            </w:pPr>
            <w:r>
              <w:rPr>
                <w:rFonts w:ascii="Arial" w:cs="Arial" w:eastAsia="Arial" w:hAnsi="Arial"/>
                <w:sz w:val="20"/>
                <w:szCs w:val="20"/>
                <w:color w:val="auto"/>
                <w:w w:val="99"/>
              </w:rPr>
              <w:t>share</w:t>
            </w:r>
          </w:p>
        </w:tc>
        <w:tc>
          <w:tcPr>
            <w:tcW w:w="1260" w:type="dxa"/>
            <w:vAlign w:val="bottom"/>
          </w:tcPr>
          <w:p>
            <w:pPr>
              <w:jc w:val="right"/>
              <w:ind w:right="261"/>
              <w:spacing w:after="0"/>
              <w:rPr>
                <w:sz w:val="20"/>
                <w:szCs w:val="20"/>
                <w:color w:val="auto"/>
              </w:rPr>
            </w:pPr>
            <w:r>
              <w:rPr>
                <w:rFonts w:ascii="Arial" w:cs="Arial" w:eastAsia="Arial" w:hAnsi="Arial"/>
                <w:sz w:val="20"/>
                <w:szCs w:val="20"/>
                <w:color w:val="auto"/>
              </w:rPr>
              <w:t>losses</w:t>
            </w:r>
          </w:p>
        </w:tc>
        <w:tc>
          <w:tcPr>
            <w:tcW w:w="1560" w:type="dxa"/>
            <w:vAlign w:val="bottom"/>
          </w:tcPr>
          <w:p>
            <w:pPr>
              <w:jc w:val="center"/>
              <w:spacing w:after="0"/>
              <w:rPr>
                <w:sz w:val="20"/>
                <w:szCs w:val="20"/>
                <w:color w:val="auto"/>
              </w:rPr>
            </w:pPr>
            <w:r>
              <w:rPr>
                <w:rFonts w:ascii="Arial" w:cs="Arial" w:eastAsia="Arial" w:hAnsi="Arial"/>
                <w:sz w:val="20"/>
                <w:szCs w:val="20"/>
                <w:color w:val="auto"/>
                <w:w w:val="98"/>
              </w:rPr>
              <w:t>shareholders'</w:t>
            </w:r>
          </w:p>
        </w:tc>
        <w:tc>
          <w:tcPr>
            <w:tcW w:w="0" w:type="dxa"/>
            <w:vAlign w:val="bottom"/>
          </w:tcPr>
          <w:p>
            <w:pPr>
              <w:spacing w:after="0"/>
              <w:rPr>
                <w:sz w:val="1"/>
                <w:szCs w:val="1"/>
                <w:color w:val="auto"/>
              </w:rPr>
            </w:pPr>
          </w:p>
        </w:tc>
      </w:tr>
      <w:tr>
        <w:trPr>
          <w:trHeight w:val="229"/>
        </w:trPr>
        <w:tc>
          <w:tcPr>
            <w:tcW w:w="3780" w:type="dxa"/>
            <w:vAlign w:val="bottom"/>
            <w:vMerge w:val="restart"/>
          </w:tcPr>
          <w:p>
            <w:pPr>
              <w:ind w:left="20"/>
              <w:spacing w:after="0"/>
              <w:rPr>
                <w:sz w:val="20"/>
                <w:szCs w:val="20"/>
                <w:color w:val="auto"/>
              </w:rPr>
            </w:pPr>
            <w:r>
              <w:rPr>
                <w:rFonts w:ascii="Arial" w:cs="Arial" w:eastAsia="Arial" w:hAnsi="Arial"/>
                <w:sz w:val="20"/>
                <w:szCs w:val="20"/>
                <w:color w:val="auto"/>
              </w:rPr>
              <w:t>in CHF thousands</w:t>
            </w:r>
          </w:p>
        </w:tc>
        <w:tc>
          <w:tcPr>
            <w:tcW w:w="1500" w:type="dxa"/>
            <w:vAlign w:val="bottom"/>
          </w:tcPr>
          <w:p>
            <w:pPr>
              <w:spacing w:after="0"/>
              <w:rPr>
                <w:sz w:val="19"/>
                <w:szCs w:val="19"/>
                <w:color w:val="auto"/>
              </w:rPr>
            </w:pPr>
          </w:p>
        </w:tc>
        <w:tc>
          <w:tcPr>
            <w:tcW w:w="1420" w:type="dxa"/>
            <w:vAlign w:val="bottom"/>
          </w:tcPr>
          <w:p>
            <w:pPr>
              <w:jc w:val="center"/>
              <w:ind w:right="1"/>
              <w:spacing w:after="0"/>
              <w:rPr>
                <w:sz w:val="20"/>
                <w:szCs w:val="20"/>
                <w:color w:val="auto"/>
              </w:rPr>
            </w:pPr>
            <w:r>
              <w:rPr>
                <w:rFonts w:ascii="Arial" w:cs="Arial" w:eastAsia="Arial" w:hAnsi="Arial"/>
                <w:sz w:val="20"/>
                <w:szCs w:val="20"/>
                <w:color w:val="auto"/>
                <w:w w:val="96"/>
              </w:rPr>
              <w:t>capital</w:t>
            </w:r>
          </w:p>
        </w:tc>
        <w:tc>
          <w:tcPr>
            <w:tcW w:w="1160" w:type="dxa"/>
            <w:vAlign w:val="bottom"/>
          </w:tcPr>
          <w:p>
            <w:pPr>
              <w:jc w:val="center"/>
              <w:ind w:right="1"/>
              <w:spacing w:after="0"/>
              <w:rPr>
                <w:sz w:val="20"/>
                <w:szCs w:val="20"/>
                <w:color w:val="auto"/>
              </w:rPr>
            </w:pPr>
            <w:r>
              <w:rPr>
                <w:rFonts w:ascii="Arial" w:cs="Arial" w:eastAsia="Arial" w:hAnsi="Arial"/>
                <w:sz w:val="20"/>
                <w:szCs w:val="20"/>
                <w:color w:val="auto"/>
                <w:w w:val="98"/>
              </w:rPr>
              <w:t>reserve</w:t>
            </w:r>
          </w:p>
        </w:tc>
        <w:tc>
          <w:tcPr>
            <w:tcW w:w="1260" w:type="dxa"/>
            <w:vAlign w:val="bottom"/>
          </w:tcPr>
          <w:p>
            <w:pPr>
              <w:spacing w:after="0"/>
              <w:rPr>
                <w:sz w:val="19"/>
                <w:szCs w:val="19"/>
                <w:color w:val="auto"/>
              </w:rPr>
            </w:pPr>
          </w:p>
        </w:tc>
        <w:tc>
          <w:tcPr>
            <w:tcW w:w="1560" w:type="dxa"/>
            <w:vAlign w:val="bottom"/>
            <w:vMerge w:val="restart"/>
          </w:tcPr>
          <w:p>
            <w:pPr>
              <w:jc w:val="center"/>
              <w:spacing w:after="0"/>
              <w:rPr>
                <w:sz w:val="20"/>
                <w:szCs w:val="20"/>
                <w:color w:val="auto"/>
              </w:rPr>
            </w:pPr>
            <w:r>
              <w:rPr>
                <w:rFonts w:ascii="Arial" w:cs="Arial" w:eastAsia="Arial" w:hAnsi="Arial"/>
                <w:sz w:val="20"/>
                <w:szCs w:val="20"/>
                <w:color w:val="auto"/>
                <w:w w:val="97"/>
              </w:rPr>
              <w:t>equity</w:t>
            </w:r>
          </w:p>
        </w:tc>
        <w:tc>
          <w:tcPr>
            <w:tcW w:w="0" w:type="dxa"/>
            <w:vAlign w:val="bottom"/>
          </w:tcPr>
          <w:p>
            <w:pPr>
              <w:spacing w:after="0"/>
              <w:rPr>
                <w:sz w:val="1"/>
                <w:szCs w:val="1"/>
                <w:color w:val="auto"/>
              </w:rPr>
            </w:pPr>
          </w:p>
        </w:tc>
      </w:tr>
      <w:tr>
        <w:trPr>
          <w:trHeight w:val="64"/>
        </w:trPr>
        <w:tc>
          <w:tcPr>
            <w:tcW w:w="3780" w:type="dxa"/>
            <w:vAlign w:val="bottom"/>
            <w:vMerge w:val="continue"/>
          </w:tcPr>
          <w:p>
            <w:pPr>
              <w:spacing w:after="0"/>
              <w:rPr>
                <w:sz w:val="5"/>
                <w:szCs w:val="5"/>
                <w:color w:val="auto"/>
              </w:rPr>
            </w:pPr>
          </w:p>
        </w:tc>
        <w:tc>
          <w:tcPr>
            <w:tcW w:w="150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3780" w:type="dxa"/>
            <w:vAlign w:val="bottom"/>
            <w:tcBorders>
              <w:bottom w:val="single" w:sz="8" w:color="BC2327"/>
            </w:tcBorders>
          </w:tcPr>
          <w:p>
            <w:pPr>
              <w:spacing w:after="0"/>
              <w:rPr>
                <w:sz w:val="21"/>
                <w:szCs w:val="21"/>
                <w:color w:val="auto"/>
              </w:rPr>
            </w:pPr>
          </w:p>
        </w:tc>
        <w:tc>
          <w:tcPr>
            <w:tcW w:w="1500" w:type="dxa"/>
            <w:vAlign w:val="bottom"/>
            <w:tcBorders>
              <w:bottom w:val="single" w:sz="8" w:color="BC2327"/>
            </w:tcBorders>
          </w:tcPr>
          <w:p>
            <w:pPr>
              <w:spacing w:after="0"/>
              <w:rPr>
                <w:sz w:val="21"/>
                <w:szCs w:val="21"/>
                <w:color w:val="auto"/>
              </w:rPr>
            </w:pPr>
          </w:p>
        </w:tc>
        <w:tc>
          <w:tcPr>
            <w:tcW w:w="1420" w:type="dxa"/>
            <w:vAlign w:val="bottom"/>
            <w:tcBorders>
              <w:bottom w:val="single" w:sz="8" w:color="EE2724"/>
            </w:tcBorders>
          </w:tcPr>
          <w:p>
            <w:pPr>
              <w:spacing w:after="0"/>
              <w:rPr>
                <w:sz w:val="21"/>
                <w:szCs w:val="21"/>
                <w:color w:val="auto"/>
              </w:rPr>
            </w:pPr>
          </w:p>
        </w:tc>
        <w:tc>
          <w:tcPr>
            <w:tcW w:w="1160" w:type="dxa"/>
            <w:vAlign w:val="bottom"/>
            <w:tcBorders>
              <w:bottom w:val="single" w:sz="8" w:color="EE2724"/>
            </w:tcBorders>
          </w:tcPr>
          <w:p>
            <w:pPr>
              <w:spacing w:after="0"/>
              <w:rPr>
                <w:sz w:val="21"/>
                <w:szCs w:val="21"/>
                <w:color w:val="auto"/>
              </w:rPr>
            </w:pPr>
          </w:p>
        </w:tc>
        <w:tc>
          <w:tcPr>
            <w:tcW w:w="1260" w:type="dxa"/>
            <w:vAlign w:val="bottom"/>
            <w:tcBorders>
              <w:bottom w:val="single" w:sz="8" w:color="EE2724"/>
            </w:tcBorders>
          </w:tcPr>
          <w:p>
            <w:pPr>
              <w:spacing w:after="0"/>
              <w:rPr>
                <w:sz w:val="21"/>
                <w:szCs w:val="21"/>
                <w:color w:val="auto"/>
              </w:rPr>
            </w:pPr>
          </w:p>
        </w:tc>
        <w:tc>
          <w:tcPr>
            <w:tcW w:w="1560" w:type="dxa"/>
            <w:vAlign w:val="bottom"/>
            <w:tcBorders>
              <w:bottom w:val="single" w:sz="8" w:color="BC2327"/>
            </w:tcBorders>
          </w:tcPr>
          <w:p>
            <w:pPr>
              <w:spacing w:after="0"/>
              <w:rPr>
                <w:sz w:val="21"/>
                <w:szCs w:val="21"/>
                <w:color w:val="auto"/>
              </w:rPr>
            </w:pPr>
          </w:p>
        </w:tc>
        <w:tc>
          <w:tcPr>
            <w:tcW w:w="0" w:type="dxa"/>
            <w:vAlign w:val="bottom"/>
          </w:tcPr>
          <w:p>
            <w:pPr>
              <w:spacing w:after="0"/>
              <w:rPr>
                <w:sz w:val="1"/>
                <w:szCs w:val="1"/>
                <w:color w:val="auto"/>
              </w:rPr>
            </w:pPr>
          </w:p>
        </w:tc>
      </w:tr>
      <w:tr>
        <w:trPr>
          <w:trHeight w:val="517"/>
        </w:trPr>
        <w:tc>
          <w:tcPr>
            <w:tcW w:w="3780" w:type="dxa"/>
            <w:vAlign w:val="bottom"/>
          </w:tcPr>
          <w:p>
            <w:pPr>
              <w:ind w:left="20"/>
              <w:spacing w:after="0"/>
              <w:rPr>
                <w:sz w:val="20"/>
                <w:szCs w:val="20"/>
                <w:color w:val="auto"/>
              </w:rPr>
            </w:pPr>
            <w:r>
              <w:rPr>
                <w:rFonts w:ascii="Arial" w:cs="Arial" w:eastAsia="Arial" w:hAnsi="Arial"/>
                <w:sz w:val="20"/>
                <w:szCs w:val="20"/>
                <w:color w:val="auto"/>
              </w:rPr>
              <w:t>At January 1, 2025</w:t>
            </w:r>
          </w:p>
        </w:tc>
        <w:tc>
          <w:tcPr>
            <w:tcW w:w="1500" w:type="dxa"/>
            <w:vAlign w:val="bottom"/>
          </w:tcPr>
          <w:p>
            <w:pPr>
              <w:jc w:val="right"/>
              <w:spacing w:after="0"/>
              <w:rPr>
                <w:sz w:val="20"/>
                <w:szCs w:val="20"/>
                <w:color w:val="auto"/>
              </w:rPr>
            </w:pPr>
            <w:r>
              <w:rPr>
                <w:rFonts w:ascii="Arial" w:cs="Arial" w:eastAsia="Arial" w:hAnsi="Arial"/>
                <w:sz w:val="20"/>
                <w:szCs w:val="20"/>
                <w:color w:val="auto"/>
              </w:rPr>
              <w:t>4,036</w:t>
            </w:r>
          </w:p>
        </w:tc>
        <w:tc>
          <w:tcPr>
            <w:tcW w:w="1420" w:type="dxa"/>
            <w:vAlign w:val="bottom"/>
          </w:tcPr>
          <w:p>
            <w:pPr>
              <w:jc w:val="right"/>
              <w:ind w:right="81"/>
              <w:spacing w:after="0"/>
              <w:rPr>
                <w:sz w:val="20"/>
                <w:szCs w:val="20"/>
                <w:color w:val="auto"/>
              </w:rPr>
            </w:pPr>
            <w:r>
              <w:rPr>
                <w:rFonts w:ascii="Arial" w:cs="Arial" w:eastAsia="Arial" w:hAnsi="Arial"/>
                <w:sz w:val="20"/>
                <w:szCs w:val="20"/>
                <w:color w:val="auto"/>
              </w:rPr>
              <w:t>384,875</w:t>
            </w:r>
          </w:p>
        </w:tc>
        <w:tc>
          <w:tcPr>
            <w:tcW w:w="1160" w:type="dxa"/>
            <w:vAlign w:val="bottom"/>
          </w:tcPr>
          <w:p>
            <w:pPr>
              <w:jc w:val="right"/>
              <w:ind w:right="1"/>
              <w:spacing w:after="0"/>
              <w:rPr>
                <w:sz w:val="20"/>
                <w:szCs w:val="20"/>
                <w:color w:val="auto"/>
              </w:rPr>
            </w:pPr>
            <w:r>
              <w:rPr>
                <w:rFonts w:ascii="Arial" w:cs="Arial" w:eastAsia="Arial" w:hAnsi="Arial"/>
                <w:sz w:val="20"/>
                <w:szCs w:val="20"/>
                <w:color w:val="auto"/>
              </w:rPr>
              <w:t>(981)</w:t>
            </w:r>
          </w:p>
        </w:tc>
        <w:tc>
          <w:tcPr>
            <w:tcW w:w="1260" w:type="dxa"/>
            <w:vAlign w:val="bottom"/>
          </w:tcPr>
          <w:p>
            <w:pPr>
              <w:jc w:val="right"/>
              <w:spacing w:after="0"/>
              <w:rPr>
                <w:sz w:val="20"/>
                <w:szCs w:val="20"/>
                <w:color w:val="auto"/>
              </w:rPr>
            </w:pPr>
            <w:r>
              <w:rPr>
                <w:rFonts w:ascii="Arial" w:cs="Arial" w:eastAsia="Arial" w:hAnsi="Arial"/>
                <w:sz w:val="20"/>
                <w:szCs w:val="20"/>
                <w:color w:val="auto"/>
              </w:rPr>
              <w:t>(246,293)</w:t>
            </w:r>
          </w:p>
        </w:tc>
        <w:tc>
          <w:tcPr>
            <w:tcW w:w="1560" w:type="dxa"/>
            <w:vAlign w:val="bottom"/>
          </w:tcPr>
          <w:p>
            <w:pPr>
              <w:jc w:val="right"/>
              <w:ind w:right="1"/>
              <w:spacing w:after="0"/>
              <w:rPr>
                <w:sz w:val="20"/>
                <w:szCs w:val="20"/>
                <w:color w:val="auto"/>
              </w:rPr>
            </w:pPr>
            <w:r>
              <w:rPr>
                <w:rFonts w:ascii="Arial" w:cs="Arial" w:eastAsia="Arial" w:hAnsi="Arial"/>
                <w:sz w:val="20"/>
                <w:szCs w:val="20"/>
                <w:color w:val="auto"/>
              </w:rPr>
              <w:t>141,636</w:t>
            </w:r>
          </w:p>
        </w:tc>
        <w:tc>
          <w:tcPr>
            <w:tcW w:w="0" w:type="dxa"/>
            <w:vAlign w:val="bottom"/>
          </w:tcPr>
          <w:p>
            <w:pPr>
              <w:spacing w:after="0"/>
              <w:rPr>
                <w:sz w:val="1"/>
                <w:szCs w:val="1"/>
                <w:color w:val="auto"/>
              </w:rPr>
            </w:pPr>
          </w:p>
        </w:tc>
      </w:tr>
      <w:tr>
        <w:trPr>
          <w:trHeight w:val="246"/>
        </w:trPr>
        <w:tc>
          <w:tcPr>
            <w:tcW w:w="3780" w:type="dxa"/>
            <w:vAlign w:val="bottom"/>
            <w:tcBorders>
              <w:bottom w:val="single" w:sz="8" w:color="BF2115"/>
            </w:tcBorders>
          </w:tcPr>
          <w:p>
            <w:pPr>
              <w:spacing w:after="0"/>
              <w:rPr>
                <w:sz w:val="21"/>
                <w:szCs w:val="21"/>
                <w:color w:val="auto"/>
              </w:rPr>
            </w:pPr>
          </w:p>
        </w:tc>
        <w:tc>
          <w:tcPr>
            <w:tcW w:w="1500" w:type="dxa"/>
            <w:vAlign w:val="bottom"/>
            <w:tcBorders>
              <w:bottom w:val="single" w:sz="8" w:color="BF2115"/>
            </w:tcBorders>
          </w:tcPr>
          <w:p>
            <w:pPr>
              <w:spacing w:after="0"/>
              <w:rPr>
                <w:sz w:val="21"/>
                <w:szCs w:val="21"/>
                <w:color w:val="auto"/>
              </w:rPr>
            </w:pPr>
          </w:p>
        </w:tc>
        <w:tc>
          <w:tcPr>
            <w:tcW w:w="1420" w:type="dxa"/>
            <w:vAlign w:val="bottom"/>
            <w:tcBorders>
              <w:bottom w:val="single" w:sz="8" w:color="BF2115"/>
            </w:tcBorders>
          </w:tcPr>
          <w:p>
            <w:pPr>
              <w:spacing w:after="0"/>
              <w:rPr>
                <w:sz w:val="21"/>
                <w:szCs w:val="21"/>
                <w:color w:val="auto"/>
              </w:rPr>
            </w:pPr>
          </w:p>
        </w:tc>
        <w:tc>
          <w:tcPr>
            <w:tcW w:w="1160" w:type="dxa"/>
            <w:vAlign w:val="bottom"/>
            <w:tcBorders>
              <w:bottom w:val="single" w:sz="8" w:color="BF2115"/>
            </w:tcBorders>
          </w:tcPr>
          <w:p>
            <w:pPr>
              <w:spacing w:after="0"/>
              <w:rPr>
                <w:sz w:val="21"/>
                <w:szCs w:val="21"/>
                <w:color w:val="auto"/>
              </w:rPr>
            </w:pPr>
          </w:p>
        </w:tc>
        <w:tc>
          <w:tcPr>
            <w:tcW w:w="1260" w:type="dxa"/>
            <w:vAlign w:val="bottom"/>
            <w:tcBorders>
              <w:bottom w:val="single" w:sz="8" w:color="BF2115"/>
            </w:tcBorders>
          </w:tcPr>
          <w:p>
            <w:pPr>
              <w:spacing w:after="0"/>
              <w:rPr>
                <w:sz w:val="21"/>
                <w:szCs w:val="21"/>
                <w:color w:val="auto"/>
              </w:rPr>
            </w:pPr>
          </w:p>
        </w:tc>
        <w:tc>
          <w:tcPr>
            <w:tcW w:w="1560" w:type="dxa"/>
            <w:vAlign w:val="bottom"/>
            <w:tcBorders>
              <w:bottom w:val="single" w:sz="8" w:color="BF2115"/>
            </w:tcBorders>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3780" w:type="dxa"/>
            <w:vAlign w:val="bottom"/>
          </w:tcPr>
          <w:p>
            <w:pPr>
              <w:ind w:left="20"/>
              <w:spacing w:after="0"/>
              <w:rPr>
                <w:sz w:val="20"/>
                <w:szCs w:val="20"/>
                <w:color w:val="auto"/>
              </w:rPr>
            </w:pPr>
            <w:r>
              <w:rPr>
                <w:rFonts w:ascii="Arial" w:cs="Arial" w:eastAsia="Arial" w:hAnsi="Arial"/>
                <w:sz w:val="20"/>
                <w:szCs w:val="20"/>
                <w:color w:val="auto"/>
              </w:rPr>
              <w:t>Net result</w:t>
            </w:r>
          </w:p>
        </w:tc>
        <w:tc>
          <w:tcPr>
            <w:tcW w:w="1500" w:type="dxa"/>
            <w:vAlign w:val="bottom"/>
          </w:tcPr>
          <w:p>
            <w:pPr>
              <w:jc w:val="right"/>
              <w:spacing w:after="0"/>
              <w:rPr>
                <w:sz w:val="20"/>
                <w:szCs w:val="20"/>
                <w:color w:val="auto"/>
              </w:rPr>
            </w:pPr>
            <w:r>
              <w:rPr>
                <w:rFonts w:ascii="Arial" w:cs="Arial" w:eastAsia="Arial" w:hAnsi="Arial"/>
                <w:sz w:val="20"/>
                <w:szCs w:val="20"/>
                <w:color w:val="auto"/>
              </w:rPr>
              <w:t>—</w:t>
            </w:r>
          </w:p>
        </w:tc>
        <w:tc>
          <w:tcPr>
            <w:tcW w:w="142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16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260" w:type="dxa"/>
            <w:vAlign w:val="bottom"/>
          </w:tcPr>
          <w:p>
            <w:pPr>
              <w:jc w:val="right"/>
              <w:spacing w:after="0"/>
              <w:rPr>
                <w:sz w:val="20"/>
                <w:szCs w:val="20"/>
                <w:color w:val="auto"/>
              </w:rPr>
            </w:pPr>
            <w:r>
              <w:rPr>
                <w:rFonts w:ascii="Arial" w:cs="Arial" w:eastAsia="Arial" w:hAnsi="Arial"/>
                <w:sz w:val="20"/>
                <w:szCs w:val="20"/>
                <w:color w:val="auto"/>
              </w:rPr>
              <w:t>(16,771)</w:t>
            </w:r>
          </w:p>
        </w:tc>
        <w:tc>
          <w:tcPr>
            <w:tcW w:w="1560" w:type="dxa"/>
            <w:vAlign w:val="bottom"/>
          </w:tcPr>
          <w:p>
            <w:pPr>
              <w:jc w:val="right"/>
              <w:spacing w:after="0"/>
              <w:rPr>
                <w:sz w:val="20"/>
                <w:szCs w:val="20"/>
                <w:color w:val="auto"/>
              </w:rPr>
            </w:pPr>
            <w:r>
              <w:rPr>
                <w:rFonts w:ascii="Arial" w:cs="Arial" w:eastAsia="Arial" w:hAnsi="Arial"/>
                <w:sz w:val="20"/>
                <w:szCs w:val="20"/>
                <w:color w:val="auto"/>
              </w:rPr>
              <w:t>(16,771)</w:t>
            </w:r>
          </w:p>
        </w:tc>
        <w:tc>
          <w:tcPr>
            <w:tcW w:w="0" w:type="dxa"/>
            <w:vAlign w:val="bottom"/>
          </w:tcPr>
          <w:p>
            <w:pPr>
              <w:spacing w:after="0"/>
              <w:rPr>
                <w:sz w:val="1"/>
                <w:szCs w:val="1"/>
                <w:color w:val="auto"/>
              </w:rPr>
            </w:pPr>
          </w:p>
        </w:tc>
      </w:tr>
      <w:tr>
        <w:trPr>
          <w:trHeight w:val="513"/>
        </w:trPr>
        <w:tc>
          <w:tcPr>
            <w:tcW w:w="3780" w:type="dxa"/>
            <w:vAlign w:val="bottom"/>
          </w:tcPr>
          <w:p>
            <w:pPr>
              <w:ind w:left="20"/>
              <w:spacing w:after="0"/>
              <w:rPr>
                <w:sz w:val="20"/>
                <w:szCs w:val="20"/>
                <w:color w:val="auto"/>
              </w:rPr>
            </w:pPr>
            <w:r>
              <w:rPr>
                <w:rFonts w:ascii="Arial" w:cs="Arial" w:eastAsia="Arial" w:hAnsi="Arial"/>
                <w:sz w:val="20"/>
                <w:szCs w:val="20"/>
                <w:color w:val="auto"/>
              </w:rPr>
              <w:t>Remeasurement of net pension liabilities</w:t>
            </w:r>
          </w:p>
        </w:tc>
        <w:tc>
          <w:tcPr>
            <w:tcW w:w="1500" w:type="dxa"/>
            <w:vAlign w:val="bottom"/>
          </w:tcPr>
          <w:p>
            <w:pPr>
              <w:jc w:val="right"/>
              <w:spacing w:after="0"/>
              <w:rPr>
                <w:sz w:val="20"/>
                <w:szCs w:val="20"/>
                <w:color w:val="auto"/>
              </w:rPr>
            </w:pPr>
            <w:r>
              <w:rPr>
                <w:rFonts w:ascii="Arial" w:cs="Arial" w:eastAsia="Arial" w:hAnsi="Arial"/>
                <w:sz w:val="20"/>
                <w:szCs w:val="20"/>
                <w:color w:val="auto"/>
              </w:rPr>
              <w:t>—</w:t>
            </w:r>
          </w:p>
        </w:tc>
        <w:tc>
          <w:tcPr>
            <w:tcW w:w="142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16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260" w:type="dxa"/>
            <w:vAlign w:val="bottom"/>
          </w:tcPr>
          <w:p>
            <w:pPr>
              <w:jc w:val="right"/>
              <w:spacing w:after="0"/>
              <w:rPr>
                <w:sz w:val="20"/>
                <w:szCs w:val="20"/>
                <w:color w:val="auto"/>
              </w:rPr>
            </w:pPr>
            <w:r>
              <w:rPr>
                <w:rFonts w:ascii="Arial" w:cs="Arial" w:eastAsia="Arial" w:hAnsi="Arial"/>
                <w:sz w:val="20"/>
                <w:szCs w:val="20"/>
                <w:color w:val="auto"/>
              </w:rPr>
              <w:t>2,178</w:t>
            </w:r>
          </w:p>
        </w:tc>
        <w:tc>
          <w:tcPr>
            <w:tcW w:w="1560" w:type="dxa"/>
            <w:vAlign w:val="bottom"/>
          </w:tcPr>
          <w:p>
            <w:pPr>
              <w:jc w:val="right"/>
              <w:ind w:right="1"/>
              <w:spacing w:after="0"/>
              <w:rPr>
                <w:sz w:val="20"/>
                <w:szCs w:val="20"/>
                <w:color w:val="auto"/>
              </w:rPr>
            </w:pPr>
            <w:r>
              <w:rPr>
                <w:rFonts w:ascii="Arial" w:cs="Arial" w:eastAsia="Arial" w:hAnsi="Arial"/>
                <w:sz w:val="20"/>
                <w:szCs w:val="20"/>
                <w:color w:val="auto"/>
              </w:rPr>
              <w:t>2,178</w:t>
            </w:r>
          </w:p>
        </w:tc>
        <w:tc>
          <w:tcPr>
            <w:tcW w:w="0" w:type="dxa"/>
            <w:vAlign w:val="bottom"/>
          </w:tcPr>
          <w:p>
            <w:pPr>
              <w:spacing w:after="0"/>
              <w:rPr>
                <w:sz w:val="1"/>
                <w:szCs w:val="1"/>
                <w:color w:val="auto"/>
              </w:rPr>
            </w:pPr>
          </w:p>
        </w:tc>
      </w:tr>
      <w:tr>
        <w:trPr>
          <w:trHeight w:val="495"/>
        </w:trPr>
        <w:tc>
          <w:tcPr>
            <w:tcW w:w="3780" w:type="dxa"/>
            <w:vAlign w:val="bottom"/>
          </w:tcPr>
          <w:p>
            <w:pPr>
              <w:ind w:left="20"/>
              <w:spacing w:after="0"/>
              <w:rPr>
                <w:sz w:val="20"/>
                <w:szCs w:val="20"/>
                <w:color w:val="auto"/>
              </w:rPr>
            </w:pPr>
            <w:r>
              <w:rPr>
                <w:rFonts w:ascii="Arial" w:cs="Arial" w:eastAsia="Arial" w:hAnsi="Arial"/>
                <w:sz w:val="20"/>
                <w:szCs w:val="20"/>
                <w:color w:val="auto"/>
              </w:rPr>
              <w:t>Exchange differences on translating</w:t>
            </w:r>
          </w:p>
        </w:tc>
        <w:tc>
          <w:tcPr>
            <w:tcW w:w="150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1420" w:type="dxa"/>
            <w:vAlign w:val="bottom"/>
            <w:vMerge w:val="restart"/>
          </w:tcPr>
          <w:p>
            <w:pPr>
              <w:jc w:val="right"/>
              <w:ind w:right="81"/>
              <w:spacing w:after="0"/>
              <w:rPr>
                <w:sz w:val="20"/>
                <w:szCs w:val="20"/>
                <w:color w:val="auto"/>
              </w:rPr>
            </w:pPr>
            <w:r>
              <w:rPr>
                <w:rFonts w:ascii="Arial" w:cs="Arial" w:eastAsia="Arial" w:hAnsi="Arial"/>
                <w:sz w:val="20"/>
                <w:szCs w:val="20"/>
                <w:color w:val="auto"/>
              </w:rPr>
              <w:t>—</w:t>
            </w:r>
          </w:p>
        </w:tc>
        <w:tc>
          <w:tcPr>
            <w:tcW w:w="1160" w:type="dxa"/>
            <w:vAlign w:val="bottom"/>
            <w:vMerge w:val="restart"/>
          </w:tcPr>
          <w:p>
            <w:pPr>
              <w:jc w:val="right"/>
              <w:ind w:right="61"/>
              <w:spacing w:after="0"/>
              <w:rPr>
                <w:sz w:val="20"/>
                <w:szCs w:val="20"/>
                <w:color w:val="auto"/>
              </w:rPr>
            </w:pPr>
            <w:r>
              <w:rPr>
                <w:rFonts w:ascii="Arial" w:cs="Arial" w:eastAsia="Arial" w:hAnsi="Arial"/>
                <w:sz w:val="20"/>
                <w:szCs w:val="20"/>
                <w:color w:val="auto"/>
              </w:rPr>
              <w:t>—</w:t>
            </w:r>
          </w:p>
        </w:tc>
        <w:tc>
          <w:tcPr>
            <w:tcW w:w="1260" w:type="dxa"/>
            <w:vAlign w:val="bottom"/>
            <w:vMerge w:val="restart"/>
          </w:tcPr>
          <w:p>
            <w:pPr>
              <w:jc w:val="right"/>
              <w:spacing w:after="0"/>
              <w:rPr>
                <w:sz w:val="20"/>
                <w:szCs w:val="20"/>
                <w:color w:val="auto"/>
              </w:rPr>
            </w:pPr>
            <w:r>
              <w:rPr>
                <w:rFonts w:ascii="Arial" w:cs="Arial" w:eastAsia="Arial" w:hAnsi="Arial"/>
                <w:sz w:val="20"/>
                <w:szCs w:val="20"/>
                <w:color w:val="auto"/>
              </w:rPr>
              <w:t>6</w:t>
            </w:r>
          </w:p>
        </w:tc>
        <w:tc>
          <w:tcPr>
            <w:tcW w:w="1560" w:type="dxa"/>
            <w:vAlign w:val="bottom"/>
            <w:vMerge w:val="restart"/>
          </w:tcPr>
          <w:p>
            <w:pPr>
              <w:jc w:val="right"/>
              <w:ind w:right="1"/>
              <w:spacing w:after="0"/>
              <w:rPr>
                <w:sz w:val="20"/>
                <w:szCs w:val="20"/>
                <w:color w:val="auto"/>
              </w:rPr>
            </w:pPr>
            <w:r>
              <w:rPr>
                <w:rFonts w:ascii="Arial" w:cs="Arial" w:eastAsia="Arial" w:hAnsi="Arial"/>
                <w:sz w:val="20"/>
                <w:szCs w:val="20"/>
                <w:color w:val="auto"/>
              </w:rPr>
              <w:t>6</w:t>
            </w:r>
          </w:p>
        </w:tc>
        <w:tc>
          <w:tcPr>
            <w:tcW w:w="0" w:type="dxa"/>
            <w:vAlign w:val="bottom"/>
          </w:tcPr>
          <w:p>
            <w:pPr>
              <w:spacing w:after="0"/>
              <w:rPr>
                <w:sz w:val="1"/>
                <w:szCs w:val="1"/>
                <w:color w:val="auto"/>
              </w:rPr>
            </w:pPr>
          </w:p>
        </w:tc>
      </w:tr>
      <w:tr>
        <w:trPr>
          <w:trHeight w:val="261"/>
        </w:trPr>
        <w:tc>
          <w:tcPr>
            <w:tcW w:w="3780" w:type="dxa"/>
            <w:vAlign w:val="bottom"/>
          </w:tcPr>
          <w:p>
            <w:pPr>
              <w:ind w:left="20"/>
              <w:spacing w:after="0"/>
              <w:rPr>
                <w:sz w:val="20"/>
                <w:szCs w:val="20"/>
                <w:color w:val="auto"/>
              </w:rPr>
            </w:pPr>
            <w:r>
              <w:rPr>
                <w:rFonts w:ascii="Arial" w:cs="Arial" w:eastAsia="Arial" w:hAnsi="Arial"/>
                <w:sz w:val="20"/>
                <w:szCs w:val="20"/>
                <w:color w:val="auto"/>
              </w:rPr>
              <w:t>foreign operations</w:t>
            </w:r>
          </w:p>
        </w:tc>
        <w:tc>
          <w:tcPr>
            <w:tcW w:w="1500" w:type="dxa"/>
            <w:vAlign w:val="bottom"/>
            <w:vMerge w:val="continue"/>
          </w:tcPr>
          <w:p>
            <w:pPr>
              <w:spacing w:after="0"/>
              <w:rPr>
                <w:sz w:val="22"/>
                <w:szCs w:val="22"/>
                <w:color w:val="auto"/>
              </w:rPr>
            </w:pPr>
          </w:p>
        </w:tc>
        <w:tc>
          <w:tcPr>
            <w:tcW w:w="1420" w:type="dxa"/>
            <w:vAlign w:val="bottom"/>
            <w:vMerge w:val="continue"/>
          </w:tcPr>
          <w:p>
            <w:pPr>
              <w:spacing w:after="0"/>
              <w:rPr>
                <w:sz w:val="22"/>
                <w:szCs w:val="22"/>
                <w:color w:val="auto"/>
              </w:rPr>
            </w:pPr>
          </w:p>
        </w:tc>
        <w:tc>
          <w:tcPr>
            <w:tcW w:w="1160" w:type="dxa"/>
            <w:vAlign w:val="bottom"/>
            <w:vMerge w:val="continue"/>
          </w:tcPr>
          <w:p>
            <w:pPr>
              <w:spacing w:after="0"/>
              <w:rPr>
                <w:sz w:val="22"/>
                <w:szCs w:val="22"/>
                <w:color w:val="auto"/>
              </w:rPr>
            </w:pPr>
          </w:p>
        </w:tc>
        <w:tc>
          <w:tcPr>
            <w:tcW w:w="1260" w:type="dxa"/>
            <w:vAlign w:val="bottom"/>
            <w:vMerge w:val="continue"/>
          </w:tcPr>
          <w:p>
            <w:pPr>
              <w:spacing w:after="0"/>
              <w:rPr>
                <w:sz w:val="22"/>
                <w:szCs w:val="22"/>
                <w:color w:val="auto"/>
              </w:rPr>
            </w:pPr>
          </w:p>
        </w:tc>
        <w:tc>
          <w:tcPr>
            <w:tcW w:w="15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500"/>
        </w:trPr>
        <w:tc>
          <w:tcPr>
            <w:tcW w:w="3780" w:type="dxa"/>
            <w:vAlign w:val="bottom"/>
          </w:tcPr>
          <w:p>
            <w:pPr>
              <w:ind w:left="20"/>
              <w:spacing w:after="0"/>
              <w:rPr>
                <w:sz w:val="20"/>
                <w:szCs w:val="20"/>
                <w:color w:val="auto"/>
              </w:rPr>
            </w:pPr>
            <w:r>
              <w:rPr>
                <w:rFonts w:ascii="Arial" w:cs="Arial" w:eastAsia="Arial" w:hAnsi="Arial"/>
                <w:sz w:val="20"/>
                <w:szCs w:val="20"/>
                <w:color w:val="auto"/>
              </w:rPr>
              <w:t>Total comprehensive income</w:t>
            </w:r>
          </w:p>
        </w:tc>
        <w:tc>
          <w:tcPr>
            <w:tcW w:w="1500" w:type="dxa"/>
            <w:vAlign w:val="bottom"/>
          </w:tcPr>
          <w:p>
            <w:pPr>
              <w:jc w:val="right"/>
              <w:spacing w:after="0"/>
              <w:rPr>
                <w:sz w:val="20"/>
                <w:szCs w:val="20"/>
                <w:color w:val="auto"/>
              </w:rPr>
            </w:pPr>
            <w:r>
              <w:rPr>
                <w:rFonts w:ascii="Arial" w:cs="Arial" w:eastAsia="Arial" w:hAnsi="Arial"/>
                <w:sz w:val="20"/>
                <w:szCs w:val="20"/>
                <w:color w:val="auto"/>
              </w:rPr>
              <w:t>—</w:t>
            </w:r>
          </w:p>
        </w:tc>
        <w:tc>
          <w:tcPr>
            <w:tcW w:w="142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16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260" w:type="dxa"/>
            <w:vAlign w:val="bottom"/>
          </w:tcPr>
          <w:p>
            <w:pPr>
              <w:jc w:val="right"/>
              <w:spacing w:after="0"/>
              <w:rPr>
                <w:sz w:val="20"/>
                <w:szCs w:val="20"/>
                <w:color w:val="auto"/>
              </w:rPr>
            </w:pPr>
            <w:r>
              <w:rPr>
                <w:rFonts w:ascii="Arial" w:cs="Arial" w:eastAsia="Arial" w:hAnsi="Arial"/>
                <w:sz w:val="20"/>
                <w:szCs w:val="20"/>
                <w:color w:val="auto"/>
              </w:rPr>
              <w:t>(14,587)</w:t>
            </w:r>
          </w:p>
        </w:tc>
        <w:tc>
          <w:tcPr>
            <w:tcW w:w="1560" w:type="dxa"/>
            <w:vAlign w:val="bottom"/>
          </w:tcPr>
          <w:p>
            <w:pPr>
              <w:jc w:val="right"/>
              <w:spacing w:after="0"/>
              <w:rPr>
                <w:sz w:val="20"/>
                <w:szCs w:val="20"/>
                <w:color w:val="auto"/>
              </w:rPr>
            </w:pPr>
            <w:r>
              <w:rPr>
                <w:rFonts w:ascii="Arial" w:cs="Arial" w:eastAsia="Arial" w:hAnsi="Arial"/>
                <w:sz w:val="20"/>
                <w:szCs w:val="20"/>
                <w:color w:val="auto"/>
              </w:rPr>
              <w:t>(14,587)</w:t>
            </w:r>
          </w:p>
        </w:tc>
        <w:tc>
          <w:tcPr>
            <w:tcW w:w="0" w:type="dxa"/>
            <w:vAlign w:val="bottom"/>
          </w:tcPr>
          <w:p>
            <w:pPr>
              <w:spacing w:after="0"/>
              <w:rPr>
                <w:sz w:val="1"/>
                <w:szCs w:val="1"/>
                <w:color w:val="auto"/>
              </w:rPr>
            </w:pPr>
          </w:p>
        </w:tc>
      </w:tr>
      <w:tr>
        <w:trPr>
          <w:trHeight w:val="246"/>
        </w:trPr>
        <w:tc>
          <w:tcPr>
            <w:tcW w:w="3780" w:type="dxa"/>
            <w:vAlign w:val="bottom"/>
            <w:tcBorders>
              <w:bottom w:val="single" w:sz="8" w:color="BF2115"/>
            </w:tcBorders>
          </w:tcPr>
          <w:p>
            <w:pPr>
              <w:spacing w:after="0"/>
              <w:rPr>
                <w:sz w:val="21"/>
                <w:szCs w:val="21"/>
                <w:color w:val="auto"/>
              </w:rPr>
            </w:pPr>
          </w:p>
        </w:tc>
        <w:tc>
          <w:tcPr>
            <w:tcW w:w="1500" w:type="dxa"/>
            <w:vAlign w:val="bottom"/>
            <w:tcBorders>
              <w:bottom w:val="single" w:sz="8" w:color="BF2115"/>
            </w:tcBorders>
          </w:tcPr>
          <w:p>
            <w:pPr>
              <w:spacing w:after="0"/>
              <w:rPr>
                <w:sz w:val="21"/>
                <w:szCs w:val="21"/>
                <w:color w:val="auto"/>
              </w:rPr>
            </w:pPr>
          </w:p>
        </w:tc>
        <w:tc>
          <w:tcPr>
            <w:tcW w:w="1420" w:type="dxa"/>
            <w:vAlign w:val="bottom"/>
            <w:tcBorders>
              <w:bottom w:val="single" w:sz="8" w:color="BF2115"/>
            </w:tcBorders>
          </w:tcPr>
          <w:p>
            <w:pPr>
              <w:spacing w:after="0"/>
              <w:rPr>
                <w:sz w:val="21"/>
                <w:szCs w:val="21"/>
                <w:color w:val="auto"/>
              </w:rPr>
            </w:pPr>
          </w:p>
        </w:tc>
        <w:tc>
          <w:tcPr>
            <w:tcW w:w="1160" w:type="dxa"/>
            <w:vAlign w:val="bottom"/>
            <w:tcBorders>
              <w:bottom w:val="single" w:sz="8" w:color="BF2115"/>
            </w:tcBorders>
          </w:tcPr>
          <w:p>
            <w:pPr>
              <w:spacing w:after="0"/>
              <w:rPr>
                <w:sz w:val="21"/>
                <w:szCs w:val="21"/>
                <w:color w:val="auto"/>
              </w:rPr>
            </w:pPr>
          </w:p>
        </w:tc>
        <w:tc>
          <w:tcPr>
            <w:tcW w:w="1260" w:type="dxa"/>
            <w:vAlign w:val="bottom"/>
            <w:tcBorders>
              <w:bottom w:val="single" w:sz="8" w:color="BF2115"/>
            </w:tcBorders>
          </w:tcPr>
          <w:p>
            <w:pPr>
              <w:spacing w:after="0"/>
              <w:rPr>
                <w:sz w:val="21"/>
                <w:szCs w:val="21"/>
                <w:color w:val="auto"/>
              </w:rPr>
            </w:pPr>
          </w:p>
        </w:tc>
        <w:tc>
          <w:tcPr>
            <w:tcW w:w="1560" w:type="dxa"/>
            <w:vAlign w:val="bottom"/>
            <w:tcBorders>
              <w:bottom w:val="single" w:sz="8" w:color="BF2115"/>
            </w:tcBorders>
          </w:tcPr>
          <w:p>
            <w:pPr>
              <w:spacing w:after="0"/>
              <w:rPr>
                <w:sz w:val="21"/>
                <w:szCs w:val="21"/>
                <w:color w:val="auto"/>
              </w:rPr>
            </w:pPr>
          </w:p>
        </w:tc>
        <w:tc>
          <w:tcPr>
            <w:tcW w:w="0" w:type="dxa"/>
            <w:vAlign w:val="bottom"/>
          </w:tcPr>
          <w:p>
            <w:pPr>
              <w:spacing w:after="0"/>
              <w:rPr>
                <w:sz w:val="1"/>
                <w:szCs w:val="1"/>
                <w:color w:val="auto"/>
              </w:rPr>
            </w:pPr>
          </w:p>
        </w:tc>
      </w:tr>
      <w:tr>
        <w:trPr>
          <w:trHeight w:val="343"/>
        </w:trPr>
        <w:tc>
          <w:tcPr>
            <w:tcW w:w="3780" w:type="dxa"/>
            <w:vAlign w:val="bottom"/>
          </w:tcPr>
          <w:p>
            <w:pPr>
              <w:ind w:left="20"/>
              <w:spacing w:after="0"/>
              <w:rPr>
                <w:sz w:val="20"/>
                <w:szCs w:val="20"/>
                <w:color w:val="auto"/>
              </w:rPr>
            </w:pPr>
            <w:r>
              <w:rPr>
                <w:rFonts w:ascii="Arial" w:cs="Arial" w:eastAsia="Arial" w:hAnsi="Arial"/>
                <w:sz w:val="20"/>
                <w:szCs w:val="20"/>
                <w:color w:val="auto"/>
              </w:rPr>
              <w:t xml:space="preserve">Share-based compensation costs </w:t>
            </w:r>
            <w:r>
              <w:rPr>
                <w:rFonts w:ascii="Arial" w:cs="Arial" w:eastAsia="Arial" w:hAnsi="Arial"/>
                <w:sz w:val="25"/>
                <w:szCs w:val="25"/>
                <w:color w:val="auto"/>
                <w:vertAlign w:val="superscript"/>
              </w:rPr>
              <w:t>(1)</w:t>
            </w:r>
          </w:p>
        </w:tc>
        <w:tc>
          <w:tcPr>
            <w:tcW w:w="1500" w:type="dxa"/>
            <w:vAlign w:val="bottom"/>
          </w:tcPr>
          <w:p>
            <w:pPr>
              <w:jc w:val="right"/>
              <w:spacing w:after="0"/>
              <w:rPr>
                <w:sz w:val="20"/>
                <w:szCs w:val="20"/>
                <w:color w:val="auto"/>
              </w:rPr>
            </w:pPr>
            <w:r>
              <w:rPr>
                <w:rFonts w:ascii="Arial" w:cs="Arial" w:eastAsia="Arial" w:hAnsi="Arial"/>
                <w:sz w:val="20"/>
                <w:szCs w:val="20"/>
                <w:color w:val="auto"/>
              </w:rPr>
              <w:t>—</w:t>
            </w:r>
          </w:p>
        </w:tc>
        <w:tc>
          <w:tcPr>
            <w:tcW w:w="1420" w:type="dxa"/>
            <w:vAlign w:val="bottom"/>
          </w:tcPr>
          <w:p>
            <w:pPr>
              <w:jc w:val="right"/>
              <w:ind w:right="81"/>
              <w:spacing w:after="0"/>
              <w:rPr>
                <w:sz w:val="20"/>
                <w:szCs w:val="20"/>
                <w:color w:val="auto"/>
              </w:rPr>
            </w:pPr>
            <w:r>
              <w:rPr>
                <w:rFonts w:ascii="Arial" w:cs="Arial" w:eastAsia="Arial" w:hAnsi="Arial"/>
                <w:sz w:val="20"/>
                <w:szCs w:val="20"/>
                <w:color w:val="auto"/>
              </w:rPr>
              <w:t>1,142</w:t>
            </w:r>
          </w:p>
        </w:tc>
        <w:tc>
          <w:tcPr>
            <w:tcW w:w="116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260" w:type="dxa"/>
            <w:vAlign w:val="bottom"/>
          </w:tcPr>
          <w:p>
            <w:pPr>
              <w:jc w:val="right"/>
              <w:spacing w:after="0"/>
              <w:rPr>
                <w:sz w:val="20"/>
                <w:szCs w:val="20"/>
                <w:color w:val="auto"/>
              </w:rPr>
            </w:pPr>
            <w:r>
              <w:rPr>
                <w:rFonts w:ascii="Arial" w:cs="Arial" w:eastAsia="Arial" w:hAnsi="Arial"/>
                <w:sz w:val="20"/>
                <w:szCs w:val="20"/>
                <w:color w:val="auto"/>
              </w:rPr>
              <w:t>—</w:t>
            </w:r>
          </w:p>
        </w:tc>
        <w:tc>
          <w:tcPr>
            <w:tcW w:w="1560" w:type="dxa"/>
            <w:vAlign w:val="bottom"/>
          </w:tcPr>
          <w:p>
            <w:pPr>
              <w:jc w:val="right"/>
              <w:ind w:right="1"/>
              <w:spacing w:after="0"/>
              <w:rPr>
                <w:sz w:val="20"/>
                <w:szCs w:val="20"/>
                <w:color w:val="auto"/>
              </w:rPr>
            </w:pPr>
            <w:r>
              <w:rPr>
                <w:rFonts w:ascii="Arial" w:cs="Arial" w:eastAsia="Arial" w:hAnsi="Arial"/>
                <w:sz w:val="20"/>
                <w:szCs w:val="20"/>
                <w:color w:val="auto"/>
              </w:rPr>
              <w:t>1,142</w:t>
            </w:r>
          </w:p>
        </w:tc>
        <w:tc>
          <w:tcPr>
            <w:tcW w:w="0" w:type="dxa"/>
            <w:vAlign w:val="bottom"/>
          </w:tcPr>
          <w:p>
            <w:pPr>
              <w:spacing w:after="0"/>
              <w:rPr>
                <w:sz w:val="1"/>
                <w:szCs w:val="1"/>
                <w:color w:val="auto"/>
              </w:rPr>
            </w:pPr>
          </w:p>
        </w:tc>
      </w:tr>
      <w:tr>
        <w:trPr>
          <w:trHeight w:val="430"/>
        </w:trPr>
        <w:tc>
          <w:tcPr>
            <w:tcW w:w="3780" w:type="dxa"/>
            <w:vAlign w:val="bottom"/>
          </w:tcPr>
          <w:p>
            <w:pPr>
              <w:ind w:left="20"/>
              <w:spacing w:after="0"/>
              <w:rPr>
                <w:sz w:val="20"/>
                <w:szCs w:val="20"/>
                <w:color w:val="auto"/>
              </w:rPr>
            </w:pPr>
            <w:r>
              <w:rPr>
                <w:rFonts w:ascii="Arial" w:cs="Arial" w:eastAsia="Arial" w:hAnsi="Arial"/>
                <w:sz w:val="20"/>
                <w:szCs w:val="20"/>
                <w:color w:val="auto"/>
              </w:rPr>
              <w:t>Issuance of new shares under LTI plans</w:t>
            </w:r>
          </w:p>
        </w:tc>
        <w:tc>
          <w:tcPr>
            <w:tcW w:w="1500" w:type="dxa"/>
            <w:vAlign w:val="bottom"/>
          </w:tcPr>
          <w:p>
            <w:pPr>
              <w:jc w:val="right"/>
              <w:spacing w:after="0"/>
              <w:rPr>
                <w:sz w:val="20"/>
                <w:szCs w:val="20"/>
                <w:color w:val="auto"/>
              </w:rPr>
            </w:pPr>
            <w:r>
              <w:rPr>
                <w:rFonts w:ascii="Arial" w:cs="Arial" w:eastAsia="Arial" w:hAnsi="Arial"/>
                <w:sz w:val="20"/>
                <w:szCs w:val="20"/>
                <w:color w:val="auto"/>
              </w:rPr>
              <w:t>1</w:t>
            </w:r>
          </w:p>
        </w:tc>
        <w:tc>
          <w:tcPr>
            <w:tcW w:w="142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16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260" w:type="dxa"/>
            <w:vAlign w:val="bottom"/>
          </w:tcPr>
          <w:p>
            <w:pPr>
              <w:jc w:val="right"/>
              <w:spacing w:after="0"/>
              <w:rPr>
                <w:sz w:val="20"/>
                <w:szCs w:val="20"/>
                <w:color w:val="auto"/>
              </w:rPr>
            </w:pPr>
            <w:r>
              <w:rPr>
                <w:rFonts w:ascii="Arial" w:cs="Arial" w:eastAsia="Arial" w:hAnsi="Arial"/>
                <w:sz w:val="20"/>
                <w:szCs w:val="20"/>
                <w:color w:val="auto"/>
              </w:rPr>
              <w:t>—</w:t>
            </w:r>
          </w:p>
        </w:tc>
        <w:tc>
          <w:tcPr>
            <w:tcW w:w="1560" w:type="dxa"/>
            <w:vAlign w:val="bottom"/>
          </w:tcPr>
          <w:p>
            <w:pPr>
              <w:jc w:val="right"/>
              <w:ind w:right="1"/>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513"/>
        </w:trPr>
        <w:tc>
          <w:tcPr>
            <w:tcW w:w="3780" w:type="dxa"/>
            <w:vAlign w:val="bottom"/>
          </w:tcPr>
          <w:p>
            <w:pPr>
              <w:ind w:left="20"/>
              <w:spacing w:after="0"/>
              <w:rPr>
                <w:sz w:val="20"/>
                <w:szCs w:val="20"/>
                <w:color w:val="auto"/>
              </w:rPr>
            </w:pPr>
            <w:r>
              <w:rPr>
                <w:rFonts w:ascii="Arial" w:cs="Arial" w:eastAsia="Arial" w:hAnsi="Arial"/>
                <w:sz w:val="20"/>
                <w:szCs w:val="20"/>
                <w:color w:val="auto"/>
              </w:rPr>
              <w:t>At March 31, 2025</w:t>
            </w:r>
          </w:p>
        </w:tc>
        <w:tc>
          <w:tcPr>
            <w:tcW w:w="1500" w:type="dxa"/>
            <w:vAlign w:val="bottom"/>
          </w:tcPr>
          <w:p>
            <w:pPr>
              <w:jc w:val="right"/>
              <w:spacing w:after="0"/>
              <w:rPr>
                <w:sz w:val="20"/>
                <w:szCs w:val="20"/>
                <w:color w:val="auto"/>
              </w:rPr>
            </w:pPr>
            <w:r>
              <w:rPr>
                <w:rFonts w:ascii="Arial" w:cs="Arial" w:eastAsia="Arial" w:hAnsi="Arial"/>
                <w:sz w:val="20"/>
                <w:szCs w:val="20"/>
                <w:color w:val="auto"/>
              </w:rPr>
              <w:t>4,037</w:t>
            </w:r>
          </w:p>
        </w:tc>
        <w:tc>
          <w:tcPr>
            <w:tcW w:w="1420" w:type="dxa"/>
            <w:vAlign w:val="bottom"/>
          </w:tcPr>
          <w:p>
            <w:pPr>
              <w:jc w:val="right"/>
              <w:ind w:right="81"/>
              <w:spacing w:after="0"/>
              <w:rPr>
                <w:sz w:val="20"/>
                <w:szCs w:val="20"/>
                <w:color w:val="auto"/>
              </w:rPr>
            </w:pPr>
            <w:r>
              <w:rPr>
                <w:rFonts w:ascii="Arial" w:cs="Arial" w:eastAsia="Arial" w:hAnsi="Arial"/>
                <w:sz w:val="20"/>
                <w:szCs w:val="20"/>
                <w:color w:val="auto"/>
              </w:rPr>
              <w:t>386,017</w:t>
            </w:r>
          </w:p>
        </w:tc>
        <w:tc>
          <w:tcPr>
            <w:tcW w:w="1160" w:type="dxa"/>
            <w:vAlign w:val="bottom"/>
          </w:tcPr>
          <w:p>
            <w:pPr>
              <w:jc w:val="right"/>
              <w:ind w:right="1"/>
              <w:spacing w:after="0"/>
              <w:rPr>
                <w:sz w:val="20"/>
                <w:szCs w:val="20"/>
                <w:color w:val="auto"/>
              </w:rPr>
            </w:pPr>
            <w:r>
              <w:rPr>
                <w:rFonts w:ascii="Arial" w:cs="Arial" w:eastAsia="Arial" w:hAnsi="Arial"/>
                <w:sz w:val="20"/>
                <w:szCs w:val="20"/>
                <w:color w:val="auto"/>
              </w:rPr>
              <w:t>(981)</w:t>
            </w:r>
          </w:p>
        </w:tc>
        <w:tc>
          <w:tcPr>
            <w:tcW w:w="1260" w:type="dxa"/>
            <w:vAlign w:val="bottom"/>
          </w:tcPr>
          <w:p>
            <w:pPr>
              <w:jc w:val="right"/>
              <w:spacing w:after="0"/>
              <w:rPr>
                <w:sz w:val="20"/>
                <w:szCs w:val="20"/>
                <w:color w:val="auto"/>
              </w:rPr>
            </w:pPr>
            <w:r>
              <w:rPr>
                <w:rFonts w:ascii="Arial" w:cs="Arial" w:eastAsia="Arial" w:hAnsi="Arial"/>
                <w:sz w:val="20"/>
                <w:szCs w:val="20"/>
                <w:color w:val="auto"/>
              </w:rPr>
              <w:t>(260,880)</w:t>
            </w:r>
          </w:p>
        </w:tc>
        <w:tc>
          <w:tcPr>
            <w:tcW w:w="1560" w:type="dxa"/>
            <w:vAlign w:val="bottom"/>
          </w:tcPr>
          <w:p>
            <w:pPr>
              <w:jc w:val="right"/>
              <w:ind w:right="1"/>
              <w:spacing w:after="0"/>
              <w:rPr>
                <w:sz w:val="20"/>
                <w:szCs w:val="20"/>
                <w:color w:val="auto"/>
              </w:rPr>
            </w:pPr>
            <w:r>
              <w:rPr>
                <w:rFonts w:ascii="Arial" w:cs="Arial" w:eastAsia="Arial" w:hAnsi="Arial"/>
                <w:sz w:val="20"/>
                <w:szCs w:val="20"/>
                <w:color w:val="auto"/>
              </w:rPr>
              <w:t>128,193</w:t>
            </w:r>
          </w:p>
        </w:tc>
        <w:tc>
          <w:tcPr>
            <w:tcW w:w="0" w:type="dxa"/>
            <w:vAlign w:val="bottom"/>
          </w:tcPr>
          <w:p>
            <w:pPr>
              <w:spacing w:after="0"/>
              <w:rPr>
                <w:sz w:val="1"/>
                <w:szCs w:val="1"/>
                <w:color w:val="auto"/>
              </w:rPr>
            </w:pPr>
          </w:p>
        </w:tc>
      </w:tr>
      <w:tr>
        <w:trPr>
          <w:trHeight w:val="246"/>
        </w:trPr>
        <w:tc>
          <w:tcPr>
            <w:tcW w:w="3780" w:type="dxa"/>
            <w:vAlign w:val="bottom"/>
            <w:tcBorders>
              <w:bottom w:val="single" w:sz="8" w:color="BC2327"/>
            </w:tcBorders>
          </w:tcPr>
          <w:p>
            <w:pPr>
              <w:spacing w:after="0"/>
              <w:rPr>
                <w:sz w:val="21"/>
                <w:szCs w:val="21"/>
                <w:color w:val="auto"/>
              </w:rPr>
            </w:pPr>
          </w:p>
        </w:tc>
        <w:tc>
          <w:tcPr>
            <w:tcW w:w="1500" w:type="dxa"/>
            <w:vAlign w:val="bottom"/>
            <w:tcBorders>
              <w:bottom w:val="single" w:sz="8" w:color="BC2327"/>
            </w:tcBorders>
          </w:tcPr>
          <w:p>
            <w:pPr>
              <w:spacing w:after="0"/>
              <w:rPr>
                <w:sz w:val="21"/>
                <w:szCs w:val="21"/>
                <w:color w:val="auto"/>
              </w:rPr>
            </w:pPr>
          </w:p>
        </w:tc>
        <w:tc>
          <w:tcPr>
            <w:tcW w:w="1420" w:type="dxa"/>
            <w:vAlign w:val="bottom"/>
            <w:tcBorders>
              <w:bottom w:val="single" w:sz="8" w:color="BC2327"/>
            </w:tcBorders>
          </w:tcPr>
          <w:p>
            <w:pPr>
              <w:spacing w:after="0"/>
              <w:rPr>
                <w:sz w:val="21"/>
                <w:szCs w:val="21"/>
                <w:color w:val="auto"/>
              </w:rPr>
            </w:pPr>
          </w:p>
        </w:tc>
        <w:tc>
          <w:tcPr>
            <w:tcW w:w="1160" w:type="dxa"/>
            <w:vAlign w:val="bottom"/>
            <w:tcBorders>
              <w:bottom w:val="single" w:sz="8" w:color="BC2327"/>
            </w:tcBorders>
          </w:tcPr>
          <w:p>
            <w:pPr>
              <w:spacing w:after="0"/>
              <w:rPr>
                <w:sz w:val="21"/>
                <w:szCs w:val="21"/>
                <w:color w:val="auto"/>
              </w:rPr>
            </w:pPr>
          </w:p>
        </w:tc>
        <w:tc>
          <w:tcPr>
            <w:tcW w:w="1260" w:type="dxa"/>
            <w:vAlign w:val="bottom"/>
            <w:tcBorders>
              <w:bottom w:val="single" w:sz="8" w:color="BC2327"/>
            </w:tcBorders>
          </w:tcPr>
          <w:p>
            <w:pPr>
              <w:spacing w:after="0"/>
              <w:rPr>
                <w:sz w:val="21"/>
                <w:szCs w:val="21"/>
                <w:color w:val="auto"/>
              </w:rPr>
            </w:pPr>
          </w:p>
        </w:tc>
        <w:tc>
          <w:tcPr>
            <w:tcW w:w="1560" w:type="dxa"/>
            <w:vAlign w:val="bottom"/>
            <w:tcBorders>
              <w:bottom w:val="single" w:sz="8" w:color="BC2327"/>
            </w:tcBorders>
          </w:tcPr>
          <w:p>
            <w:pPr>
              <w:spacing w:after="0"/>
              <w:rPr>
                <w:sz w:val="21"/>
                <w:szCs w:val="21"/>
                <w:color w:val="auto"/>
              </w:rPr>
            </w:pPr>
          </w:p>
        </w:tc>
        <w:tc>
          <w:tcPr>
            <w:tcW w:w="0" w:type="dxa"/>
            <w:vAlign w:val="bottom"/>
          </w:tcPr>
          <w:p>
            <w:pPr>
              <w:spacing w:after="0"/>
              <w:rPr>
                <w:sz w:val="1"/>
                <w:szCs w:val="1"/>
                <w:color w:val="auto"/>
              </w:rPr>
            </w:pPr>
          </w:p>
        </w:tc>
      </w:tr>
      <w:tr>
        <w:trPr>
          <w:trHeight w:val="517"/>
        </w:trPr>
        <w:tc>
          <w:tcPr>
            <w:tcW w:w="3780" w:type="dxa"/>
            <w:vAlign w:val="bottom"/>
          </w:tcPr>
          <w:p>
            <w:pPr>
              <w:ind w:left="20"/>
              <w:spacing w:after="0"/>
              <w:rPr>
                <w:sz w:val="20"/>
                <w:szCs w:val="20"/>
                <w:color w:val="auto"/>
              </w:rPr>
            </w:pPr>
            <w:r>
              <w:rPr>
                <w:rFonts w:ascii="Arial" w:cs="Arial" w:eastAsia="Arial" w:hAnsi="Arial"/>
                <w:sz w:val="20"/>
                <w:szCs w:val="20"/>
                <w:color w:val="auto"/>
              </w:rPr>
              <w:t>At January 1, 2026</w:t>
            </w:r>
          </w:p>
        </w:tc>
        <w:tc>
          <w:tcPr>
            <w:tcW w:w="1500" w:type="dxa"/>
            <w:vAlign w:val="bottom"/>
          </w:tcPr>
          <w:p>
            <w:pPr>
              <w:jc w:val="right"/>
              <w:spacing w:after="0"/>
              <w:rPr>
                <w:sz w:val="20"/>
                <w:szCs w:val="20"/>
                <w:color w:val="auto"/>
              </w:rPr>
            </w:pPr>
            <w:r>
              <w:rPr>
                <w:rFonts w:ascii="Arial" w:cs="Arial" w:eastAsia="Arial" w:hAnsi="Arial"/>
                <w:sz w:val="20"/>
                <w:szCs w:val="20"/>
                <w:color w:val="auto"/>
              </w:rPr>
              <w:t>4,037</w:t>
            </w:r>
          </w:p>
        </w:tc>
        <w:tc>
          <w:tcPr>
            <w:tcW w:w="1420" w:type="dxa"/>
            <w:vAlign w:val="bottom"/>
          </w:tcPr>
          <w:p>
            <w:pPr>
              <w:jc w:val="right"/>
              <w:ind w:right="81"/>
              <w:spacing w:after="0"/>
              <w:rPr>
                <w:sz w:val="20"/>
                <w:szCs w:val="20"/>
                <w:color w:val="auto"/>
              </w:rPr>
            </w:pPr>
            <w:r>
              <w:rPr>
                <w:rFonts w:ascii="Arial" w:cs="Arial" w:eastAsia="Arial" w:hAnsi="Arial"/>
                <w:sz w:val="20"/>
                <w:szCs w:val="20"/>
                <w:color w:val="auto"/>
              </w:rPr>
              <w:t>389,179</w:t>
            </w:r>
          </w:p>
        </w:tc>
        <w:tc>
          <w:tcPr>
            <w:tcW w:w="1160" w:type="dxa"/>
            <w:vAlign w:val="bottom"/>
          </w:tcPr>
          <w:p>
            <w:pPr>
              <w:jc w:val="right"/>
              <w:ind w:right="1"/>
              <w:spacing w:after="0"/>
              <w:rPr>
                <w:sz w:val="20"/>
                <w:szCs w:val="20"/>
                <w:color w:val="auto"/>
              </w:rPr>
            </w:pPr>
            <w:r>
              <w:rPr>
                <w:rFonts w:ascii="Arial" w:cs="Arial" w:eastAsia="Arial" w:hAnsi="Arial"/>
                <w:sz w:val="20"/>
                <w:szCs w:val="20"/>
                <w:color w:val="auto"/>
              </w:rPr>
              <w:t>(1,129)</w:t>
            </w:r>
          </w:p>
        </w:tc>
        <w:tc>
          <w:tcPr>
            <w:tcW w:w="1260" w:type="dxa"/>
            <w:vAlign w:val="bottom"/>
          </w:tcPr>
          <w:p>
            <w:pPr>
              <w:jc w:val="right"/>
              <w:spacing w:after="0"/>
              <w:rPr>
                <w:sz w:val="20"/>
                <w:szCs w:val="20"/>
                <w:color w:val="auto"/>
              </w:rPr>
            </w:pPr>
            <w:r>
              <w:rPr>
                <w:rFonts w:ascii="Arial" w:cs="Arial" w:eastAsia="Arial" w:hAnsi="Arial"/>
                <w:sz w:val="20"/>
                <w:szCs w:val="20"/>
                <w:color w:val="auto"/>
              </w:rPr>
              <w:t>(311,753)</w:t>
            </w:r>
          </w:p>
        </w:tc>
        <w:tc>
          <w:tcPr>
            <w:tcW w:w="1560" w:type="dxa"/>
            <w:vAlign w:val="bottom"/>
          </w:tcPr>
          <w:p>
            <w:pPr>
              <w:jc w:val="right"/>
              <w:ind w:right="1"/>
              <w:spacing w:after="0"/>
              <w:rPr>
                <w:sz w:val="20"/>
                <w:szCs w:val="20"/>
                <w:color w:val="auto"/>
              </w:rPr>
            </w:pPr>
            <w:r>
              <w:rPr>
                <w:rFonts w:ascii="Arial" w:cs="Arial" w:eastAsia="Arial" w:hAnsi="Arial"/>
                <w:sz w:val="20"/>
                <w:szCs w:val="20"/>
                <w:color w:val="auto"/>
              </w:rPr>
              <w:t>80,334</w:t>
            </w:r>
          </w:p>
        </w:tc>
        <w:tc>
          <w:tcPr>
            <w:tcW w:w="0" w:type="dxa"/>
            <w:vAlign w:val="bottom"/>
          </w:tcPr>
          <w:p>
            <w:pPr>
              <w:spacing w:after="0"/>
              <w:rPr>
                <w:sz w:val="1"/>
                <w:szCs w:val="1"/>
                <w:color w:val="auto"/>
              </w:rPr>
            </w:pPr>
          </w:p>
        </w:tc>
      </w:tr>
      <w:tr>
        <w:trPr>
          <w:trHeight w:val="246"/>
        </w:trPr>
        <w:tc>
          <w:tcPr>
            <w:tcW w:w="3780" w:type="dxa"/>
            <w:vAlign w:val="bottom"/>
            <w:tcBorders>
              <w:bottom w:val="single" w:sz="8" w:color="BC2327"/>
            </w:tcBorders>
          </w:tcPr>
          <w:p>
            <w:pPr>
              <w:spacing w:after="0"/>
              <w:rPr>
                <w:sz w:val="21"/>
                <w:szCs w:val="21"/>
                <w:color w:val="auto"/>
              </w:rPr>
            </w:pPr>
          </w:p>
        </w:tc>
        <w:tc>
          <w:tcPr>
            <w:tcW w:w="1500" w:type="dxa"/>
            <w:vAlign w:val="bottom"/>
            <w:tcBorders>
              <w:bottom w:val="single" w:sz="8" w:color="BC2327"/>
            </w:tcBorders>
          </w:tcPr>
          <w:p>
            <w:pPr>
              <w:spacing w:after="0"/>
              <w:rPr>
                <w:sz w:val="21"/>
                <w:szCs w:val="21"/>
                <w:color w:val="auto"/>
              </w:rPr>
            </w:pPr>
          </w:p>
        </w:tc>
        <w:tc>
          <w:tcPr>
            <w:tcW w:w="1420" w:type="dxa"/>
            <w:vAlign w:val="bottom"/>
            <w:tcBorders>
              <w:bottom w:val="single" w:sz="8" w:color="BC2327"/>
            </w:tcBorders>
          </w:tcPr>
          <w:p>
            <w:pPr>
              <w:spacing w:after="0"/>
              <w:rPr>
                <w:sz w:val="21"/>
                <w:szCs w:val="21"/>
                <w:color w:val="auto"/>
              </w:rPr>
            </w:pPr>
          </w:p>
        </w:tc>
        <w:tc>
          <w:tcPr>
            <w:tcW w:w="1160" w:type="dxa"/>
            <w:vAlign w:val="bottom"/>
            <w:tcBorders>
              <w:bottom w:val="single" w:sz="8" w:color="BC2327"/>
            </w:tcBorders>
          </w:tcPr>
          <w:p>
            <w:pPr>
              <w:spacing w:after="0"/>
              <w:rPr>
                <w:sz w:val="21"/>
                <w:szCs w:val="21"/>
                <w:color w:val="auto"/>
              </w:rPr>
            </w:pPr>
          </w:p>
        </w:tc>
        <w:tc>
          <w:tcPr>
            <w:tcW w:w="1260" w:type="dxa"/>
            <w:vAlign w:val="bottom"/>
            <w:tcBorders>
              <w:bottom w:val="single" w:sz="8" w:color="BC2327"/>
            </w:tcBorders>
          </w:tcPr>
          <w:p>
            <w:pPr>
              <w:spacing w:after="0"/>
              <w:rPr>
                <w:sz w:val="21"/>
                <w:szCs w:val="21"/>
                <w:color w:val="auto"/>
              </w:rPr>
            </w:pPr>
          </w:p>
        </w:tc>
        <w:tc>
          <w:tcPr>
            <w:tcW w:w="1560" w:type="dxa"/>
            <w:vAlign w:val="bottom"/>
            <w:tcBorders>
              <w:bottom w:val="single" w:sz="8" w:color="BC2327"/>
            </w:tcBorders>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3780" w:type="dxa"/>
            <w:vAlign w:val="bottom"/>
          </w:tcPr>
          <w:p>
            <w:pPr>
              <w:ind w:left="20"/>
              <w:spacing w:after="0"/>
              <w:rPr>
                <w:sz w:val="20"/>
                <w:szCs w:val="20"/>
                <w:color w:val="auto"/>
              </w:rPr>
            </w:pPr>
            <w:r>
              <w:rPr>
                <w:rFonts w:ascii="Arial" w:cs="Arial" w:eastAsia="Arial" w:hAnsi="Arial"/>
                <w:sz w:val="20"/>
                <w:szCs w:val="20"/>
                <w:color w:val="auto"/>
              </w:rPr>
              <w:t>Net result</w:t>
            </w:r>
          </w:p>
        </w:tc>
        <w:tc>
          <w:tcPr>
            <w:tcW w:w="1500" w:type="dxa"/>
            <w:vAlign w:val="bottom"/>
          </w:tcPr>
          <w:p>
            <w:pPr>
              <w:jc w:val="right"/>
              <w:spacing w:after="0"/>
              <w:rPr>
                <w:sz w:val="20"/>
                <w:szCs w:val="20"/>
                <w:color w:val="auto"/>
              </w:rPr>
            </w:pPr>
            <w:r>
              <w:rPr>
                <w:rFonts w:ascii="Arial" w:cs="Arial" w:eastAsia="Arial" w:hAnsi="Arial"/>
                <w:sz w:val="20"/>
                <w:szCs w:val="20"/>
                <w:color w:val="auto"/>
              </w:rPr>
              <w:t>—</w:t>
            </w:r>
          </w:p>
        </w:tc>
        <w:tc>
          <w:tcPr>
            <w:tcW w:w="142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16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260" w:type="dxa"/>
            <w:vAlign w:val="bottom"/>
          </w:tcPr>
          <w:p>
            <w:pPr>
              <w:jc w:val="right"/>
              <w:spacing w:after="0"/>
              <w:rPr>
                <w:sz w:val="20"/>
                <w:szCs w:val="20"/>
                <w:color w:val="auto"/>
              </w:rPr>
            </w:pPr>
            <w:r>
              <w:rPr>
                <w:rFonts w:ascii="Arial" w:cs="Arial" w:eastAsia="Arial" w:hAnsi="Arial"/>
                <w:sz w:val="20"/>
                <w:szCs w:val="20"/>
                <w:color w:val="auto"/>
              </w:rPr>
              <w:t>(13,144)</w:t>
            </w:r>
          </w:p>
        </w:tc>
        <w:tc>
          <w:tcPr>
            <w:tcW w:w="1560" w:type="dxa"/>
            <w:vAlign w:val="bottom"/>
          </w:tcPr>
          <w:p>
            <w:pPr>
              <w:jc w:val="right"/>
              <w:spacing w:after="0"/>
              <w:rPr>
                <w:sz w:val="20"/>
                <w:szCs w:val="20"/>
                <w:color w:val="auto"/>
              </w:rPr>
            </w:pPr>
            <w:r>
              <w:rPr>
                <w:rFonts w:ascii="Arial" w:cs="Arial" w:eastAsia="Arial" w:hAnsi="Arial"/>
                <w:sz w:val="20"/>
                <w:szCs w:val="20"/>
                <w:color w:val="auto"/>
              </w:rPr>
              <w:t>(13,144)</w:t>
            </w:r>
          </w:p>
        </w:tc>
        <w:tc>
          <w:tcPr>
            <w:tcW w:w="0" w:type="dxa"/>
            <w:vAlign w:val="bottom"/>
          </w:tcPr>
          <w:p>
            <w:pPr>
              <w:spacing w:after="0"/>
              <w:rPr>
                <w:sz w:val="1"/>
                <w:szCs w:val="1"/>
                <w:color w:val="auto"/>
              </w:rPr>
            </w:pPr>
          </w:p>
        </w:tc>
      </w:tr>
      <w:tr>
        <w:trPr>
          <w:trHeight w:val="513"/>
        </w:trPr>
        <w:tc>
          <w:tcPr>
            <w:tcW w:w="3780" w:type="dxa"/>
            <w:vAlign w:val="bottom"/>
          </w:tcPr>
          <w:p>
            <w:pPr>
              <w:ind w:left="20"/>
              <w:spacing w:after="0"/>
              <w:rPr>
                <w:sz w:val="20"/>
                <w:szCs w:val="20"/>
                <w:color w:val="auto"/>
              </w:rPr>
            </w:pPr>
            <w:r>
              <w:rPr>
                <w:rFonts w:ascii="Arial" w:cs="Arial" w:eastAsia="Arial" w:hAnsi="Arial"/>
                <w:sz w:val="20"/>
                <w:szCs w:val="20"/>
                <w:color w:val="auto"/>
              </w:rPr>
              <w:t>Remeasurement of net pension liabilities</w:t>
            </w:r>
          </w:p>
        </w:tc>
        <w:tc>
          <w:tcPr>
            <w:tcW w:w="1500" w:type="dxa"/>
            <w:vAlign w:val="bottom"/>
          </w:tcPr>
          <w:p>
            <w:pPr>
              <w:jc w:val="right"/>
              <w:spacing w:after="0"/>
              <w:rPr>
                <w:sz w:val="20"/>
                <w:szCs w:val="20"/>
                <w:color w:val="auto"/>
              </w:rPr>
            </w:pPr>
            <w:r>
              <w:rPr>
                <w:rFonts w:ascii="Arial" w:cs="Arial" w:eastAsia="Arial" w:hAnsi="Arial"/>
                <w:sz w:val="20"/>
                <w:szCs w:val="20"/>
                <w:color w:val="auto"/>
              </w:rPr>
              <w:t>—</w:t>
            </w:r>
          </w:p>
        </w:tc>
        <w:tc>
          <w:tcPr>
            <w:tcW w:w="142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16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260" w:type="dxa"/>
            <w:vAlign w:val="bottom"/>
          </w:tcPr>
          <w:p>
            <w:pPr>
              <w:jc w:val="right"/>
              <w:spacing w:after="0"/>
              <w:rPr>
                <w:sz w:val="20"/>
                <w:szCs w:val="20"/>
                <w:color w:val="auto"/>
              </w:rPr>
            </w:pPr>
            <w:r>
              <w:rPr>
                <w:rFonts w:ascii="Arial" w:cs="Arial" w:eastAsia="Arial" w:hAnsi="Arial"/>
                <w:sz w:val="20"/>
                <w:szCs w:val="20"/>
                <w:color w:val="auto"/>
              </w:rPr>
              <w:t>267</w:t>
            </w:r>
          </w:p>
        </w:tc>
        <w:tc>
          <w:tcPr>
            <w:tcW w:w="1560" w:type="dxa"/>
            <w:vAlign w:val="bottom"/>
          </w:tcPr>
          <w:p>
            <w:pPr>
              <w:jc w:val="right"/>
              <w:ind w:right="1"/>
              <w:spacing w:after="0"/>
              <w:rPr>
                <w:sz w:val="20"/>
                <w:szCs w:val="20"/>
                <w:color w:val="auto"/>
              </w:rPr>
            </w:pPr>
            <w:r>
              <w:rPr>
                <w:rFonts w:ascii="Arial" w:cs="Arial" w:eastAsia="Arial" w:hAnsi="Arial"/>
                <w:sz w:val="20"/>
                <w:szCs w:val="20"/>
                <w:color w:val="auto"/>
              </w:rPr>
              <w:t>267</w:t>
            </w:r>
          </w:p>
        </w:tc>
        <w:tc>
          <w:tcPr>
            <w:tcW w:w="0" w:type="dxa"/>
            <w:vAlign w:val="bottom"/>
          </w:tcPr>
          <w:p>
            <w:pPr>
              <w:spacing w:after="0"/>
              <w:rPr>
                <w:sz w:val="1"/>
                <w:szCs w:val="1"/>
                <w:color w:val="auto"/>
              </w:rPr>
            </w:pPr>
          </w:p>
        </w:tc>
      </w:tr>
      <w:tr>
        <w:trPr>
          <w:trHeight w:val="495"/>
        </w:trPr>
        <w:tc>
          <w:tcPr>
            <w:tcW w:w="3780" w:type="dxa"/>
            <w:vAlign w:val="bottom"/>
          </w:tcPr>
          <w:p>
            <w:pPr>
              <w:ind w:left="20"/>
              <w:spacing w:after="0"/>
              <w:rPr>
                <w:sz w:val="20"/>
                <w:szCs w:val="20"/>
                <w:color w:val="auto"/>
              </w:rPr>
            </w:pPr>
            <w:r>
              <w:rPr>
                <w:rFonts w:ascii="Arial" w:cs="Arial" w:eastAsia="Arial" w:hAnsi="Arial"/>
                <w:sz w:val="20"/>
                <w:szCs w:val="20"/>
                <w:color w:val="auto"/>
              </w:rPr>
              <w:t>Exchange differences on translating</w:t>
            </w:r>
          </w:p>
        </w:tc>
        <w:tc>
          <w:tcPr>
            <w:tcW w:w="150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1420" w:type="dxa"/>
            <w:vAlign w:val="bottom"/>
            <w:vMerge w:val="restart"/>
          </w:tcPr>
          <w:p>
            <w:pPr>
              <w:jc w:val="right"/>
              <w:ind w:right="81"/>
              <w:spacing w:after="0"/>
              <w:rPr>
                <w:sz w:val="20"/>
                <w:szCs w:val="20"/>
                <w:color w:val="auto"/>
              </w:rPr>
            </w:pPr>
            <w:r>
              <w:rPr>
                <w:rFonts w:ascii="Arial" w:cs="Arial" w:eastAsia="Arial" w:hAnsi="Arial"/>
                <w:sz w:val="20"/>
                <w:szCs w:val="20"/>
                <w:color w:val="auto"/>
              </w:rPr>
              <w:t>—</w:t>
            </w:r>
          </w:p>
        </w:tc>
        <w:tc>
          <w:tcPr>
            <w:tcW w:w="1160" w:type="dxa"/>
            <w:vAlign w:val="bottom"/>
            <w:vMerge w:val="restart"/>
          </w:tcPr>
          <w:p>
            <w:pPr>
              <w:jc w:val="right"/>
              <w:ind w:right="61"/>
              <w:spacing w:after="0"/>
              <w:rPr>
                <w:sz w:val="20"/>
                <w:szCs w:val="20"/>
                <w:color w:val="auto"/>
              </w:rPr>
            </w:pPr>
            <w:r>
              <w:rPr>
                <w:rFonts w:ascii="Arial" w:cs="Arial" w:eastAsia="Arial" w:hAnsi="Arial"/>
                <w:sz w:val="20"/>
                <w:szCs w:val="20"/>
                <w:color w:val="auto"/>
              </w:rPr>
              <w:t>—</w:t>
            </w:r>
          </w:p>
        </w:tc>
        <w:tc>
          <w:tcPr>
            <w:tcW w:w="1260" w:type="dxa"/>
            <w:vAlign w:val="bottom"/>
            <w:vMerge w:val="restart"/>
          </w:tcPr>
          <w:p>
            <w:pPr>
              <w:jc w:val="right"/>
              <w:spacing w:after="0"/>
              <w:rPr>
                <w:sz w:val="20"/>
                <w:szCs w:val="20"/>
                <w:color w:val="auto"/>
              </w:rPr>
            </w:pPr>
            <w:r>
              <w:rPr>
                <w:rFonts w:ascii="Arial" w:cs="Arial" w:eastAsia="Arial" w:hAnsi="Arial"/>
                <w:sz w:val="20"/>
                <w:szCs w:val="20"/>
                <w:color w:val="auto"/>
              </w:rPr>
              <w:t>4</w:t>
            </w:r>
          </w:p>
        </w:tc>
        <w:tc>
          <w:tcPr>
            <w:tcW w:w="1560" w:type="dxa"/>
            <w:vAlign w:val="bottom"/>
            <w:vMerge w:val="restart"/>
          </w:tcPr>
          <w:p>
            <w:pPr>
              <w:jc w:val="right"/>
              <w:ind w:right="1"/>
              <w:spacing w:after="0"/>
              <w:rPr>
                <w:sz w:val="20"/>
                <w:szCs w:val="20"/>
                <w:color w:val="auto"/>
              </w:rPr>
            </w:pPr>
            <w:r>
              <w:rPr>
                <w:rFonts w:ascii="Arial" w:cs="Arial" w:eastAsia="Arial" w:hAnsi="Arial"/>
                <w:sz w:val="20"/>
                <w:szCs w:val="20"/>
                <w:color w:val="auto"/>
              </w:rPr>
              <w:t>4</w:t>
            </w:r>
          </w:p>
        </w:tc>
        <w:tc>
          <w:tcPr>
            <w:tcW w:w="0" w:type="dxa"/>
            <w:vAlign w:val="bottom"/>
          </w:tcPr>
          <w:p>
            <w:pPr>
              <w:spacing w:after="0"/>
              <w:rPr>
                <w:sz w:val="1"/>
                <w:szCs w:val="1"/>
                <w:color w:val="auto"/>
              </w:rPr>
            </w:pPr>
          </w:p>
        </w:tc>
      </w:tr>
      <w:tr>
        <w:trPr>
          <w:trHeight w:val="261"/>
        </w:trPr>
        <w:tc>
          <w:tcPr>
            <w:tcW w:w="3780" w:type="dxa"/>
            <w:vAlign w:val="bottom"/>
          </w:tcPr>
          <w:p>
            <w:pPr>
              <w:ind w:left="20"/>
              <w:spacing w:after="0"/>
              <w:rPr>
                <w:sz w:val="20"/>
                <w:szCs w:val="20"/>
                <w:color w:val="auto"/>
              </w:rPr>
            </w:pPr>
            <w:r>
              <w:rPr>
                <w:rFonts w:ascii="Arial" w:cs="Arial" w:eastAsia="Arial" w:hAnsi="Arial"/>
                <w:sz w:val="20"/>
                <w:szCs w:val="20"/>
                <w:color w:val="auto"/>
              </w:rPr>
              <w:t>foreign operations</w:t>
            </w:r>
          </w:p>
        </w:tc>
        <w:tc>
          <w:tcPr>
            <w:tcW w:w="1500" w:type="dxa"/>
            <w:vAlign w:val="bottom"/>
            <w:vMerge w:val="continue"/>
          </w:tcPr>
          <w:p>
            <w:pPr>
              <w:spacing w:after="0"/>
              <w:rPr>
                <w:sz w:val="22"/>
                <w:szCs w:val="22"/>
                <w:color w:val="auto"/>
              </w:rPr>
            </w:pPr>
          </w:p>
        </w:tc>
        <w:tc>
          <w:tcPr>
            <w:tcW w:w="1420" w:type="dxa"/>
            <w:vAlign w:val="bottom"/>
            <w:vMerge w:val="continue"/>
          </w:tcPr>
          <w:p>
            <w:pPr>
              <w:spacing w:after="0"/>
              <w:rPr>
                <w:sz w:val="22"/>
                <w:szCs w:val="22"/>
                <w:color w:val="auto"/>
              </w:rPr>
            </w:pPr>
          </w:p>
        </w:tc>
        <w:tc>
          <w:tcPr>
            <w:tcW w:w="1160" w:type="dxa"/>
            <w:vAlign w:val="bottom"/>
            <w:vMerge w:val="continue"/>
          </w:tcPr>
          <w:p>
            <w:pPr>
              <w:spacing w:after="0"/>
              <w:rPr>
                <w:sz w:val="22"/>
                <w:szCs w:val="22"/>
                <w:color w:val="auto"/>
              </w:rPr>
            </w:pPr>
          </w:p>
        </w:tc>
        <w:tc>
          <w:tcPr>
            <w:tcW w:w="1260" w:type="dxa"/>
            <w:vAlign w:val="bottom"/>
            <w:vMerge w:val="continue"/>
          </w:tcPr>
          <w:p>
            <w:pPr>
              <w:spacing w:after="0"/>
              <w:rPr>
                <w:sz w:val="22"/>
                <w:szCs w:val="22"/>
                <w:color w:val="auto"/>
              </w:rPr>
            </w:pPr>
          </w:p>
        </w:tc>
        <w:tc>
          <w:tcPr>
            <w:tcW w:w="15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500"/>
        </w:trPr>
        <w:tc>
          <w:tcPr>
            <w:tcW w:w="3780" w:type="dxa"/>
            <w:vAlign w:val="bottom"/>
          </w:tcPr>
          <w:p>
            <w:pPr>
              <w:ind w:left="20"/>
              <w:spacing w:after="0"/>
              <w:rPr>
                <w:sz w:val="20"/>
                <w:szCs w:val="20"/>
                <w:color w:val="auto"/>
              </w:rPr>
            </w:pPr>
            <w:r>
              <w:rPr>
                <w:rFonts w:ascii="Arial" w:cs="Arial" w:eastAsia="Arial" w:hAnsi="Arial"/>
                <w:sz w:val="20"/>
                <w:szCs w:val="20"/>
                <w:color w:val="auto"/>
              </w:rPr>
              <w:t>Total comprehensive income</w:t>
            </w:r>
          </w:p>
        </w:tc>
        <w:tc>
          <w:tcPr>
            <w:tcW w:w="1500" w:type="dxa"/>
            <w:vAlign w:val="bottom"/>
          </w:tcPr>
          <w:p>
            <w:pPr>
              <w:jc w:val="right"/>
              <w:spacing w:after="0"/>
              <w:rPr>
                <w:sz w:val="20"/>
                <w:szCs w:val="20"/>
                <w:color w:val="auto"/>
              </w:rPr>
            </w:pPr>
            <w:r>
              <w:rPr>
                <w:rFonts w:ascii="Arial" w:cs="Arial" w:eastAsia="Arial" w:hAnsi="Arial"/>
                <w:sz w:val="20"/>
                <w:szCs w:val="20"/>
                <w:color w:val="auto"/>
              </w:rPr>
              <w:t>—</w:t>
            </w:r>
          </w:p>
        </w:tc>
        <w:tc>
          <w:tcPr>
            <w:tcW w:w="142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16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260" w:type="dxa"/>
            <w:vAlign w:val="bottom"/>
          </w:tcPr>
          <w:p>
            <w:pPr>
              <w:jc w:val="right"/>
              <w:spacing w:after="0"/>
              <w:rPr>
                <w:sz w:val="20"/>
                <w:szCs w:val="20"/>
                <w:color w:val="auto"/>
              </w:rPr>
            </w:pPr>
            <w:r>
              <w:rPr>
                <w:rFonts w:ascii="Arial" w:cs="Arial" w:eastAsia="Arial" w:hAnsi="Arial"/>
                <w:sz w:val="20"/>
                <w:szCs w:val="20"/>
                <w:color w:val="auto"/>
              </w:rPr>
              <w:t>(12,873)</w:t>
            </w:r>
          </w:p>
        </w:tc>
        <w:tc>
          <w:tcPr>
            <w:tcW w:w="1560" w:type="dxa"/>
            <w:vAlign w:val="bottom"/>
          </w:tcPr>
          <w:p>
            <w:pPr>
              <w:jc w:val="right"/>
              <w:spacing w:after="0"/>
              <w:rPr>
                <w:sz w:val="20"/>
                <w:szCs w:val="20"/>
                <w:color w:val="auto"/>
              </w:rPr>
            </w:pPr>
            <w:r>
              <w:rPr>
                <w:rFonts w:ascii="Arial" w:cs="Arial" w:eastAsia="Arial" w:hAnsi="Arial"/>
                <w:sz w:val="20"/>
                <w:szCs w:val="20"/>
                <w:color w:val="auto"/>
              </w:rPr>
              <w:t>(12,873)</w:t>
            </w:r>
          </w:p>
        </w:tc>
        <w:tc>
          <w:tcPr>
            <w:tcW w:w="0" w:type="dxa"/>
            <w:vAlign w:val="bottom"/>
          </w:tcPr>
          <w:p>
            <w:pPr>
              <w:spacing w:after="0"/>
              <w:rPr>
                <w:sz w:val="1"/>
                <w:szCs w:val="1"/>
                <w:color w:val="auto"/>
              </w:rPr>
            </w:pPr>
          </w:p>
        </w:tc>
      </w:tr>
      <w:tr>
        <w:trPr>
          <w:trHeight w:val="246"/>
        </w:trPr>
        <w:tc>
          <w:tcPr>
            <w:tcW w:w="3780" w:type="dxa"/>
            <w:vAlign w:val="bottom"/>
            <w:tcBorders>
              <w:bottom w:val="single" w:sz="8" w:color="BC2327"/>
            </w:tcBorders>
          </w:tcPr>
          <w:p>
            <w:pPr>
              <w:spacing w:after="0"/>
              <w:rPr>
                <w:sz w:val="21"/>
                <w:szCs w:val="21"/>
                <w:color w:val="auto"/>
              </w:rPr>
            </w:pPr>
          </w:p>
        </w:tc>
        <w:tc>
          <w:tcPr>
            <w:tcW w:w="1500" w:type="dxa"/>
            <w:vAlign w:val="bottom"/>
            <w:tcBorders>
              <w:bottom w:val="single" w:sz="8" w:color="BC2327"/>
            </w:tcBorders>
          </w:tcPr>
          <w:p>
            <w:pPr>
              <w:spacing w:after="0"/>
              <w:rPr>
                <w:sz w:val="21"/>
                <w:szCs w:val="21"/>
                <w:color w:val="auto"/>
              </w:rPr>
            </w:pPr>
          </w:p>
        </w:tc>
        <w:tc>
          <w:tcPr>
            <w:tcW w:w="1420" w:type="dxa"/>
            <w:vAlign w:val="bottom"/>
            <w:tcBorders>
              <w:bottom w:val="single" w:sz="8" w:color="BC2327"/>
            </w:tcBorders>
          </w:tcPr>
          <w:p>
            <w:pPr>
              <w:spacing w:after="0"/>
              <w:rPr>
                <w:sz w:val="21"/>
                <w:szCs w:val="21"/>
                <w:color w:val="auto"/>
              </w:rPr>
            </w:pPr>
          </w:p>
        </w:tc>
        <w:tc>
          <w:tcPr>
            <w:tcW w:w="1160" w:type="dxa"/>
            <w:vAlign w:val="bottom"/>
            <w:tcBorders>
              <w:bottom w:val="single" w:sz="8" w:color="BC2327"/>
            </w:tcBorders>
          </w:tcPr>
          <w:p>
            <w:pPr>
              <w:spacing w:after="0"/>
              <w:rPr>
                <w:sz w:val="21"/>
                <w:szCs w:val="21"/>
                <w:color w:val="auto"/>
              </w:rPr>
            </w:pPr>
          </w:p>
        </w:tc>
        <w:tc>
          <w:tcPr>
            <w:tcW w:w="1260" w:type="dxa"/>
            <w:vAlign w:val="bottom"/>
            <w:tcBorders>
              <w:bottom w:val="single" w:sz="8" w:color="BC2327"/>
            </w:tcBorders>
          </w:tcPr>
          <w:p>
            <w:pPr>
              <w:spacing w:after="0"/>
              <w:rPr>
                <w:sz w:val="21"/>
                <w:szCs w:val="21"/>
                <w:color w:val="auto"/>
              </w:rPr>
            </w:pPr>
          </w:p>
        </w:tc>
        <w:tc>
          <w:tcPr>
            <w:tcW w:w="1560" w:type="dxa"/>
            <w:vAlign w:val="bottom"/>
            <w:tcBorders>
              <w:bottom w:val="single" w:sz="8" w:color="BC2327"/>
            </w:tcBorders>
          </w:tcPr>
          <w:p>
            <w:pPr>
              <w:spacing w:after="0"/>
              <w:rPr>
                <w:sz w:val="21"/>
                <w:szCs w:val="21"/>
                <w:color w:val="auto"/>
              </w:rPr>
            </w:pPr>
          </w:p>
        </w:tc>
        <w:tc>
          <w:tcPr>
            <w:tcW w:w="0" w:type="dxa"/>
            <w:vAlign w:val="bottom"/>
          </w:tcPr>
          <w:p>
            <w:pPr>
              <w:spacing w:after="0"/>
              <w:rPr>
                <w:sz w:val="1"/>
                <w:szCs w:val="1"/>
                <w:color w:val="auto"/>
              </w:rPr>
            </w:pPr>
          </w:p>
        </w:tc>
      </w:tr>
      <w:tr>
        <w:trPr>
          <w:trHeight w:val="343"/>
        </w:trPr>
        <w:tc>
          <w:tcPr>
            <w:tcW w:w="3780" w:type="dxa"/>
            <w:vAlign w:val="bottom"/>
          </w:tcPr>
          <w:p>
            <w:pPr>
              <w:ind w:left="20"/>
              <w:spacing w:after="0"/>
              <w:rPr>
                <w:sz w:val="20"/>
                <w:szCs w:val="20"/>
                <w:color w:val="auto"/>
              </w:rPr>
            </w:pPr>
            <w:r>
              <w:rPr>
                <w:rFonts w:ascii="Arial" w:cs="Arial" w:eastAsia="Arial" w:hAnsi="Arial"/>
                <w:sz w:val="20"/>
                <w:szCs w:val="20"/>
                <w:color w:val="auto"/>
              </w:rPr>
              <w:t xml:space="preserve">Share-based compensation costs </w:t>
            </w:r>
            <w:r>
              <w:rPr>
                <w:rFonts w:ascii="Arial" w:cs="Arial" w:eastAsia="Arial" w:hAnsi="Arial"/>
                <w:sz w:val="25"/>
                <w:szCs w:val="25"/>
                <w:color w:val="auto"/>
                <w:vertAlign w:val="superscript"/>
              </w:rPr>
              <w:t>(1)</w:t>
            </w:r>
          </w:p>
        </w:tc>
        <w:tc>
          <w:tcPr>
            <w:tcW w:w="1500" w:type="dxa"/>
            <w:vAlign w:val="bottom"/>
          </w:tcPr>
          <w:p>
            <w:pPr>
              <w:jc w:val="right"/>
              <w:spacing w:after="0"/>
              <w:rPr>
                <w:sz w:val="20"/>
                <w:szCs w:val="20"/>
                <w:color w:val="auto"/>
              </w:rPr>
            </w:pPr>
            <w:r>
              <w:rPr>
                <w:rFonts w:ascii="Arial" w:cs="Arial" w:eastAsia="Arial" w:hAnsi="Arial"/>
                <w:sz w:val="20"/>
                <w:szCs w:val="20"/>
                <w:color w:val="auto"/>
              </w:rPr>
              <w:t>—</w:t>
            </w:r>
          </w:p>
        </w:tc>
        <w:tc>
          <w:tcPr>
            <w:tcW w:w="1420" w:type="dxa"/>
            <w:vAlign w:val="bottom"/>
          </w:tcPr>
          <w:p>
            <w:pPr>
              <w:jc w:val="right"/>
              <w:ind w:right="81"/>
              <w:spacing w:after="0"/>
              <w:rPr>
                <w:sz w:val="20"/>
                <w:szCs w:val="20"/>
                <w:color w:val="auto"/>
              </w:rPr>
            </w:pPr>
            <w:r>
              <w:rPr>
                <w:rFonts w:ascii="Arial" w:cs="Arial" w:eastAsia="Arial" w:hAnsi="Arial"/>
                <w:sz w:val="20"/>
                <w:szCs w:val="20"/>
                <w:color w:val="auto"/>
              </w:rPr>
              <w:t>936</w:t>
            </w:r>
          </w:p>
        </w:tc>
        <w:tc>
          <w:tcPr>
            <w:tcW w:w="116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260" w:type="dxa"/>
            <w:vAlign w:val="bottom"/>
          </w:tcPr>
          <w:p>
            <w:pPr>
              <w:jc w:val="right"/>
              <w:spacing w:after="0"/>
              <w:rPr>
                <w:sz w:val="20"/>
                <w:szCs w:val="20"/>
                <w:color w:val="auto"/>
              </w:rPr>
            </w:pPr>
            <w:r>
              <w:rPr>
                <w:rFonts w:ascii="Arial" w:cs="Arial" w:eastAsia="Arial" w:hAnsi="Arial"/>
                <w:sz w:val="20"/>
                <w:szCs w:val="20"/>
                <w:color w:val="auto"/>
              </w:rPr>
              <w:t>—</w:t>
            </w:r>
          </w:p>
        </w:tc>
        <w:tc>
          <w:tcPr>
            <w:tcW w:w="1560" w:type="dxa"/>
            <w:vAlign w:val="bottom"/>
          </w:tcPr>
          <w:p>
            <w:pPr>
              <w:jc w:val="right"/>
              <w:ind w:right="1"/>
              <w:spacing w:after="0"/>
              <w:rPr>
                <w:sz w:val="20"/>
                <w:szCs w:val="20"/>
                <w:color w:val="auto"/>
              </w:rPr>
            </w:pPr>
            <w:r>
              <w:rPr>
                <w:rFonts w:ascii="Arial" w:cs="Arial" w:eastAsia="Arial" w:hAnsi="Arial"/>
                <w:sz w:val="20"/>
                <w:szCs w:val="20"/>
                <w:color w:val="auto"/>
              </w:rPr>
              <w:t>936</w:t>
            </w:r>
          </w:p>
        </w:tc>
        <w:tc>
          <w:tcPr>
            <w:tcW w:w="0" w:type="dxa"/>
            <w:vAlign w:val="bottom"/>
          </w:tcPr>
          <w:p>
            <w:pPr>
              <w:spacing w:after="0"/>
              <w:rPr>
                <w:sz w:val="1"/>
                <w:szCs w:val="1"/>
                <w:color w:val="auto"/>
              </w:rPr>
            </w:pPr>
          </w:p>
        </w:tc>
      </w:tr>
      <w:tr>
        <w:trPr>
          <w:trHeight w:val="412"/>
        </w:trPr>
        <w:tc>
          <w:tcPr>
            <w:tcW w:w="3780" w:type="dxa"/>
            <w:vAlign w:val="bottom"/>
          </w:tcPr>
          <w:p>
            <w:pPr>
              <w:ind w:left="20"/>
              <w:spacing w:after="0"/>
              <w:rPr>
                <w:sz w:val="20"/>
                <w:szCs w:val="20"/>
                <w:color w:val="auto"/>
              </w:rPr>
            </w:pPr>
            <w:r>
              <w:rPr>
                <w:rFonts w:ascii="Arial" w:cs="Arial" w:eastAsia="Arial" w:hAnsi="Arial"/>
                <w:sz w:val="20"/>
                <w:szCs w:val="20"/>
                <w:color w:val="auto"/>
              </w:rPr>
              <w:t>Treasury shares withheld to cover social</w:t>
            </w:r>
          </w:p>
        </w:tc>
        <w:tc>
          <w:tcPr>
            <w:tcW w:w="150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1420" w:type="dxa"/>
            <w:vAlign w:val="bottom"/>
            <w:vMerge w:val="restart"/>
          </w:tcPr>
          <w:p>
            <w:pPr>
              <w:jc w:val="right"/>
              <w:ind w:right="81"/>
              <w:spacing w:after="0"/>
              <w:rPr>
                <w:sz w:val="20"/>
                <w:szCs w:val="20"/>
                <w:color w:val="auto"/>
              </w:rPr>
            </w:pPr>
            <w:r>
              <w:rPr>
                <w:rFonts w:ascii="Arial" w:cs="Arial" w:eastAsia="Arial" w:hAnsi="Arial"/>
                <w:sz w:val="20"/>
                <w:szCs w:val="20"/>
                <w:color w:val="auto"/>
              </w:rPr>
              <w:t>—</w:t>
            </w:r>
          </w:p>
        </w:tc>
        <w:tc>
          <w:tcPr>
            <w:tcW w:w="1160" w:type="dxa"/>
            <w:vAlign w:val="bottom"/>
            <w:vMerge w:val="restart"/>
          </w:tcPr>
          <w:p>
            <w:pPr>
              <w:jc w:val="right"/>
              <w:ind w:right="1"/>
              <w:spacing w:after="0"/>
              <w:rPr>
                <w:sz w:val="20"/>
                <w:szCs w:val="20"/>
                <w:color w:val="auto"/>
              </w:rPr>
            </w:pPr>
            <w:r>
              <w:rPr>
                <w:rFonts w:ascii="Arial" w:cs="Arial" w:eastAsia="Arial" w:hAnsi="Arial"/>
                <w:sz w:val="20"/>
                <w:szCs w:val="20"/>
                <w:color w:val="auto"/>
              </w:rPr>
              <w:t>(35)</w:t>
            </w:r>
          </w:p>
        </w:tc>
        <w:tc>
          <w:tcPr>
            <w:tcW w:w="126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1560" w:type="dxa"/>
            <w:vAlign w:val="bottom"/>
            <w:vMerge w:val="restart"/>
          </w:tcPr>
          <w:p>
            <w:pPr>
              <w:jc w:val="right"/>
              <w:spacing w:after="0"/>
              <w:rPr>
                <w:sz w:val="20"/>
                <w:szCs w:val="20"/>
                <w:color w:val="auto"/>
              </w:rPr>
            </w:pPr>
            <w:r>
              <w:rPr>
                <w:rFonts w:ascii="Arial" w:cs="Arial" w:eastAsia="Arial" w:hAnsi="Arial"/>
                <w:sz w:val="20"/>
                <w:szCs w:val="20"/>
                <w:color w:val="auto"/>
              </w:rPr>
              <w:t>(35)</w:t>
            </w:r>
          </w:p>
        </w:tc>
        <w:tc>
          <w:tcPr>
            <w:tcW w:w="0" w:type="dxa"/>
            <w:vAlign w:val="bottom"/>
          </w:tcPr>
          <w:p>
            <w:pPr>
              <w:spacing w:after="0"/>
              <w:rPr>
                <w:sz w:val="1"/>
                <w:szCs w:val="1"/>
                <w:color w:val="auto"/>
              </w:rPr>
            </w:pPr>
          </w:p>
        </w:tc>
      </w:tr>
      <w:tr>
        <w:trPr>
          <w:trHeight w:val="261"/>
        </w:trPr>
        <w:tc>
          <w:tcPr>
            <w:tcW w:w="3780" w:type="dxa"/>
            <w:vAlign w:val="bottom"/>
          </w:tcPr>
          <w:p>
            <w:pPr>
              <w:ind w:left="20"/>
              <w:spacing w:after="0"/>
              <w:rPr>
                <w:sz w:val="20"/>
                <w:szCs w:val="20"/>
                <w:color w:val="auto"/>
              </w:rPr>
            </w:pPr>
            <w:r>
              <w:rPr>
                <w:rFonts w:ascii="Arial" w:cs="Arial" w:eastAsia="Arial" w:hAnsi="Arial"/>
                <w:sz w:val="20"/>
                <w:szCs w:val="20"/>
                <w:color w:val="auto"/>
              </w:rPr>
              <w:t>security and tax</w:t>
            </w:r>
          </w:p>
        </w:tc>
        <w:tc>
          <w:tcPr>
            <w:tcW w:w="1500" w:type="dxa"/>
            <w:vAlign w:val="bottom"/>
            <w:vMerge w:val="continue"/>
          </w:tcPr>
          <w:p>
            <w:pPr>
              <w:spacing w:after="0"/>
              <w:rPr>
                <w:sz w:val="22"/>
                <w:szCs w:val="22"/>
                <w:color w:val="auto"/>
              </w:rPr>
            </w:pPr>
          </w:p>
        </w:tc>
        <w:tc>
          <w:tcPr>
            <w:tcW w:w="1420" w:type="dxa"/>
            <w:vAlign w:val="bottom"/>
            <w:vMerge w:val="continue"/>
          </w:tcPr>
          <w:p>
            <w:pPr>
              <w:spacing w:after="0"/>
              <w:rPr>
                <w:sz w:val="22"/>
                <w:szCs w:val="22"/>
                <w:color w:val="auto"/>
              </w:rPr>
            </w:pPr>
          </w:p>
        </w:tc>
        <w:tc>
          <w:tcPr>
            <w:tcW w:w="1160" w:type="dxa"/>
            <w:vAlign w:val="bottom"/>
            <w:vMerge w:val="continue"/>
          </w:tcPr>
          <w:p>
            <w:pPr>
              <w:spacing w:after="0"/>
              <w:rPr>
                <w:sz w:val="22"/>
                <w:szCs w:val="22"/>
                <w:color w:val="auto"/>
              </w:rPr>
            </w:pPr>
          </w:p>
        </w:tc>
        <w:tc>
          <w:tcPr>
            <w:tcW w:w="1260" w:type="dxa"/>
            <w:vAlign w:val="bottom"/>
            <w:vMerge w:val="continue"/>
          </w:tcPr>
          <w:p>
            <w:pPr>
              <w:spacing w:after="0"/>
              <w:rPr>
                <w:sz w:val="22"/>
                <w:szCs w:val="22"/>
                <w:color w:val="auto"/>
              </w:rPr>
            </w:pPr>
          </w:p>
        </w:tc>
        <w:tc>
          <w:tcPr>
            <w:tcW w:w="15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499"/>
        </w:trPr>
        <w:tc>
          <w:tcPr>
            <w:tcW w:w="3780" w:type="dxa"/>
            <w:vAlign w:val="bottom"/>
          </w:tcPr>
          <w:p>
            <w:pPr>
              <w:ind w:left="20"/>
              <w:spacing w:after="0"/>
              <w:rPr>
                <w:sz w:val="20"/>
                <w:szCs w:val="20"/>
                <w:color w:val="auto"/>
              </w:rPr>
            </w:pPr>
            <w:r>
              <w:rPr>
                <w:rFonts w:ascii="Arial" w:cs="Arial" w:eastAsia="Arial" w:hAnsi="Arial"/>
                <w:sz w:val="20"/>
                <w:szCs w:val="20"/>
                <w:color w:val="auto"/>
              </w:rPr>
              <w:t>Other equity-settled transactions</w:t>
            </w:r>
          </w:p>
        </w:tc>
        <w:tc>
          <w:tcPr>
            <w:tcW w:w="1500" w:type="dxa"/>
            <w:vAlign w:val="bottom"/>
          </w:tcPr>
          <w:p>
            <w:pPr>
              <w:jc w:val="right"/>
              <w:spacing w:after="0"/>
              <w:rPr>
                <w:sz w:val="20"/>
                <w:szCs w:val="20"/>
                <w:color w:val="auto"/>
              </w:rPr>
            </w:pPr>
            <w:r>
              <w:rPr>
                <w:rFonts w:ascii="Arial" w:cs="Arial" w:eastAsia="Arial" w:hAnsi="Arial"/>
                <w:sz w:val="20"/>
                <w:szCs w:val="20"/>
                <w:color w:val="auto"/>
              </w:rPr>
              <w:t>—</w:t>
            </w:r>
          </w:p>
        </w:tc>
        <w:tc>
          <w:tcPr>
            <w:tcW w:w="1420" w:type="dxa"/>
            <w:vAlign w:val="bottom"/>
          </w:tcPr>
          <w:p>
            <w:pPr>
              <w:jc w:val="right"/>
              <w:ind w:right="81"/>
              <w:spacing w:after="0"/>
              <w:rPr>
                <w:sz w:val="20"/>
                <w:szCs w:val="20"/>
                <w:color w:val="auto"/>
              </w:rPr>
            </w:pPr>
            <w:r>
              <w:rPr>
                <w:rFonts w:ascii="Arial" w:cs="Arial" w:eastAsia="Arial" w:hAnsi="Arial"/>
                <w:sz w:val="20"/>
                <w:szCs w:val="20"/>
                <w:color w:val="auto"/>
              </w:rPr>
              <w:t>74</w:t>
            </w:r>
          </w:p>
        </w:tc>
        <w:tc>
          <w:tcPr>
            <w:tcW w:w="1160" w:type="dxa"/>
            <w:vAlign w:val="bottom"/>
          </w:tcPr>
          <w:p>
            <w:pPr>
              <w:jc w:val="right"/>
              <w:ind w:right="61"/>
              <w:spacing w:after="0"/>
              <w:rPr>
                <w:sz w:val="20"/>
                <w:szCs w:val="20"/>
                <w:color w:val="auto"/>
              </w:rPr>
            </w:pPr>
            <w:r>
              <w:rPr>
                <w:rFonts w:ascii="Arial" w:cs="Arial" w:eastAsia="Arial" w:hAnsi="Arial"/>
                <w:sz w:val="20"/>
                <w:szCs w:val="20"/>
                <w:color w:val="auto"/>
              </w:rPr>
              <w:t>7</w:t>
            </w:r>
          </w:p>
        </w:tc>
        <w:tc>
          <w:tcPr>
            <w:tcW w:w="1260" w:type="dxa"/>
            <w:vAlign w:val="bottom"/>
          </w:tcPr>
          <w:p>
            <w:pPr>
              <w:jc w:val="right"/>
              <w:spacing w:after="0"/>
              <w:rPr>
                <w:sz w:val="20"/>
                <w:szCs w:val="20"/>
                <w:color w:val="auto"/>
              </w:rPr>
            </w:pPr>
            <w:r>
              <w:rPr>
                <w:rFonts w:ascii="Arial" w:cs="Arial" w:eastAsia="Arial" w:hAnsi="Arial"/>
                <w:sz w:val="20"/>
                <w:szCs w:val="20"/>
                <w:color w:val="auto"/>
              </w:rPr>
              <w:t>—</w:t>
            </w:r>
          </w:p>
        </w:tc>
        <w:tc>
          <w:tcPr>
            <w:tcW w:w="1560" w:type="dxa"/>
            <w:vAlign w:val="bottom"/>
          </w:tcPr>
          <w:p>
            <w:pPr>
              <w:jc w:val="right"/>
              <w:ind w:right="1"/>
              <w:spacing w:after="0"/>
              <w:rPr>
                <w:sz w:val="20"/>
                <w:szCs w:val="20"/>
                <w:color w:val="auto"/>
              </w:rPr>
            </w:pPr>
            <w:r>
              <w:rPr>
                <w:rFonts w:ascii="Arial" w:cs="Arial" w:eastAsia="Arial" w:hAnsi="Arial"/>
                <w:sz w:val="20"/>
                <w:szCs w:val="20"/>
                <w:color w:val="auto"/>
              </w:rPr>
              <w:t>81</w:t>
            </w:r>
          </w:p>
        </w:tc>
        <w:tc>
          <w:tcPr>
            <w:tcW w:w="0" w:type="dxa"/>
            <w:vAlign w:val="bottom"/>
          </w:tcPr>
          <w:p>
            <w:pPr>
              <w:spacing w:after="0"/>
              <w:rPr>
                <w:sz w:val="1"/>
                <w:szCs w:val="1"/>
                <w:color w:val="auto"/>
              </w:rPr>
            </w:pPr>
          </w:p>
        </w:tc>
      </w:tr>
      <w:tr>
        <w:trPr>
          <w:trHeight w:val="513"/>
        </w:trPr>
        <w:tc>
          <w:tcPr>
            <w:tcW w:w="3780" w:type="dxa"/>
            <w:vAlign w:val="bottom"/>
          </w:tcPr>
          <w:p>
            <w:pPr>
              <w:ind w:left="20"/>
              <w:spacing w:after="0"/>
              <w:rPr>
                <w:sz w:val="20"/>
                <w:szCs w:val="20"/>
                <w:color w:val="auto"/>
              </w:rPr>
            </w:pPr>
            <w:r>
              <w:rPr>
                <w:rFonts w:ascii="Arial" w:cs="Arial" w:eastAsia="Arial" w:hAnsi="Arial"/>
                <w:sz w:val="20"/>
                <w:szCs w:val="20"/>
                <w:color w:val="auto"/>
              </w:rPr>
              <w:t>Excercise of LTI plans</w:t>
            </w:r>
          </w:p>
        </w:tc>
        <w:tc>
          <w:tcPr>
            <w:tcW w:w="1500" w:type="dxa"/>
            <w:vAlign w:val="bottom"/>
          </w:tcPr>
          <w:p>
            <w:pPr>
              <w:jc w:val="right"/>
              <w:spacing w:after="0"/>
              <w:rPr>
                <w:sz w:val="20"/>
                <w:szCs w:val="20"/>
                <w:color w:val="auto"/>
              </w:rPr>
            </w:pPr>
            <w:r>
              <w:rPr>
                <w:rFonts w:ascii="Arial" w:cs="Arial" w:eastAsia="Arial" w:hAnsi="Arial"/>
                <w:sz w:val="20"/>
                <w:szCs w:val="20"/>
                <w:color w:val="auto"/>
              </w:rPr>
              <w:t>—</w:t>
            </w:r>
          </w:p>
        </w:tc>
        <w:tc>
          <w:tcPr>
            <w:tcW w:w="1420" w:type="dxa"/>
            <w:vAlign w:val="bottom"/>
          </w:tcPr>
          <w:p>
            <w:pPr>
              <w:jc w:val="right"/>
              <w:ind w:right="21"/>
              <w:spacing w:after="0"/>
              <w:rPr>
                <w:sz w:val="20"/>
                <w:szCs w:val="20"/>
                <w:color w:val="auto"/>
              </w:rPr>
            </w:pPr>
            <w:r>
              <w:rPr>
                <w:rFonts w:ascii="Arial" w:cs="Arial" w:eastAsia="Arial" w:hAnsi="Arial"/>
                <w:sz w:val="20"/>
                <w:szCs w:val="20"/>
                <w:color w:val="auto"/>
              </w:rPr>
              <w:t>(15)</w:t>
            </w:r>
          </w:p>
        </w:tc>
        <w:tc>
          <w:tcPr>
            <w:tcW w:w="1160" w:type="dxa"/>
            <w:vAlign w:val="bottom"/>
          </w:tcPr>
          <w:p>
            <w:pPr>
              <w:jc w:val="right"/>
              <w:ind w:right="61"/>
              <w:spacing w:after="0"/>
              <w:rPr>
                <w:sz w:val="20"/>
                <w:szCs w:val="20"/>
                <w:color w:val="auto"/>
              </w:rPr>
            </w:pPr>
            <w:r>
              <w:rPr>
                <w:rFonts w:ascii="Arial" w:cs="Arial" w:eastAsia="Arial" w:hAnsi="Arial"/>
                <w:sz w:val="20"/>
                <w:szCs w:val="20"/>
                <w:color w:val="auto"/>
              </w:rPr>
              <w:t>24</w:t>
            </w:r>
          </w:p>
        </w:tc>
        <w:tc>
          <w:tcPr>
            <w:tcW w:w="1260" w:type="dxa"/>
            <w:vAlign w:val="bottom"/>
          </w:tcPr>
          <w:p>
            <w:pPr>
              <w:jc w:val="right"/>
              <w:spacing w:after="0"/>
              <w:rPr>
                <w:sz w:val="20"/>
                <w:szCs w:val="20"/>
                <w:color w:val="auto"/>
              </w:rPr>
            </w:pPr>
            <w:r>
              <w:rPr>
                <w:rFonts w:ascii="Arial" w:cs="Arial" w:eastAsia="Arial" w:hAnsi="Arial"/>
                <w:sz w:val="20"/>
                <w:szCs w:val="20"/>
                <w:color w:val="auto"/>
              </w:rPr>
              <w:t>—</w:t>
            </w:r>
          </w:p>
        </w:tc>
        <w:tc>
          <w:tcPr>
            <w:tcW w:w="1560" w:type="dxa"/>
            <w:vAlign w:val="bottom"/>
          </w:tcPr>
          <w:p>
            <w:pPr>
              <w:jc w:val="right"/>
              <w:ind w:right="1"/>
              <w:spacing w:after="0"/>
              <w:rPr>
                <w:sz w:val="20"/>
                <w:szCs w:val="20"/>
                <w:color w:val="auto"/>
              </w:rPr>
            </w:pPr>
            <w:r>
              <w:rPr>
                <w:rFonts w:ascii="Arial" w:cs="Arial" w:eastAsia="Arial" w:hAnsi="Arial"/>
                <w:sz w:val="20"/>
                <w:szCs w:val="20"/>
                <w:color w:val="auto"/>
              </w:rPr>
              <w:t>8</w:t>
            </w:r>
          </w:p>
        </w:tc>
        <w:tc>
          <w:tcPr>
            <w:tcW w:w="0" w:type="dxa"/>
            <w:vAlign w:val="bottom"/>
          </w:tcPr>
          <w:p>
            <w:pPr>
              <w:spacing w:after="0"/>
              <w:rPr>
                <w:sz w:val="1"/>
                <w:szCs w:val="1"/>
                <w:color w:val="auto"/>
              </w:rPr>
            </w:pPr>
          </w:p>
        </w:tc>
      </w:tr>
      <w:tr>
        <w:trPr>
          <w:trHeight w:val="513"/>
        </w:trPr>
        <w:tc>
          <w:tcPr>
            <w:tcW w:w="3780" w:type="dxa"/>
            <w:vAlign w:val="bottom"/>
          </w:tcPr>
          <w:p>
            <w:pPr>
              <w:ind w:left="20"/>
              <w:spacing w:after="0"/>
              <w:rPr>
                <w:sz w:val="20"/>
                <w:szCs w:val="20"/>
                <w:color w:val="auto"/>
              </w:rPr>
            </w:pPr>
            <w:r>
              <w:rPr>
                <w:rFonts w:ascii="Arial" w:cs="Arial" w:eastAsia="Arial" w:hAnsi="Arial"/>
                <w:sz w:val="20"/>
                <w:szCs w:val="20"/>
                <w:color w:val="auto"/>
              </w:rPr>
              <w:t>At March 31, 2026</w:t>
            </w:r>
          </w:p>
        </w:tc>
        <w:tc>
          <w:tcPr>
            <w:tcW w:w="1500" w:type="dxa"/>
            <w:vAlign w:val="bottom"/>
          </w:tcPr>
          <w:p>
            <w:pPr>
              <w:jc w:val="right"/>
              <w:spacing w:after="0"/>
              <w:rPr>
                <w:sz w:val="20"/>
                <w:szCs w:val="20"/>
                <w:color w:val="auto"/>
              </w:rPr>
            </w:pPr>
            <w:r>
              <w:rPr>
                <w:rFonts w:ascii="Arial" w:cs="Arial" w:eastAsia="Arial" w:hAnsi="Arial"/>
                <w:sz w:val="20"/>
                <w:szCs w:val="20"/>
                <w:color w:val="auto"/>
              </w:rPr>
              <w:t>4,037</w:t>
            </w:r>
          </w:p>
        </w:tc>
        <w:tc>
          <w:tcPr>
            <w:tcW w:w="1420" w:type="dxa"/>
            <w:vAlign w:val="bottom"/>
          </w:tcPr>
          <w:p>
            <w:pPr>
              <w:jc w:val="right"/>
              <w:ind w:right="81"/>
              <w:spacing w:after="0"/>
              <w:rPr>
                <w:sz w:val="20"/>
                <w:szCs w:val="20"/>
                <w:color w:val="auto"/>
              </w:rPr>
            </w:pPr>
            <w:r>
              <w:rPr>
                <w:rFonts w:ascii="Arial" w:cs="Arial" w:eastAsia="Arial" w:hAnsi="Arial"/>
                <w:sz w:val="20"/>
                <w:szCs w:val="20"/>
                <w:color w:val="auto"/>
              </w:rPr>
              <w:t>390,174</w:t>
            </w:r>
          </w:p>
        </w:tc>
        <w:tc>
          <w:tcPr>
            <w:tcW w:w="1160" w:type="dxa"/>
            <w:vAlign w:val="bottom"/>
          </w:tcPr>
          <w:p>
            <w:pPr>
              <w:jc w:val="right"/>
              <w:ind w:right="1"/>
              <w:spacing w:after="0"/>
              <w:rPr>
                <w:sz w:val="20"/>
                <w:szCs w:val="20"/>
                <w:color w:val="auto"/>
              </w:rPr>
            </w:pPr>
            <w:r>
              <w:rPr>
                <w:rFonts w:ascii="Arial" w:cs="Arial" w:eastAsia="Arial" w:hAnsi="Arial"/>
                <w:sz w:val="20"/>
                <w:szCs w:val="20"/>
                <w:color w:val="auto"/>
              </w:rPr>
              <w:t>(1,133)</w:t>
            </w:r>
          </w:p>
        </w:tc>
        <w:tc>
          <w:tcPr>
            <w:tcW w:w="1260" w:type="dxa"/>
            <w:vAlign w:val="bottom"/>
          </w:tcPr>
          <w:p>
            <w:pPr>
              <w:jc w:val="right"/>
              <w:spacing w:after="0"/>
              <w:rPr>
                <w:sz w:val="20"/>
                <w:szCs w:val="20"/>
                <w:color w:val="auto"/>
              </w:rPr>
            </w:pPr>
            <w:r>
              <w:rPr>
                <w:rFonts w:ascii="Arial" w:cs="Arial" w:eastAsia="Arial" w:hAnsi="Arial"/>
                <w:sz w:val="20"/>
                <w:szCs w:val="20"/>
                <w:color w:val="auto"/>
              </w:rPr>
              <w:t>(324,626)</w:t>
            </w:r>
          </w:p>
        </w:tc>
        <w:tc>
          <w:tcPr>
            <w:tcW w:w="1560" w:type="dxa"/>
            <w:vAlign w:val="bottom"/>
          </w:tcPr>
          <w:p>
            <w:pPr>
              <w:jc w:val="right"/>
              <w:ind w:right="1"/>
              <w:spacing w:after="0"/>
              <w:rPr>
                <w:sz w:val="20"/>
                <w:szCs w:val="20"/>
                <w:color w:val="auto"/>
              </w:rPr>
            </w:pPr>
            <w:r>
              <w:rPr>
                <w:rFonts w:ascii="Arial" w:cs="Arial" w:eastAsia="Arial" w:hAnsi="Arial"/>
                <w:sz w:val="20"/>
                <w:szCs w:val="20"/>
                <w:color w:val="auto"/>
              </w:rPr>
              <w:t>68,452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67722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72275" cy="8890"/>
                    </a:xfrm>
                    <a:prstGeom prst="rect">
                      <a:avLst/>
                    </a:prstGeom>
                    <a:noFill/>
                  </pic:spPr>
                </pic:pic>
              </a:graphicData>
            </a:graphic>
          </wp:anchor>
        </w:drawing>
      </w:r>
    </w:p>
    <w:p>
      <w:pPr>
        <w:spacing w:after="0" w:line="263" w:lineRule="exact"/>
        <w:rPr>
          <w:sz w:val="20"/>
          <w:szCs w:val="20"/>
          <w:color w:val="auto"/>
        </w:rPr>
      </w:pPr>
    </w:p>
    <w:p>
      <w:pPr>
        <w:ind w:left="200" w:hanging="192"/>
        <w:spacing w:after="0"/>
        <w:tabs>
          <w:tab w:leader="none" w:pos="200" w:val="left"/>
        </w:tabs>
        <w:numPr>
          <w:ilvl w:val="0"/>
          <w:numId w:val="3"/>
        </w:numPr>
        <w:rPr>
          <w:rFonts w:ascii="Arial" w:cs="Arial" w:eastAsia="Arial" w:hAnsi="Arial"/>
          <w:sz w:val="22"/>
          <w:szCs w:val="22"/>
          <w:color w:val="auto"/>
          <w:vertAlign w:val="superscript"/>
        </w:rPr>
      </w:pPr>
      <w:r>
        <w:rPr>
          <w:rFonts w:ascii="Arial" w:cs="Arial" w:eastAsia="Arial" w:hAnsi="Arial"/>
          <w:sz w:val="13"/>
          <w:szCs w:val="13"/>
          <w:color w:val="auto"/>
        </w:rPr>
        <w:t>See note 5.4</w:t>
      </w: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See accompanying notes, which form an integral part of these unaudited condensed consolidated interim financial statements.</w:t>
      </w:r>
    </w:p>
    <w:p>
      <w:pPr>
        <w:sectPr>
          <w:pgSz w:w="11900" w:h="16838" w:orient="portrait"/>
          <w:cols w:equalWidth="0" w:num="1">
            <w:col w:w="11240"/>
          </w:cols>
          <w:pgMar w:left="320" w:top="1157" w:right="339" w:bottom="1440" w:gutter="0" w:footer="0" w:header="0"/>
        </w:sectPr>
      </w:pPr>
    </w:p>
    <w:p>
      <w:pPr>
        <w:spacing w:after="0" w:line="335" w:lineRule="exact"/>
        <w:rPr>
          <w:sz w:val="20"/>
          <w:szCs w:val="20"/>
          <w:color w:val="auto"/>
        </w:rPr>
      </w:pPr>
    </w:p>
    <w:p>
      <w:pPr>
        <w:ind w:left="11140"/>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40"/>
          </w:cols>
          <w:pgMar w:left="320" w:top="1157"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27"/>
          <w:szCs w:val="27"/>
          <w:color w:val="496F96"/>
        </w:rPr>
        <w:t>Explanatory notes to the condensed consolidated interim financial statements</w:t>
      </w:r>
    </w:p>
    <w:p>
      <w:pPr>
        <w:spacing w:after="0" w:line="222" w:lineRule="exact"/>
        <w:rPr>
          <w:sz w:val="20"/>
          <w:szCs w:val="20"/>
          <w:color w:val="auto"/>
        </w:rPr>
      </w:pPr>
    </w:p>
    <w:p>
      <w:pPr>
        <w:ind w:left="400" w:hanging="392"/>
        <w:spacing w:after="0"/>
        <w:tabs>
          <w:tab w:leader="none" w:pos="400" w:val="left"/>
        </w:tabs>
        <w:numPr>
          <w:ilvl w:val="0"/>
          <w:numId w:val="4"/>
        </w:numPr>
        <w:rPr>
          <w:rFonts w:ascii="Arial" w:cs="Arial" w:eastAsia="Arial" w:hAnsi="Arial"/>
          <w:sz w:val="20"/>
          <w:szCs w:val="20"/>
          <w:color w:val="auto"/>
        </w:rPr>
      </w:pPr>
      <w:r>
        <w:rPr>
          <w:rFonts w:ascii="Arial" w:cs="Arial" w:eastAsia="Arial" w:hAnsi="Arial"/>
          <w:sz w:val="20"/>
          <w:szCs w:val="20"/>
          <w:color w:val="auto"/>
        </w:rPr>
        <w:t>General Information</w:t>
      </w:r>
    </w:p>
    <w:p>
      <w:pPr>
        <w:spacing w:after="0" w:line="229" w:lineRule="exact"/>
        <w:rPr>
          <w:sz w:val="20"/>
          <w:szCs w:val="20"/>
          <w:color w:val="auto"/>
        </w:rPr>
      </w:pPr>
    </w:p>
    <w:p>
      <w:pPr>
        <w:ind w:right="40"/>
        <w:spacing w:after="0" w:line="254" w:lineRule="auto"/>
        <w:rPr>
          <w:sz w:val="20"/>
          <w:szCs w:val="20"/>
          <w:color w:val="auto"/>
        </w:rPr>
      </w:pPr>
      <w:r>
        <w:rPr>
          <w:rFonts w:ascii="Arial" w:cs="Arial" w:eastAsia="Arial" w:hAnsi="Arial"/>
          <w:sz w:val="20"/>
          <w:szCs w:val="20"/>
          <w:color w:val="auto"/>
        </w:rPr>
        <w:t>Molecular Partners AG ("Company") and its subsidiary (collectively "Molecular Partners" or "Group") is a clinical-stage biopharmaceutical company pioneering designed ankyrin repeat proteins (DARPin) candidates to treat serious diseases, with a current focus on oncology and virology. The Company was founded on November 22, 2004, and is domiciled at Wagistrasse 14, 8952 Schlieren, Canton of Zurich, Switzerland. It is subject to the provisions of the articles of association and to article 620 et seq. of the Swiss Code of Obligations, which describe the legal requirements for limited companies (“Aktiengesellschaften”).</w:t>
      </w:r>
    </w:p>
    <w:p>
      <w:pPr>
        <w:spacing w:after="0" w:line="187" w:lineRule="exact"/>
        <w:rPr>
          <w:sz w:val="20"/>
          <w:szCs w:val="20"/>
          <w:color w:val="auto"/>
        </w:rPr>
      </w:pPr>
    </w:p>
    <w:p>
      <w:pPr>
        <w:ind w:right="120"/>
        <w:spacing w:after="0" w:line="298" w:lineRule="auto"/>
        <w:rPr>
          <w:sz w:val="20"/>
          <w:szCs w:val="20"/>
          <w:color w:val="auto"/>
        </w:rPr>
      </w:pPr>
      <w:r>
        <w:rPr>
          <w:rFonts w:ascii="Arial" w:cs="Arial" w:eastAsia="Arial" w:hAnsi="Arial"/>
          <w:sz w:val="19"/>
          <w:szCs w:val="19"/>
          <w:color w:val="auto"/>
        </w:rPr>
        <w:t>Molecular Partners Inc. is a wholly owned subsidiary of Molecular Partners AG. Molecular Partners Inc. was incorporated in the United States in the State of Delaware on October 8, 2018. Molecular Partners Inc. is based in Cambridge, Massachusetts.</w:t>
      </w:r>
    </w:p>
    <w:p>
      <w:pPr>
        <w:spacing w:after="0" w:line="146" w:lineRule="exact"/>
        <w:rPr>
          <w:sz w:val="20"/>
          <w:szCs w:val="20"/>
          <w:color w:val="auto"/>
        </w:rPr>
      </w:pPr>
    </w:p>
    <w:p>
      <w:pPr>
        <w:ind w:right="40"/>
        <w:spacing w:after="0" w:line="271" w:lineRule="auto"/>
        <w:rPr>
          <w:sz w:val="20"/>
          <w:szCs w:val="20"/>
          <w:color w:val="auto"/>
        </w:rPr>
      </w:pPr>
      <w:r>
        <w:rPr>
          <w:rFonts w:ascii="Arial" w:cs="Arial" w:eastAsia="Arial" w:hAnsi="Arial"/>
          <w:sz w:val="20"/>
          <w:szCs w:val="20"/>
          <w:color w:val="auto"/>
        </w:rPr>
        <w:t>The unaudited condensed consolidated interim financial statements for the three months ended March 31, 2026, were approved for issuance by the Audit and Finance Committee on May 11, 2026.</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color w:val="auto"/>
        </w:rPr>
        <w:t>The Company’s shares are listed on the SIX Swiss Exchange (Ticker: MOLN) since November 5, 2014 and on the Nasdaq</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Global Select Market (Ticker: MOLN) since June 16, 2021.</w:t>
      </w:r>
    </w:p>
    <w:p>
      <w:pPr>
        <w:spacing w:after="0" w:line="198" w:lineRule="exact"/>
        <w:rPr>
          <w:sz w:val="20"/>
          <w:szCs w:val="20"/>
          <w:color w:val="auto"/>
        </w:rPr>
      </w:pPr>
    </w:p>
    <w:p>
      <w:pPr>
        <w:ind w:left="400" w:hanging="392"/>
        <w:spacing w:after="0"/>
        <w:tabs>
          <w:tab w:leader="none" w:pos="400" w:val="left"/>
        </w:tabs>
        <w:numPr>
          <w:ilvl w:val="0"/>
          <w:numId w:val="5"/>
        </w:numPr>
        <w:rPr>
          <w:rFonts w:ascii="Arial" w:cs="Arial" w:eastAsia="Arial" w:hAnsi="Arial"/>
          <w:sz w:val="20"/>
          <w:szCs w:val="20"/>
          <w:color w:val="auto"/>
        </w:rPr>
      </w:pPr>
      <w:r>
        <w:rPr>
          <w:rFonts w:ascii="Arial" w:cs="Arial" w:eastAsia="Arial" w:hAnsi="Arial"/>
          <w:sz w:val="20"/>
          <w:szCs w:val="20"/>
          <w:color w:val="auto"/>
        </w:rPr>
        <w:t>Basis of Preparation</w:t>
      </w:r>
    </w:p>
    <w:p>
      <w:pPr>
        <w:spacing w:after="0" w:line="229" w:lineRule="exact"/>
        <w:rPr>
          <w:sz w:val="20"/>
          <w:szCs w:val="20"/>
          <w:color w:val="auto"/>
        </w:rPr>
      </w:pPr>
    </w:p>
    <w:p>
      <w:pPr>
        <w:ind w:right="160"/>
        <w:spacing w:after="0" w:line="251" w:lineRule="auto"/>
        <w:rPr>
          <w:sz w:val="20"/>
          <w:szCs w:val="20"/>
          <w:color w:val="auto"/>
        </w:rPr>
      </w:pPr>
      <w:r>
        <w:rPr>
          <w:rFonts w:ascii="Arial" w:cs="Arial" w:eastAsia="Arial" w:hAnsi="Arial"/>
          <w:sz w:val="20"/>
          <w:szCs w:val="20"/>
          <w:color w:val="auto"/>
        </w:rPr>
        <w:t>These unaudited condensed consolidated interim financial statements have been prepared in accordance with IAS 34 Interim Financial Reporting and should be read in conjunction with the Group's last annual consolidated financial statements as at and for the year ended December 31, 2025. They do not include all the information required for a complete set of consolidated financial statements prepared in accordance with IFRS® Accounting Standards ("IFRS") as issued by the IASB. However, selected explanatory notes are included to explain events and transactions that are significant to gain an understanding of the changes in the Group's financial position and performance since the last annual consolidated financial statements as at and for the year ended December 31, 2025.</w:t>
      </w:r>
    </w:p>
    <w:p>
      <w:pPr>
        <w:spacing w:after="0" w:line="193" w:lineRule="exact"/>
        <w:rPr>
          <w:sz w:val="20"/>
          <w:szCs w:val="20"/>
          <w:color w:val="auto"/>
        </w:rPr>
      </w:pPr>
    </w:p>
    <w:p>
      <w:pPr>
        <w:ind w:right="180"/>
        <w:spacing w:after="0" w:line="271" w:lineRule="auto"/>
        <w:rPr>
          <w:sz w:val="20"/>
          <w:szCs w:val="20"/>
          <w:color w:val="auto"/>
        </w:rPr>
      </w:pPr>
      <w:r>
        <w:rPr>
          <w:rFonts w:ascii="Arial" w:cs="Arial" w:eastAsia="Arial" w:hAnsi="Arial"/>
          <w:sz w:val="20"/>
          <w:szCs w:val="20"/>
          <w:color w:val="auto"/>
        </w:rPr>
        <w:t>The accounting policies set forth in the notes to those annual consolidated financial statements have been consistently applied to all periods presented.</w:t>
      </w:r>
    </w:p>
    <w:p>
      <w:pPr>
        <w:spacing w:after="0" w:line="169" w:lineRule="exact"/>
        <w:rPr>
          <w:sz w:val="20"/>
          <w:szCs w:val="20"/>
          <w:color w:val="auto"/>
        </w:rPr>
      </w:pPr>
    </w:p>
    <w:p>
      <w:pPr>
        <w:ind w:right="360"/>
        <w:spacing w:after="0" w:line="286" w:lineRule="auto"/>
        <w:rPr>
          <w:sz w:val="20"/>
          <w:szCs w:val="20"/>
          <w:color w:val="auto"/>
        </w:rPr>
      </w:pPr>
      <w:r>
        <w:rPr>
          <w:rFonts w:ascii="Arial" w:cs="Arial" w:eastAsia="Arial" w:hAnsi="Arial"/>
          <w:sz w:val="20"/>
          <w:szCs w:val="20"/>
          <w:color w:val="auto"/>
        </w:rPr>
        <w:t>The condensed consolidated interim financial statements are presented in thousands of Swiss Francs (TCHF), unless stated otherwise.</w:t>
      </w:r>
    </w:p>
    <w:p>
      <w:pPr>
        <w:spacing w:after="0" w:line="140" w:lineRule="exact"/>
        <w:rPr>
          <w:sz w:val="20"/>
          <w:szCs w:val="20"/>
          <w:color w:val="auto"/>
        </w:rPr>
      </w:pPr>
    </w:p>
    <w:p>
      <w:pPr>
        <w:ind w:right="340"/>
        <w:spacing w:after="0" w:line="286" w:lineRule="auto"/>
        <w:rPr>
          <w:sz w:val="20"/>
          <w:szCs w:val="20"/>
          <w:color w:val="auto"/>
        </w:rPr>
      </w:pPr>
      <w:r>
        <w:rPr>
          <w:rFonts w:ascii="Arial" w:cs="Arial" w:eastAsia="Arial" w:hAnsi="Arial"/>
          <w:sz w:val="20"/>
          <w:szCs w:val="20"/>
          <w:color w:val="auto"/>
        </w:rPr>
        <w:t>The business is not subject to any seasonality. Due to rounding, the numbers presented in the financial statements might not precisely equal the accompanying notes.</w:t>
      </w:r>
    </w:p>
    <w:p>
      <w:pPr>
        <w:spacing w:after="0" w:line="140" w:lineRule="exact"/>
        <w:rPr>
          <w:sz w:val="20"/>
          <w:szCs w:val="20"/>
          <w:color w:val="auto"/>
        </w:rPr>
      </w:pPr>
    </w:p>
    <w:p>
      <w:pPr>
        <w:ind w:left="400" w:hanging="392"/>
        <w:spacing w:after="0"/>
        <w:tabs>
          <w:tab w:leader="none" w:pos="400" w:val="left"/>
        </w:tabs>
        <w:numPr>
          <w:ilvl w:val="0"/>
          <w:numId w:val="6"/>
        </w:numPr>
        <w:rPr>
          <w:rFonts w:ascii="Arial" w:cs="Arial" w:eastAsia="Arial" w:hAnsi="Arial"/>
          <w:sz w:val="20"/>
          <w:szCs w:val="20"/>
          <w:color w:val="auto"/>
        </w:rPr>
      </w:pPr>
      <w:r>
        <w:rPr>
          <w:rFonts w:ascii="Arial" w:cs="Arial" w:eastAsia="Arial" w:hAnsi="Arial"/>
          <w:sz w:val="20"/>
          <w:szCs w:val="20"/>
          <w:color w:val="auto"/>
        </w:rPr>
        <w:t>New or Revised IFRS Standards and Interpretations</w:t>
      </w:r>
    </w:p>
    <w:p>
      <w:pPr>
        <w:spacing w:after="0" w:line="229" w:lineRule="exact"/>
        <w:rPr>
          <w:sz w:val="20"/>
          <w:szCs w:val="20"/>
          <w:color w:val="auto"/>
        </w:rPr>
      </w:pPr>
    </w:p>
    <w:p>
      <w:pPr>
        <w:ind w:right="360"/>
        <w:spacing w:after="0" w:line="262" w:lineRule="auto"/>
        <w:rPr>
          <w:sz w:val="20"/>
          <w:szCs w:val="20"/>
          <w:color w:val="auto"/>
        </w:rPr>
      </w:pPr>
      <w:r>
        <w:rPr>
          <w:rFonts w:ascii="Arial" w:cs="Arial" w:eastAsia="Arial" w:hAnsi="Arial"/>
          <w:sz w:val="20"/>
          <w:szCs w:val="20"/>
          <w:color w:val="auto"/>
        </w:rPr>
        <w:t>A number of new or amended standards became applicable for annual periods beginning on or after January 1, 2026. These standards were assessed to not have any significant impact on the Group’s accounting policies and did not require any retrospective adjustments.</w:t>
      </w:r>
    </w:p>
    <w:p>
      <w:pPr>
        <w:spacing w:after="0" w:line="178" w:lineRule="exact"/>
        <w:rPr>
          <w:sz w:val="20"/>
          <w:szCs w:val="20"/>
          <w:color w:val="auto"/>
        </w:rPr>
      </w:pPr>
    </w:p>
    <w:p>
      <w:pPr>
        <w:ind w:right="160"/>
        <w:spacing w:after="0" w:line="254" w:lineRule="auto"/>
        <w:rPr>
          <w:sz w:val="20"/>
          <w:szCs w:val="20"/>
          <w:color w:val="auto"/>
        </w:rPr>
      </w:pPr>
      <w:r>
        <w:rPr>
          <w:rFonts w:ascii="Arial" w:cs="Arial" w:eastAsia="Arial" w:hAnsi="Arial"/>
          <w:sz w:val="20"/>
          <w:szCs w:val="20"/>
          <w:color w:val="auto"/>
        </w:rPr>
        <w:t>A preliminary assessment on the impact of the implementation of IFRS 18 has been performed; based on this assessment, the Company expects there to be no material impact on the Company's overall financial statements. Based on the initial assessment the Company also expects there to be no Management defined Performance Measures or MPM’s to be reported on. IFRS 18 will not be early adopted. Possible impacts from other new or revised standards have not yet been assessed but are anticipated to be immaterial.</w:t>
      </w:r>
    </w:p>
    <w:p>
      <w:pPr>
        <w:spacing w:after="0" w:line="200" w:lineRule="exact"/>
        <w:rPr>
          <w:sz w:val="20"/>
          <w:szCs w:val="20"/>
          <w:color w:val="auto"/>
        </w:rPr>
      </w:pPr>
    </w:p>
    <w:p>
      <w:pPr>
        <w:spacing w:after="0" w:line="338" w:lineRule="exact"/>
        <w:rPr>
          <w:sz w:val="20"/>
          <w:szCs w:val="20"/>
          <w:color w:val="auto"/>
        </w:rPr>
      </w:pPr>
    </w:p>
    <w:p>
      <w:pPr>
        <w:jc w:val="right"/>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1152" w:right="339" w:bottom="1440" w:gutter="0" w:footer="0" w:header="0"/>
        </w:sectPr>
      </w:pPr>
    </w:p>
    <w:bookmarkStart w:id="18" w:name="page19"/>
    <w:bookmarkEnd w:id="18"/>
    <w:p>
      <w:pPr>
        <w:ind w:left="380" w:hanging="372"/>
        <w:spacing w:after="0"/>
        <w:tabs>
          <w:tab w:leader="none" w:pos="380" w:val="left"/>
        </w:tabs>
        <w:numPr>
          <w:ilvl w:val="0"/>
          <w:numId w:val="7"/>
        </w:numPr>
        <w:rPr>
          <w:rFonts w:ascii="Arial" w:cs="Arial" w:eastAsia="Arial" w:hAnsi="Arial"/>
          <w:sz w:val="20"/>
          <w:szCs w:val="20"/>
          <w:color w:val="auto"/>
        </w:rPr>
      </w:pPr>
      <w:r>
        <w:rPr>
          <w:rFonts w:ascii="Arial" w:cs="Arial" w:eastAsia="Arial" w:hAnsi="Arial"/>
          <w:sz w:val="20"/>
          <w:szCs w:val="20"/>
          <w:color w:val="auto"/>
        </w:rPr>
        <w:t>Accounting estimates and judgments</w:t>
      </w:r>
    </w:p>
    <w:p>
      <w:pPr>
        <w:spacing w:after="0" w:line="229" w:lineRule="exact"/>
        <w:rPr>
          <w:sz w:val="20"/>
          <w:szCs w:val="20"/>
          <w:color w:val="auto"/>
        </w:rPr>
      </w:pPr>
    </w:p>
    <w:p>
      <w:pPr>
        <w:ind w:right="100"/>
        <w:spacing w:after="0" w:line="255" w:lineRule="auto"/>
        <w:rPr>
          <w:sz w:val="20"/>
          <w:szCs w:val="20"/>
          <w:color w:val="auto"/>
        </w:rPr>
      </w:pPr>
      <w:r>
        <w:rPr>
          <w:rFonts w:ascii="Arial" w:cs="Arial" w:eastAsia="Arial" w:hAnsi="Arial"/>
          <w:sz w:val="20"/>
          <w:szCs w:val="20"/>
          <w:color w:val="auto"/>
        </w:rPr>
        <w:t>The condensed consolidated interim financial statements have been prepared under the historical cost convention. In preparing these condensed consolidated interim financial statements, management made judgments, estimates and assumptions that affect the application of accounting policies and the reported amounts of assets and liabilities, income and expenses. Actual results may differ from these estimates.</w:t>
      </w:r>
    </w:p>
    <w:p>
      <w:pPr>
        <w:spacing w:after="0" w:line="184" w:lineRule="exact"/>
        <w:rPr>
          <w:sz w:val="20"/>
          <w:szCs w:val="20"/>
          <w:color w:val="auto"/>
        </w:rPr>
      </w:pPr>
    </w:p>
    <w:p>
      <w:pPr>
        <w:ind w:left="400" w:hanging="392"/>
        <w:spacing w:after="0"/>
        <w:tabs>
          <w:tab w:leader="none" w:pos="400" w:val="left"/>
        </w:tabs>
        <w:numPr>
          <w:ilvl w:val="0"/>
          <w:numId w:val="8"/>
        </w:numPr>
        <w:rPr>
          <w:rFonts w:ascii="Arial" w:cs="Arial" w:eastAsia="Arial" w:hAnsi="Arial"/>
          <w:sz w:val="20"/>
          <w:szCs w:val="20"/>
          <w:color w:val="auto"/>
        </w:rPr>
      </w:pPr>
      <w:r>
        <w:rPr>
          <w:rFonts w:ascii="Arial" w:cs="Arial" w:eastAsia="Arial" w:hAnsi="Arial"/>
          <w:sz w:val="20"/>
          <w:szCs w:val="20"/>
          <w:color w:val="auto"/>
        </w:rPr>
        <w:t>Other explanatory notes</w:t>
      </w:r>
    </w:p>
    <w:p>
      <w:pPr>
        <w:spacing w:after="0" w:line="229"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auto"/>
        </w:rPr>
        <w:t>5.1</w:t>
      </w:r>
      <w:r>
        <w:rPr>
          <w:sz w:val="20"/>
          <w:szCs w:val="20"/>
          <w:color w:val="auto"/>
        </w:rPr>
        <w:tab/>
      </w:r>
      <w:r>
        <w:rPr>
          <w:rFonts w:ascii="Arial" w:cs="Arial" w:eastAsia="Arial" w:hAnsi="Arial"/>
          <w:sz w:val="19"/>
          <w:szCs w:val="19"/>
          <w:color w:val="auto"/>
        </w:rPr>
        <w:t>Other group-wide disclosures</w:t>
      </w:r>
    </w:p>
    <w:p>
      <w:pPr>
        <w:spacing w:after="0" w:line="216" w:lineRule="exact"/>
        <w:rPr>
          <w:sz w:val="20"/>
          <w:szCs w:val="20"/>
          <w:color w:val="auto"/>
        </w:rPr>
      </w:pPr>
    </w:p>
    <w:p>
      <w:pPr>
        <w:ind w:right="120"/>
        <w:spacing w:after="0" w:line="239" w:lineRule="auto"/>
        <w:rPr>
          <w:sz w:val="20"/>
          <w:szCs w:val="20"/>
          <w:color w:val="auto"/>
        </w:rPr>
      </w:pPr>
      <w:r>
        <w:rPr>
          <w:rFonts w:ascii="Arial" w:cs="Arial" w:eastAsia="Arial" w:hAnsi="Arial"/>
          <w:sz w:val="20"/>
          <w:szCs w:val="20"/>
          <w:color w:val="auto"/>
        </w:rPr>
        <w:t xml:space="preserve">On January 5, 2024, the Group announced it entered into a co-development agreement with Orano Med to co-develop </w:t>
      </w:r>
      <w:r>
        <w:rPr>
          <w:rFonts w:ascii="Arial" w:cs="Arial" w:eastAsia="Arial" w:hAnsi="Arial"/>
          <w:sz w:val="25"/>
          <w:szCs w:val="25"/>
          <w:color w:val="auto"/>
          <w:vertAlign w:val="superscript"/>
        </w:rPr>
        <w:t>212</w:t>
      </w:r>
      <w:r>
        <w:rPr>
          <w:rFonts w:ascii="Arial" w:cs="Arial" w:eastAsia="Arial" w:hAnsi="Arial"/>
          <w:sz w:val="20"/>
          <w:szCs w:val="20"/>
          <w:color w:val="auto"/>
        </w:rPr>
        <w:t>Pb-based Radio Darpin Therapies (RDT). Under the terms of the co-development agreement, Molecular Partner’s previously disclosed RDT target DLL3 (delta-like ligand 3) is included in the collaboration with Orano Med. Both companies agree to share the cost of preclinical and clinical development with additional commitments to supply their respective materials.</w:t>
      </w:r>
    </w:p>
    <w:p>
      <w:pPr>
        <w:spacing w:after="0" w:line="201" w:lineRule="exact"/>
        <w:rPr>
          <w:sz w:val="20"/>
          <w:szCs w:val="20"/>
          <w:color w:val="auto"/>
        </w:rPr>
      </w:pPr>
    </w:p>
    <w:p>
      <w:pPr>
        <w:spacing w:after="0"/>
        <w:rPr>
          <w:sz w:val="20"/>
          <w:szCs w:val="20"/>
          <w:color w:val="auto"/>
        </w:rPr>
      </w:pPr>
      <w:r>
        <w:rPr>
          <w:rFonts w:ascii="Arial" w:cs="Arial" w:eastAsia="Arial" w:hAnsi="Arial"/>
          <w:sz w:val="19"/>
          <w:szCs w:val="19"/>
          <w:color w:val="auto"/>
        </w:rPr>
        <w:t>The cost sharing in the first quarter of 2026 resulted in a reimbursement of expenses by Orano Med of TCHF 349 (2025: TCHF</w:t>
      </w:r>
    </w:p>
    <w:p>
      <w:pPr>
        <w:spacing w:after="0" w:line="29" w:lineRule="exact"/>
        <w:rPr>
          <w:sz w:val="20"/>
          <w:szCs w:val="20"/>
          <w:color w:val="auto"/>
        </w:rPr>
      </w:pPr>
    </w:p>
    <w:p>
      <w:pPr>
        <w:ind w:right="6120" w:firstLine="8"/>
        <w:spacing w:after="0" w:line="462" w:lineRule="auto"/>
        <w:tabs>
          <w:tab w:leader="none" w:pos="451" w:val="left"/>
        </w:tabs>
        <w:numPr>
          <w:ilvl w:val="0"/>
          <w:numId w:val="9"/>
        </w:numPr>
        <w:rPr>
          <w:rFonts w:ascii="Arial" w:cs="Arial" w:eastAsia="Arial" w:hAnsi="Arial"/>
          <w:sz w:val="20"/>
          <w:szCs w:val="20"/>
          <w:color w:val="auto"/>
        </w:rPr>
      </w:pPr>
      <w:r>
        <w:rPr>
          <w:rFonts w:ascii="Arial" w:cs="Arial" w:eastAsia="Arial" w:hAnsi="Arial"/>
          <w:sz w:val="20"/>
          <w:szCs w:val="20"/>
          <w:color w:val="auto"/>
        </w:rPr>
        <w:t>reported under research and development expenses. 5.2 Share capital</w:t>
      </w:r>
    </w:p>
    <w:p>
      <w:pPr>
        <w:spacing w:after="0" w:line="1" w:lineRule="exact"/>
        <w:rPr>
          <w:sz w:val="20"/>
          <w:szCs w:val="20"/>
          <w:color w:val="auto"/>
        </w:rPr>
      </w:pPr>
    </w:p>
    <w:p>
      <w:pPr>
        <w:ind w:right="80"/>
        <w:spacing w:after="0" w:line="286" w:lineRule="auto"/>
        <w:rPr>
          <w:sz w:val="20"/>
          <w:szCs w:val="20"/>
          <w:color w:val="auto"/>
        </w:rPr>
      </w:pPr>
      <w:r>
        <w:rPr>
          <w:rFonts w:ascii="Arial" w:cs="Arial" w:eastAsia="Arial" w:hAnsi="Arial"/>
          <w:sz w:val="20"/>
          <w:szCs w:val="20"/>
          <w:color w:val="auto"/>
        </w:rPr>
        <w:t>As of March 31, 2026, the outstanding issued share capital of the Company remained at 4,037,464 divided into 40,374,641 fully paid registered shares (inclusive of 2,863,478 treasury shares).</w:t>
      </w:r>
    </w:p>
    <w:p>
      <w:pPr>
        <w:spacing w:after="0" w:line="154" w:lineRule="exact"/>
        <w:rPr>
          <w:sz w:val="20"/>
          <w:szCs w:val="20"/>
          <w:color w:val="auto"/>
        </w:rPr>
      </w:pPr>
    </w:p>
    <w:p>
      <w:pPr>
        <w:ind w:right="540"/>
        <w:spacing w:after="0" w:line="271" w:lineRule="auto"/>
        <w:rPr>
          <w:sz w:val="20"/>
          <w:szCs w:val="20"/>
          <w:color w:val="auto"/>
        </w:rPr>
      </w:pPr>
      <w:r>
        <w:rPr>
          <w:rFonts w:ascii="Arial" w:cs="Arial" w:eastAsia="Arial" w:hAnsi="Arial"/>
          <w:sz w:val="20"/>
          <w:szCs w:val="20"/>
          <w:color w:val="auto"/>
        </w:rPr>
        <w:t>The following table summarizes the movement in treasury shares held by the Group during the three months period ended March 31, 2026.</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0" w:type="dxa"/>
            <w:vAlign w:val="bottom"/>
            <w:vMerge w:val="restart"/>
          </w:tcPr>
          <w:p>
            <w:pPr>
              <w:ind w:left="20"/>
              <w:spacing w:after="0"/>
              <w:rPr>
                <w:sz w:val="20"/>
                <w:szCs w:val="20"/>
                <w:color w:val="auto"/>
              </w:rPr>
            </w:pPr>
            <w:r>
              <w:rPr>
                <w:rFonts w:ascii="Arial" w:cs="Arial" w:eastAsia="Arial" w:hAnsi="Arial"/>
                <w:sz w:val="20"/>
                <w:szCs w:val="20"/>
                <w:color w:val="auto"/>
              </w:rPr>
              <w:t>In CHF thousands</w:t>
            </w:r>
          </w:p>
        </w:tc>
        <w:tc>
          <w:tcPr>
            <w:tcW w:w="2160" w:type="dxa"/>
            <w:vAlign w:val="bottom"/>
          </w:tcPr>
          <w:p>
            <w:pPr>
              <w:jc w:val="right"/>
              <w:ind w:right="221"/>
              <w:spacing w:after="0"/>
              <w:rPr>
                <w:sz w:val="20"/>
                <w:szCs w:val="20"/>
                <w:color w:val="auto"/>
              </w:rPr>
            </w:pPr>
            <w:r>
              <w:rPr>
                <w:rFonts w:ascii="Arial" w:cs="Arial" w:eastAsia="Arial" w:hAnsi="Arial"/>
                <w:sz w:val="20"/>
                <w:szCs w:val="20"/>
                <w:color w:val="auto"/>
              </w:rPr>
              <w:t>Number of</w:t>
            </w:r>
          </w:p>
        </w:tc>
        <w:tc>
          <w:tcPr>
            <w:tcW w:w="1620" w:type="dxa"/>
            <w:vAlign w:val="bottom"/>
          </w:tcPr>
          <w:p>
            <w:pPr>
              <w:jc w:val="right"/>
              <w:ind w:right="61"/>
              <w:spacing w:after="0"/>
              <w:rPr>
                <w:sz w:val="20"/>
                <w:szCs w:val="20"/>
                <w:color w:val="auto"/>
              </w:rPr>
            </w:pPr>
            <w:r>
              <w:rPr>
                <w:rFonts w:ascii="Arial" w:cs="Arial" w:eastAsia="Arial" w:hAnsi="Arial"/>
                <w:sz w:val="20"/>
                <w:szCs w:val="20"/>
                <w:color w:val="auto"/>
                <w:w w:val="99"/>
              </w:rPr>
              <w:t>Average price in</w:t>
            </w:r>
          </w:p>
        </w:tc>
        <w:tc>
          <w:tcPr>
            <w:tcW w:w="1440" w:type="dxa"/>
            <w:vAlign w:val="bottom"/>
          </w:tcPr>
          <w:p>
            <w:pPr>
              <w:jc w:val="right"/>
              <w:ind w:right="181"/>
              <w:spacing w:after="0"/>
              <w:rPr>
                <w:sz w:val="20"/>
                <w:szCs w:val="20"/>
                <w:color w:val="auto"/>
              </w:rPr>
            </w:pPr>
            <w:r>
              <w:rPr>
                <w:rFonts w:ascii="Arial" w:cs="Arial" w:eastAsia="Arial" w:hAnsi="Arial"/>
                <w:sz w:val="20"/>
                <w:szCs w:val="20"/>
                <w:color w:val="auto"/>
              </w:rPr>
              <w:t>Total TCHF</w:t>
            </w:r>
          </w:p>
        </w:tc>
        <w:tc>
          <w:tcPr>
            <w:tcW w:w="0" w:type="dxa"/>
            <w:vAlign w:val="bottom"/>
          </w:tcPr>
          <w:p>
            <w:pPr>
              <w:spacing w:after="0"/>
              <w:rPr>
                <w:sz w:val="1"/>
                <w:szCs w:val="1"/>
                <w:color w:val="auto"/>
              </w:rPr>
            </w:pPr>
          </w:p>
        </w:tc>
      </w:tr>
      <w:tr>
        <w:trPr>
          <w:trHeight w:val="257"/>
        </w:trPr>
        <w:tc>
          <w:tcPr>
            <w:tcW w:w="5200" w:type="dxa"/>
            <w:vAlign w:val="bottom"/>
            <w:tcBorders>
              <w:bottom w:val="single" w:sz="8" w:color="EE2724"/>
            </w:tcBorders>
            <w:vMerge w:val="continue"/>
          </w:tcPr>
          <w:p>
            <w:pPr>
              <w:spacing w:after="0"/>
              <w:rPr>
                <w:sz w:val="22"/>
                <w:szCs w:val="22"/>
                <w:color w:val="auto"/>
              </w:rPr>
            </w:pPr>
          </w:p>
        </w:tc>
        <w:tc>
          <w:tcPr>
            <w:tcW w:w="2160" w:type="dxa"/>
            <w:vAlign w:val="bottom"/>
            <w:tcBorders>
              <w:bottom w:val="single" w:sz="8" w:color="EE2724"/>
            </w:tcBorders>
          </w:tcPr>
          <w:p>
            <w:pPr>
              <w:jc w:val="right"/>
              <w:spacing w:after="0"/>
              <w:rPr>
                <w:sz w:val="20"/>
                <w:szCs w:val="20"/>
                <w:color w:val="auto"/>
              </w:rPr>
            </w:pPr>
            <w:r>
              <w:rPr>
                <w:rFonts w:ascii="Arial" w:cs="Arial" w:eastAsia="Arial" w:hAnsi="Arial"/>
                <w:sz w:val="20"/>
                <w:szCs w:val="20"/>
                <w:color w:val="auto"/>
              </w:rPr>
              <w:t>Treasury shares</w:t>
            </w:r>
          </w:p>
        </w:tc>
        <w:tc>
          <w:tcPr>
            <w:tcW w:w="1620" w:type="dxa"/>
            <w:vAlign w:val="bottom"/>
            <w:tcBorders>
              <w:bottom w:val="single" w:sz="8" w:color="EE2724"/>
            </w:tcBorders>
          </w:tcPr>
          <w:p>
            <w:pPr>
              <w:jc w:val="right"/>
              <w:ind w:right="561"/>
              <w:spacing w:after="0"/>
              <w:rPr>
                <w:sz w:val="20"/>
                <w:szCs w:val="20"/>
                <w:color w:val="auto"/>
              </w:rPr>
            </w:pPr>
            <w:r>
              <w:rPr>
                <w:rFonts w:ascii="Arial" w:cs="Arial" w:eastAsia="Arial" w:hAnsi="Arial"/>
                <w:sz w:val="20"/>
                <w:szCs w:val="20"/>
                <w:color w:val="auto"/>
              </w:rPr>
              <w:t>CHF</w:t>
            </w:r>
          </w:p>
        </w:tc>
        <w:tc>
          <w:tcPr>
            <w:tcW w:w="1440" w:type="dxa"/>
            <w:vAlign w:val="bottom"/>
            <w:tcBorders>
              <w:bottom w:val="single" w:sz="8" w:color="EE2724"/>
            </w:tcBorders>
          </w:tcPr>
          <w:p>
            <w:pPr>
              <w:jc w:val="right"/>
              <w:ind w:right="441"/>
              <w:spacing w:after="0"/>
              <w:rPr>
                <w:sz w:val="20"/>
                <w:szCs w:val="20"/>
                <w:color w:val="auto"/>
              </w:rPr>
            </w:pPr>
            <w:r>
              <w:rPr>
                <w:rFonts w:ascii="Arial" w:cs="Arial" w:eastAsia="Arial" w:hAnsi="Arial"/>
                <w:sz w:val="20"/>
                <w:szCs w:val="20"/>
                <w:color w:val="auto"/>
              </w:rPr>
              <w:t>value</w:t>
            </w:r>
          </w:p>
        </w:tc>
        <w:tc>
          <w:tcPr>
            <w:tcW w:w="0" w:type="dxa"/>
            <w:vAlign w:val="bottom"/>
          </w:tcPr>
          <w:p>
            <w:pPr>
              <w:spacing w:after="0"/>
              <w:rPr>
                <w:sz w:val="1"/>
                <w:szCs w:val="1"/>
                <w:color w:val="auto"/>
              </w:rPr>
            </w:pPr>
          </w:p>
        </w:tc>
      </w:tr>
      <w:tr>
        <w:trPr>
          <w:trHeight w:val="355"/>
        </w:trPr>
        <w:tc>
          <w:tcPr>
            <w:tcW w:w="5200" w:type="dxa"/>
            <w:vAlign w:val="bottom"/>
          </w:tcPr>
          <w:p>
            <w:pPr>
              <w:ind w:left="20"/>
              <w:spacing w:after="0"/>
              <w:rPr>
                <w:sz w:val="20"/>
                <w:szCs w:val="20"/>
                <w:color w:val="auto"/>
              </w:rPr>
            </w:pPr>
            <w:r>
              <w:rPr>
                <w:rFonts w:ascii="Arial" w:cs="Arial" w:eastAsia="Arial" w:hAnsi="Arial"/>
                <w:sz w:val="20"/>
                <w:szCs w:val="20"/>
                <w:color w:val="auto"/>
              </w:rPr>
              <w:t>As of January 1, 2026</w:t>
            </w:r>
          </w:p>
        </w:tc>
        <w:tc>
          <w:tcPr>
            <w:tcW w:w="2160" w:type="dxa"/>
            <w:vAlign w:val="bottom"/>
          </w:tcPr>
          <w:p>
            <w:pPr>
              <w:jc w:val="right"/>
              <w:ind w:right="1"/>
              <w:spacing w:after="0"/>
              <w:rPr>
                <w:sz w:val="20"/>
                <w:szCs w:val="20"/>
                <w:color w:val="auto"/>
              </w:rPr>
            </w:pPr>
            <w:r>
              <w:rPr>
                <w:rFonts w:ascii="Arial" w:cs="Arial" w:eastAsia="Arial" w:hAnsi="Arial"/>
                <w:sz w:val="20"/>
                <w:szCs w:val="20"/>
                <w:color w:val="auto"/>
              </w:rPr>
              <w:t>2,962,973</w:t>
            </w:r>
          </w:p>
        </w:tc>
        <w:tc>
          <w:tcPr>
            <w:tcW w:w="1620" w:type="dxa"/>
            <w:vAlign w:val="bottom"/>
          </w:tcPr>
          <w:p>
            <w:pPr>
              <w:jc w:val="right"/>
              <w:ind w:right="81"/>
              <w:spacing w:after="0"/>
              <w:rPr>
                <w:sz w:val="20"/>
                <w:szCs w:val="20"/>
                <w:color w:val="auto"/>
              </w:rPr>
            </w:pPr>
            <w:r>
              <w:rPr>
                <w:rFonts w:ascii="Arial" w:cs="Arial" w:eastAsia="Arial" w:hAnsi="Arial"/>
                <w:sz w:val="20"/>
                <w:szCs w:val="20"/>
                <w:color w:val="auto"/>
              </w:rPr>
              <w:t>0.38</w:t>
            </w:r>
          </w:p>
        </w:tc>
        <w:tc>
          <w:tcPr>
            <w:tcW w:w="1440" w:type="dxa"/>
            <w:vAlign w:val="bottom"/>
          </w:tcPr>
          <w:p>
            <w:pPr>
              <w:jc w:val="right"/>
              <w:spacing w:after="0"/>
              <w:rPr>
                <w:sz w:val="20"/>
                <w:szCs w:val="20"/>
                <w:color w:val="auto"/>
              </w:rPr>
            </w:pPr>
            <w:r>
              <w:rPr>
                <w:rFonts w:ascii="Arial" w:cs="Arial" w:eastAsia="Arial" w:hAnsi="Arial"/>
                <w:sz w:val="20"/>
                <w:szCs w:val="20"/>
                <w:color w:val="auto"/>
              </w:rPr>
              <w:t>1,129</w:t>
            </w:r>
          </w:p>
        </w:tc>
        <w:tc>
          <w:tcPr>
            <w:tcW w:w="0" w:type="dxa"/>
            <w:vAlign w:val="bottom"/>
          </w:tcPr>
          <w:p>
            <w:pPr>
              <w:spacing w:after="0"/>
              <w:rPr>
                <w:sz w:val="1"/>
                <w:szCs w:val="1"/>
                <w:color w:val="auto"/>
              </w:rPr>
            </w:pPr>
          </w:p>
        </w:tc>
      </w:tr>
      <w:tr>
        <w:trPr>
          <w:trHeight w:val="246"/>
        </w:trPr>
        <w:tc>
          <w:tcPr>
            <w:tcW w:w="5200" w:type="dxa"/>
            <w:vAlign w:val="bottom"/>
            <w:tcBorders>
              <w:bottom w:val="single" w:sz="8" w:color="BC2327"/>
            </w:tcBorders>
          </w:tcPr>
          <w:p>
            <w:pPr>
              <w:spacing w:after="0"/>
              <w:rPr>
                <w:sz w:val="21"/>
                <w:szCs w:val="21"/>
                <w:color w:val="auto"/>
              </w:rPr>
            </w:pPr>
          </w:p>
        </w:tc>
        <w:tc>
          <w:tcPr>
            <w:tcW w:w="2160" w:type="dxa"/>
            <w:vAlign w:val="bottom"/>
            <w:tcBorders>
              <w:bottom w:val="single" w:sz="8" w:color="BC2327"/>
            </w:tcBorders>
          </w:tcPr>
          <w:p>
            <w:pPr>
              <w:spacing w:after="0"/>
              <w:rPr>
                <w:sz w:val="21"/>
                <w:szCs w:val="21"/>
                <w:color w:val="auto"/>
              </w:rPr>
            </w:pPr>
          </w:p>
        </w:tc>
        <w:tc>
          <w:tcPr>
            <w:tcW w:w="1620" w:type="dxa"/>
            <w:vAlign w:val="bottom"/>
            <w:tcBorders>
              <w:bottom w:val="single" w:sz="8" w:color="BC2327"/>
            </w:tcBorders>
          </w:tcPr>
          <w:p>
            <w:pPr>
              <w:spacing w:after="0"/>
              <w:rPr>
                <w:sz w:val="21"/>
                <w:szCs w:val="21"/>
                <w:color w:val="auto"/>
              </w:rPr>
            </w:pPr>
          </w:p>
        </w:tc>
        <w:tc>
          <w:tcPr>
            <w:tcW w:w="1440" w:type="dxa"/>
            <w:vAlign w:val="bottom"/>
            <w:tcBorders>
              <w:bottom w:val="single" w:sz="8" w:color="BC2327"/>
            </w:tcBorders>
          </w:tcPr>
          <w:p>
            <w:pPr>
              <w:spacing w:after="0"/>
              <w:rPr>
                <w:sz w:val="21"/>
                <w:szCs w:val="21"/>
                <w:color w:val="auto"/>
              </w:rPr>
            </w:pPr>
          </w:p>
        </w:tc>
        <w:tc>
          <w:tcPr>
            <w:tcW w:w="0" w:type="dxa"/>
            <w:vAlign w:val="bottom"/>
          </w:tcPr>
          <w:p>
            <w:pPr>
              <w:spacing w:after="0"/>
              <w:rPr>
                <w:sz w:val="1"/>
                <w:szCs w:val="1"/>
                <w:color w:val="auto"/>
              </w:rPr>
            </w:pPr>
          </w:p>
        </w:tc>
      </w:tr>
      <w:tr>
        <w:trPr>
          <w:trHeight w:val="268"/>
        </w:trPr>
        <w:tc>
          <w:tcPr>
            <w:tcW w:w="5200" w:type="dxa"/>
            <w:vAlign w:val="bottom"/>
          </w:tcPr>
          <w:p>
            <w:pPr>
              <w:ind w:left="20"/>
              <w:spacing w:after="0"/>
              <w:rPr>
                <w:sz w:val="20"/>
                <w:szCs w:val="20"/>
                <w:color w:val="auto"/>
              </w:rPr>
            </w:pPr>
            <w:r>
              <w:rPr>
                <w:rFonts w:ascii="Arial" w:cs="Arial" w:eastAsia="Arial" w:hAnsi="Arial"/>
                <w:sz w:val="18"/>
                <w:szCs w:val="18"/>
                <w:color w:val="auto"/>
              </w:rPr>
              <w:t>Shares vested under the PSU program</w:t>
            </w:r>
          </w:p>
        </w:tc>
        <w:tc>
          <w:tcPr>
            <w:tcW w:w="2160" w:type="dxa"/>
            <w:vAlign w:val="bottom"/>
          </w:tcPr>
          <w:p>
            <w:pPr>
              <w:jc w:val="right"/>
              <w:spacing w:after="0"/>
              <w:rPr>
                <w:sz w:val="20"/>
                <w:szCs w:val="20"/>
                <w:color w:val="auto"/>
              </w:rPr>
            </w:pPr>
            <w:r>
              <w:rPr>
                <w:rFonts w:ascii="Arial" w:cs="Arial" w:eastAsia="Arial" w:hAnsi="Arial"/>
                <w:sz w:val="20"/>
                <w:szCs w:val="20"/>
                <w:color w:val="auto"/>
              </w:rPr>
              <w:t>(84,763)</w:t>
            </w:r>
          </w:p>
        </w:tc>
        <w:tc>
          <w:tcPr>
            <w:tcW w:w="1620" w:type="dxa"/>
            <w:vAlign w:val="bottom"/>
          </w:tcPr>
          <w:p>
            <w:pPr>
              <w:jc w:val="right"/>
              <w:ind w:right="81"/>
              <w:spacing w:after="0"/>
              <w:rPr>
                <w:sz w:val="20"/>
                <w:szCs w:val="20"/>
                <w:color w:val="auto"/>
              </w:rPr>
            </w:pPr>
            <w:r>
              <w:rPr>
                <w:rFonts w:ascii="Arial" w:cs="Arial" w:eastAsia="Arial" w:hAnsi="Arial"/>
                <w:sz w:val="20"/>
                <w:szCs w:val="20"/>
                <w:color w:val="auto"/>
              </w:rPr>
              <w:t>0.28</w:t>
            </w:r>
          </w:p>
        </w:tc>
        <w:tc>
          <w:tcPr>
            <w:tcW w:w="1440" w:type="dxa"/>
            <w:vAlign w:val="bottom"/>
          </w:tcPr>
          <w:p>
            <w:pPr>
              <w:jc w:val="right"/>
              <w:spacing w:after="0"/>
              <w:rPr>
                <w:sz w:val="20"/>
                <w:szCs w:val="20"/>
                <w:color w:val="auto"/>
              </w:rPr>
            </w:pPr>
            <w:r>
              <w:rPr>
                <w:rFonts w:ascii="Arial" w:cs="Arial" w:eastAsia="Arial" w:hAnsi="Arial"/>
                <w:sz w:val="20"/>
                <w:szCs w:val="20"/>
                <w:color w:val="auto"/>
              </w:rPr>
              <w:t>(24)</w:t>
            </w:r>
          </w:p>
        </w:tc>
        <w:tc>
          <w:tcPr>
            <w:tcW w:w="0" w:type="dxa"/>
            <w:vAlign w:val="bottom"/>
          </w:tcPr>
          <w:p>
            <w:pPr>
              <w:spacing w:after="0"/>
              <w:rPr>
                <w:sz w:val="1"/>
                <w:szCs w:val="1"/>
                <w:color w:val="auto"/>
              </w:rPr>
            </w:pPr>
          </w:p>
        </w:tc>
      </w:tr>
      <w:tr>
        <w:trPr>
          <w:trHeight w:val="513"/>
        </w:trPr>
        <w:tc>
          <w:tcPr>
            <w:tcW w:w="5200" w:type="dxa"/>
            <w:vAlign w:val="bottom"/>
          </w:tcPr>
          <w:p>
            <w:pPr>
              <w:ind w:left="20"/>
              <w:spacing w:after="0"/>
              <w:rPr>
                <w:sz w:val="20"/>
                <w:szCs w:val="20"/>
                <w:color w:val="auto"/>
              </w:rPr>
            </w:pPr>
            <w:r>
              <w:rPr>
                <w:rFonts w:ascii="Arial" w:cs="Arial" w:eastAsia="Arial" w:hAnsi="Arial"/>
                <w:sz w:val="18"/>
                <w:szCs w:val="18"/>
                <w:color w:val="auto"/>
              </w:rPr>
              <w:t>Shares withheld to cover social security and tax liabilities</w:t>
            </w:r>
          </w:p>
        </w:tc>
        <w:tc>
          <w:tcPr>
            <w:tcW w:w="2160" w:type="dxa"/>
            <w:vAlign w:val="bottom"/>
          </w:tcPr>
          <w:p>
            <w:pPr>
              <w:jc w:val="right"/>
              <w:ind w:right="1"/>
              <w:spacing w:after="0"/>
              <w:rPr>
                <w:sz w:val="20"/>
                <w:szCs w:val="20"/>
                <w:color w:val="auto"/>
              </w:rPr>
            </w:pPr>
            <w:r>
              <w:rPr>
                <w:rFonts w:ascii="Arial" w:cs="Arial" w:eastAsia="Arial" w:hAnsi="Arial"/>
                <w:sz w:val="20"/>
                <w:szCs w:val="20"/>
                <w:color w:val="auto"/>
              </w:rPr>
              <w:t>10,268</w:t>
            </w:r>
          </w:p>
        </w:tc>
        <w:tc>
          <w:tcPr>
            <w:tcW w:w="1620" w:type="dxa"/>
            <w:vAlign w:val="bottom"/>
          </w:tcPr>
          <w:p>
            <w:pPr>
              <w:jc w:val="right"/>
              <w:ind w:right="81"/>
              <w:spacing w:after="0"/>
              <w:rPr>
                <w:sz w:val="20"/>
                <w:szCs w:val="20"/>
                <w:color w:val="auto"/>
              </w:rPr>
            </w:pPr>
            <w:r>
              <w:rPr>
                <w:rFonts w:ascii="Arial" w:cs="Arial" w:eastAsia="Arial" w:hAnsi="Arial"/>
                <w:sz w:val="20"/>
                <w:szCs w:val="20"/>
                <w:color w:val="auto"/>
              </w:rPr>
              <w:t>3.39</w:t>
            </w:r>
          </w:p>
        </w:tc>
        <w:tc>
          <w:tcPr>
            <w:tcW w:w="1440" w:type="dxa"/>
            <w:vAlign w:val="bottom"/>
          </w:tcPr>
          <w:p>
            <w:pPr>
              <w:jc w:val="right"/>
              <w:spacing w:after="0"/>
              <w:rPr>
                <w:sz w:val="20"/>
                <w:szCs w:val="20"/>
                <w:color w:val="auto"/>
              </w:rPr>
            </w:pPr>
            <w:r>
              <w:rPr>
                <w:rFonts w:ascii="Arial" w:cs="Arial" w:eastAsia="Arial" w:hAnsi="Arial"/>
                <w:sz w:val="20"/>
                <w:szCs w:val="20"/>
                <w:color w:val="auto"/>
              </w:rPr>
              <w:t>35</w:t>
            </w:r>
          </w:p>
        </w:tc>
        <w:tc>
          <w:tcPr>
            <w:tcW w:w="0" w:type="dxa"/>
            <w:vAlign w:val="bottom"/>
          </w:tcPr>
          <w:p>
            <w:pPr>
              <w:spacing w:after="0"/>
              <w:rPr>
                <w:sz w:val="1"/>
                <w:szCs w:val="1"/>
                <w:color w:val="auto"/>
              </w:rPr>
            </w:pPr>
          </w:p>
        </w:tc>
      </w:tr>
      <w:tr>
        <w:trPr>
          <w:trHeight w:val="513"/>
        </w:trPr>
        <w:tc>
          <w:tcPr>
            <w:tcW w:w="5200" w:type="dxa"/>
            <w:vAlign w:val="bottom"/>
          </w:tcPr>
          <w:p>
            <w:pPr>
              <w:ind w:left="20"/>
              <w:spacing w:after="0"/>
              <w:rPr>
                <w:sz w:val="20"/>
                <w:szCs w:val="20"/>
                <w:color w:val="auto"/>
              </w:rPr>
            </w:pPr>
            <w:r>
              <w:rPr>
                <w:rFonts w:ascii="Arial" w:cs="Arial" w:eastAsia="Arial" w:hAnsi="Arial"/>
                <w:sz w:val="18"/>
                <w:szCs w:val="18"/>
                <w:color w:val="auto"/>
              </w:rPr>
              <w:t>Other equity-settled transactions</w:t>
            </w:r>
          </w:p>
        </w:tc>
        <w:tc>
          <w:tcPr>
            <w:tcW w:w="2160" w:type="dxa"/>
            <w:vAlign w:val="bottom"/>
          </w:tcPr>
          <w:p>
            <w:pPr>
              <w:jc w:val="right"/>
              <w:spacing w:after="0"/>
              <w:rPr>
                <w:sz w:val="20"/>
                <w:szCs w:val="20"/>
                <w:color w:val="auto"/>
              </w:rPr>
            </w:pPr>
            <w:r>
              <w:rPr>
                <w:rFonts w:ascii="Arial" w:cs="Arial" w:eastAsia="Arial" w:hAnsi="Arial"/>
                <w:sz w:val="20"/>
                <w:szCs w:val="20"/>
                <w:color w:val="auto"/>
              </w:rPr>
              <w:t>(25,000)</w:t>
            </w:r>
          </w:p>
        </w:tc>
        <w:tc>
          <w:tcPr>
            <w:tcW w:w="1620" w:type="dxa"/>
            <w:vAlign w:val="bottom"/>
          </w:tcPr>
          <w:p>
            <w:pPr>
              <w:jc w:val="right"/>
              <w:ind w:right="81"/>
              <w:spacing w:after="0"/>
              <w:rPr>
                <w:sz w:val="20"/>
                <w:szCs w:val="20"/>
                <w:color w:val="auto"/>
              </w:rPr>
            </w:pPr>
            <w:r>
              <w:rPr>
                <w:rFonts w:ascii="Arial" w:cs="Arial" w:eastAsia="Arial" w:hAnsi="Arial"/>
                <w:sz w:val="20"/>
                <w:szCs w:val="20"/>
                <w:color w:val="auto"/>
              </w:rPr>
              <w:t>0.28</w:t>
            </w:r>
          </w:p>
        </w:tc>
        <w:tc>
          <w:tcPr>
            <w:tcW w:w="1440" w:type="dxa"/>
            <w:vAlign w:val="bottom"/>
          </w:tcPr>
          <w:p>
            <w:pPr>
              <w:jc w:val="right"/>
              <w:spacing w:after="0"/>
              <w:rPr>
                <w:sz w:val="20"/>
                <w:szCs w:val="20"/>
                <w:color w:val="auto"/>
              </w:rPr>
            </w:pPr>
            <w:r>
              <w:rPr>
                <w:rFonts w:ascii="Arial" w:cs="Arial" w:eastAsia="Arial" w:hAnsi="Arial"/>
                <w:sz w:val="20"/>
                <w:szCs w:val="20"/>
                <w:color w:val="auto"/>
              </w:rPr>
              <w:t>(7)</w:t>
            </w:r>
          </w:p>
        </w:tc>
        <w:tc>
          <w:tcPr>
            <w:tcW w:w="0" w:type="dxa"/>
            <w:vAlign w:val="bottom"/>
          </w:tcPr>
          <w:p>
            <w:pPr>
              <w:spacing w:after="0"/>
              <w:rPr>
                <w:sz w:val="1"/>
                <w:szCs w:val="1"/>
                <w:color w:val="auto"/>
              </w:rPr>
            </w:pPr>
          </w:p>
        </w:tc>
      </w:tr>
      <w:tr>
        <w:trPr>
          <w:trHeight w:val="506"/>
        </w:trPr>
        <w:tc>
          <w:tcPr>
            <w:tcW w:w="5200" w:type="dxa"/>
            <w:vAlign w:val="bottom"/>
          </w:tcPr>
          <w:p>
            <w:pPr>
              <w:ind w:left="20"/>
              <w:spacing w:after="0"/>
              <w:rPr>
                <w:sz w:val="20"/>
                <w:szCs w:val="20"/>
                <w:color w:val="auto"/>
              </w:rPr>
            </w:pPr>
            <w:r>
              <w:rPr>
                <w:rFonts w:ascii="Arial" w:cs="Arial" w:eastAsia="Arial" w:hAnsi="Arial"/>
                <w:sz w:val="20"/>
                <w:szCs w:val="20"/>
                <w:color w:val="auto"/>
              </w:rPr>
              <w:t>Shares as of March 31, 2026</w:t>
            </w:r>
          </w:p>
        </w:tc>
        <w:tc>
          <w:tcPr>
            <w:tcW w:w="2160" w:type="dxa"/>
            <w:vAlign w:val="bottom"/>
          </w:tcPr>
          <w:p>
            <w:pPr>
              <w:jc w:val="right"/>
              <w:ind w:right="1"/>
              <w:spacing w:after="0"/>
              <w:rPr>
                <w:sz w:val="20"/>
                <w:szCs w:val="20"/>
                <w:color w:val="auto"/>
              </w:rPr>
            </w:pPr>
            <w:r>
              <w:rPr>
                <w:rFonts w:ascii="Arial" w:cs="Arial" w:eastAsia="Arial" w:hAnsi="Arial"/>
                <w:sz w:val="20"/>
                <w:szCs w:val="20"/>
                <w:color w:val="auto"/>
              </w:rPr>
              <w:t>2,863,478</w:t>
            </w:r>
          </w:p>
        </w:tc>
        <w:tc>
          <w:tcPr>
            <w:tcW w:w="1620" w:type="dxa"/>
            <w:vAlign w:val="bottom"/>
          </w:tcPr>
          <w:p>
            <w:pPr>
              <w:jc w:val="right"/>
              <w:ind w:right="81"/>
              <w:spacing w:after="0"/>
              <w:rPr>
                <w:sz w:val="20"/>
                <w:szCs w:val="20"/>
                <w:color w:val="auto"/>
              </w:rPr>
            </w:pPr>
            <w:r>
              <w:rPr>
                <w:rFonts w:ascii="Arial" w:cs="Arial" w:eastAsia="Arial" w:hAnsi="Arial"/>
                <w:sz w:val="20"/>
                <w:szCs w:val="20"/>
                <w:color w:val="auto"/>
              </w:rPr>
              <w:t>0.40</w:t>
            </w:r>
          </w:p>
        </w:tc>
        <w:tc>
          <w:tcPr>
            <w:tcW w:w="1440" w:type="dxa"/>
            <w:vAlign w:val="bottom"/>
          </w:tcPr>
          <w:p>
            <w:pPr>
              <w:jc w:val="right"/>
              <w:spacing w:after="0"/>
              <w:rPr>
                <w:sz w:val="20"/>
                <w:szCs w:val="20"/>
                <w:color w:val="auto"/>
              </w:rPr>
            </w:pPr>
            <w:r>
              <w:rPr>
                <w:rFonts w:ascii="Arial" w:cs="Arial" w:eastAsia="Arial" w:hAnsi="Arial"/>
                <w:sz w:val="20"/>
                <w:szCs w:val="20"/>
                <w:color w:val="auto"/>
              </w:rPr>
              <w:t>1,133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66090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09080" cy="825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4"/>
          <w:szCs w:val="14"/>
          <w:color w:val="auto"/>
        </w:rPr>
        <w:t>Treasury shares are measured at a FIFO principle</w:t>
      </w:r>
      <w:r>
        <w:rPr>
          <w:rFonts w:ascii="Arial" w:cs="Arial" w:eastAsia="Arial" w:hAnsi="Arial"/>
          <w:sz w:val="19"/>
          <w:szCs w:val="19"/>
          <w:color w:val="auto"/>
        </w:rPr>
        <w:t>.</w:t>
      </w:r>
    </w:p>
    <w:p>
      <w:pPr>
        <w:spacing w:after="0" w:line="241" w:lineRule="exact"/>
        <w:rPr>
          <w:sz w:val="20"/>
          <w:szCs w:val="20"/>
          <w:color w:val="auto"/>
        </w:rPr>
      </w:pPr>
    </w:p>
    <w:p>
      <w:pPr>
        <w:ind w:right="700"/>
        <w:spacing w:after="0" w:line="286" w:lineRule="auto"/>
        <w:rPr>
          <w:sz w:val="20"/>
          <w:szCs w:val="20"/>
          <w:color w:val="auto"/>
        </w:rPr>
      </w:pPr>
      <w:r>
        <w:rPr>
          <w:rFonts w:ascii="Arial" w:cs="Arial" w:eastAsia="Arial" w:hAnsi="Arial"/>
          <w:sz w:val="20"/>
          <w:szCs w:val="20"/>
          <w:color w:val="auto"/>
        </w:rPr>
        <w:t>The 10,268 shares were withheld from vested awards to cover employees’ and Board of Directors' income tax and social security contributions.</w:t>
      </w:r>
    </w:p>
    <w:p>
      <w:pPr>
        <w:spacing w:after="0" w:line="140"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auto"/>
        </w:rPr>
        <w:t>5.3</w:t>
        <w:tab/>
        <w:t>Dividends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The Group has paid no dividends since its inception and does not anticipate paying dividends in the foreseeable future.</w:t>
      </w:r>
    </w:p>
    <w:p>
      <w:pPr>
        <w:spacing w:after="0" w:line="216"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auto"/>
        </w:rPr>
        <w:t>5.4</w:t>
      </w:r>
      <w:r>
        <w:rPr>
          <w:sz w:val="20"/>
          <w:szCs w:val="20"/>
          <w:color w:val="auto"/>
        </w:rPr>
        <w:tab/>
      </w:r>
      <w:r>
        <w:rPr>
          <w:rFonts w:ascii="Arial" w:cs="Arial" w:eastAsia="Arial" w:hAnsi="Arial"/>
          <w:sz w:val="19"/>
          <w:szCs w:val="19"/>
          <w:color w:val="auto"/>
        </w:rPr>
        <w:t>Share-based compensation</w:t>
      </w:r>
    </w:p>
    <w:p>
      <w:pPr>
        <w:spacing w:after="0" w:line="229" w:lineRule="exact"/>
        <w:rPr>
          <w:sz w:val="20"/>
          <w:szCs w:val="20"/>
          <w:color w:val="auto"/>
        </w:rPr>
      </w:pPr>
    </w:p>
    <w:p>
      <w:pPr>
        <w:ind w:right="100"/>
        <w:spacing w:after="0" w:line="286" w:lineRule="auto"/>
        <w:rPr>
          <w:sz w:val="20"/>
          <w:szCs w:val="20"/>
          <w:color w:val="auto"/>
        </w:rPr>
      </w:pPr>
      <w:r>
        <w:rPr>
          <w:rFonts w:ascii="Arial" w:cs="Arial" w:eastAsia="Arial" w:hAnsi="Arial"/>
          <w:sz w:val="20"/>
          <w:szCs w:val="20"/>
          <w:color w:val="auto"/>
        </w:rPr>
        <w:t>As of March 31, 2026, a total of 2,722,774 PSUs and 504,543 Restricted Stock Units ("RSUs") were outstanding, of which none were vested (as of December 31, 2025, a total of 2,918,458 PSUs and 504,543 RSUs were outstanding).</w:t>
      </w:r>
    </w:p>
    <w:p>
      <w:pPr>
        <w:spacing w:after="0" w:line="32" w:lineRule="exact"/>
        <w:rPr>
          <w:sz w:val="20"/>
          <w:szCs w:val="20"/>
          <w:color w:val="auto"/>
        </w:rPr>
      </w:pPr>
    </w:p>
    <w:p>
      <w:pPr>
        <w:spacing w:after="0"/>
        <w:rPr>
          <w:sz w:val="20"/>
          <w:szCs w:val="20"/>
          <w:color w:val="auto"/>
        </w:rPr>
      </w:pPr>
      <w:r>
        <w:rPr>
          <w:rFonts w:ascii="Arial" w:cs="Arial" w:eastAsia="Arial" w:hAnsi="Arial"/>
          <w:sz w:val="20"/>
          <w:szCs w:val="20"/>
          <w:color w:val="auto"/>
        </w:rPr>
        <w:t>The changes in the number of share-based awards (RSUs and PSUs) outstanding during the three month period ended</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March 31, 2026, is as follows:</w:t>
      </w:r>
    </w:p>
    <w:p>
      <w:pPr>
        <w:sectPr>
          <w:pgSz w:w="11900" w:h="16838" w:orient="portrait"/>
          <w:cols w:equalWidth="0" w:num="1">
            <w:col w:w="11240"/>
          </w:cols>
          <w:pgMar w:left="320" w:top="1144" w:right="339" w:bottom="1108" w:gutter="0" w:footer="0" w:header="0"/>
        </w:sectPr>
      </w:pPr>
    </w:p>
    <w:p>
      <w:pPr>
        <w:spacing w:after="0" w:line="200" w:lineRule="exact"/>
        <w:rPr>
          <w:sz w:val="20"/>
          <w:szCs w:val="20"/>
          <w:color w:val="auto"/>
        </w:rPr>
      </w:pPr>
    </w:p>
    <w:p>
      <w:pPr>
        <w:spacing w:after="0" w:line="362" w:lineRule="exact"/>
        <w:rPr>
          <w:sz w:val="20"/>
          <w:szCs w:val="20"/>
          <w:color w:val="auto"/>
        </w:rPr>
      </w:pPr>
    </w:p>
    <w:p>
      <w:pPr>
        <w:ind w:left="11140"/>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40"/>
          </w:cols>
          <w:pgMar w:left="320" w:top="1144" w:right="339" w:bottom="1108" w:gutter="0" w:footer="0" w:header="0"/>
          <w:type w:val="continuous"/>
        </w:sectPr>
      </w:pPr>
    </w:p>
    <w:bookmarkStart w:id="19" w:name="page20"/>
    <w:bookmarkEnd w:id="19"/>
    <w:tbl>
      <w:tblPr>
        <w:tblLayout w:type="fixed"/>
        <w:tblInd w:w="0" w:type="dxa"/>
        <w:tblCellMar>
          <w:top w:w="0" w:type="dxa"/>
          <w:left w:w="0" w:type="dxa"/>
          <w:bottom w:w="0" w:type="dxa"/>
          <w:right w:w="0" w:type="dxa"/>
        </w:tblCellMar>
      </w:tblPr>
      <w:tr>
        <w:trPr>
          <w:trHeight w:val="243"/>
        </w:trPr>
        <w:tc>
          <w:tcPr>
            <w:tcW w:w="5000" w:type="dxa"/>
            <w:vAlign w:val="bottom"/>
          </w:tcPr>
          <w:p>
            <w:pPr>
              <w:ind w:left="20"/>
              <w:spacing w:after="0"/>
              <w:rPr>
                <w:sz w:val="20"/>
                <w:szCs w:val="20"/>
                <w:color w:val="auto"/>
              </w:rPr>
            </w:pPr>
            <w:r>
              <w:rPr>
                <w:rFonts w:ascii="Arial" w:cs="Arial" w:eastAsia="Arial" w:hAnsi="Arial"/>
                <w:sz w:val="20"/>
                <w:szCs w:val="20"/>
                <w:color w:val="auto"/>
              </w:rPr>
              <w:t>PSU/ RSU movements</w:t>
            </w:r>
          </w:p>
        </w:tc>
        <w:tc>
          <w:tcPr>
            <w:tcW w:w="2280" w:type="dxa"/>
            <w:vAlign w:val="bottom"/>
          </w:tcPr>
          <w:p>
            <w:pPr>
              <w:jc w:val="right"/>
              <w:spacing w:after="0"/>
              <w:rPr>
                <w:sz w:val="20"/>
                <w:szCs w:val="20"/>
                <w:color w:val="auto"/>
              </w:rPr>
            </w:pPr>
            <w:r>
              <w:rPr>
                <w:rFonts w:ascii="Arial" w:cs="Arial" w:eastAsia="Arial" w:hAnsi="Arial"/>
                <w:sz w:val="20"/>
                <w:szCs w:val="20"/>
                <w:color w:val="auto"/>
              </w:rPr>
              <w:t>PSU / RSU</w:t>
            </w:r>
          </w:p>
        </w:tc>
      </w:tr>
      <w:tr>
        <w:trPr>
          <w:trHeight w:val="261"/>
        </w:trPr>
        <w:tc>
          <w:tcPr>
            <w:tcW w:w="5000" w:type="dxa"/>
            <w:vAlign w:val="bottom"/>
          </w:tcPr>
          <w:p>
            <w:pPr>
              <w:spacing w:after="0"/>
              <w:rPr>
                <w:sz w:val="22"/>
                <w:szCs w:val="22"/>
                <w:color w:val="auto"/>
              </w:rPr>
            </w:pPr>
          </w:p>
        </w:tc>
        <w:tc>
          <w:tcPr>
            <w:tcW w:w="2280" w:type="dxa"/>
            <w:vAlign w:val="bottom"/>
          </w:tcPr>
          <w:p>
            <w:pPr>
              <w:jc w:val="right"/>
              <w:spacing w:after="0"/>
              <w:rPr>
                <w:sz w:val="20"/>
                <w:szCs w:val="20"/>
                <w:color w:val="auto"/>
              </w:rPr>
            </w:pPr>
            <w:r>
              <w:rPr>
                <w:rFonts w:ascii="Arial" w:cs="Arial" w:eastAsia="Arial" w:hAnsi="Arial"/>
                <w:sz w:val="20"/>
                <w:szCs w:val="20"/>
                <w:color w:val="auto"/>
              </w:rPr>
              <w:t>(numbers)</w:t>
            </w:r>
          </w:p>
        </w:tc>
      </w:tr>
      <w:tr>
        <w:trPr>
          <w:trHeight w:val="233"/>
        </w:trPr>
        <w:tc>
          <w:tcPr>
            <w:tcW w:w="5000" w:type="dxa"/>
            <w:vAlign w:val="bottom"/>
            <w:tcBorders>
              <w:bottom w:val="single" w:sz="8" w:color="BA2227"/>
            </w:tcBorders>
          </w:tcPr>
          <w:p>
            <w:pPr>
              <w:spacing w:after="0"/>
              <w:rPr>
                <w:sz w:val="20"/>
                <w:szCs w:val="20"/>
                <w:color w:val="auto"/>
              </w:rPr>
            </w:pPr>
          </w:p>
        </w:tc>
        <w:tc>
          <w:tcPr>
            <w:tcW w:w="2280" w:type="dxa"/>
            <w:vAlign w:val="bottom"/>
            <w:tcBorders>
              <w:bottom w:val="single" w:sz="8" w:color="BA2227"/>
            </w:tcBorders>
          </w:tcPr>
          <w:p>
            <w:pPr>
              <w:spacing w:after="0"/>
              <w:rPr>
                <w:sz w:val="20"/>
                <w:szCs w:val="20"/>
                <w:color w:val="auto"/>
              </w:rPr>
            </w:pPr>
          </w:p>
        </w:tc>
      </w:tr>
      <w:tr>
        <w:trPr>
          <w:trHeight w:val="486"/>
        </w:trPr>
        <w:tc>
          <w:tcPr>
            <w:tcW w:w="5000" w:type="dxa"/>
            <w:vAlign w:val="bottom"/>
          </w:tcPr>
          <w:p>
            <w:pPr>
              <w:ind w:left="20"/>
              <w:spacing w:after="0"/>
              <w:rPr>
                <w:sz w:val="20"/>
                <w:szCs w:val="20"/>
                <w:color w:val="auto"/>
              </w:rPr>
            </w:pPr>
            <w:r>
              <w:rPr>
                <w:rFonts w:ascii="Arial" w:cs="Arial" w:eastAsia="Arial" w:hAnsi="Arial"/>
                <w:sz w:val="20"/>
                <w:szCs w:val="20"/>
                <w:b w:val="1"/>
                <w:bCs w:val="1"/>
                <w:color w:val="auto"/>
              </w:rPr>
              <w:t>Balance outstanding at January 1, 2026</w:t>
            </w:r>
          </w:p>
        </w:tc>
        <w:tc>
          <w:tcPr>
            <w:tcW w:w="2280" w:type="dxa"/>
            <w:vAlign w:val="bottom"/>
          </w:tcPr>
          <w:p>
            <w:pPr>
              <w:jc w:val="right"/>
              <w:spacing w:after="0"/>
              <w:rPr>
                <w:sz w:val="20"/>
                <w:szCs w:val="20"/>
                <w:color w:val="auto"/>
              </w:rPr>
            </w:pPr>
            <w:r>
              <w:rPr>
                <w:rFonts w:ascii="Arial" w:cs="Arial" w:eastAsia="Arial" w:hAnsi="Arial"/>
                <w:sz w:val="20"/>
                <w:szCs w:val="20"/>
                <w:b w:val="1"/>
                <w:bCs w:val="1"/>
                <w:color w:val="auto"/>
              </w:rPr>
              <w:t>3,423,001</w:t>
            </w:r>
          </w:p>
        </w:tc>
      </w:tr>
      <w:tr>
        <w:trPr>
          <w:trHeight w:val="237"/>
        </w:trPr>
        <w:tc>
          <w:tcPr>
            <w:tcW w:w="5000" w:type="dxa"/>
            <w:vAlign w:val="bottom"/>
            <w:tcBorders>
              <w:bottom w:val="single" w:sz="8" w:color="BA2227"/>
            </w:tcBorders>
          </w:tcPr>
          <w:p>
            <w:pPr>
              <w:spacing w:after="0"/>
              <w:rPr>
                <w:sz w:val="20"/>
                <w:szCs w:val="20"/>
                <w:color w:val="auto"/>
              </w:rPr>
            </w:pPr>
          </w:p>
        </w:tc>
        <w:tc>
          <w:tcPr>
            <w:tcW w:w="2280" w:type="dxa"/>
            <w:vAlign w:val="bottom"/>
            <w:tcBorders>
              <w:bottom w:val="single" w:sz="8" w:color="BA2227"/>
            </w:tcBorders>
          </w:tcPr>
          <w:p>
            <w:pPr>
              <w:spacing w:after="0"/>
              <w:rPr>
                <w:sz w:val="20"/>
                <w:szCs w:val="20"/>
                <w:color w:val="auto"/>
              </w:rPr>
            </w:pPr>
          </w:p>
        </w:tc>
      </w:tr>
      <w:tr>
        <w:trPr>
          <w:trHeight w:val="408"/>
        </w:trPr>
        <w:tc>
          <w:tcPr>
            <w:tcW w:w="5000" w:type="dxa"/>
            <w:vAlign w:val="bottom"/>
          </w:tcPr>
          <w:p>
            <w:pPr>
              <w:ind w:left="20"/>
              <w:spacing w:after="0"/>
              <w:rPr>
                <w:sz w:val="20"/>
                <w:szCs w:val="20"/>
                <w:color w:val="auto"/>
              </w:rPr>
            </w:pPr>
            <w:r>
              <w:rPr>
                <w:rFonts w:ascii="Arial" w:cs="Arial" w:eastAsia="Arial" w:hAnsi="Arial"/>
                <w:sz w:val="20"/>
                <w:szCs w:val="20"/>
                <w:color w:val="auto"/>
              </w:rPr>
              <w:t>Granted</w:t>
            </w:r>
          </w:p>
        </w:tc>
        <w:tc>
          <w:tcPr>
            <w:tcW w:w="2280" w:type="dxa"/>
            <w:vAlign w:val="bottom"/>
          </w:tcPr>
          <w:p>
            <w:pPr>
              <w:jc w:val="right"/>
              <w:spacing w:after="0"/>
              <w:rPr>
                <w:sz w:val="20"/>
                <w:szCs w:val="20"/>
                <w:color w:val="auto"/>
              </w:rPr>
            </w:pPr>
            <w:r>
              <w:rPr>
                <w:rFonts w:ascii="Arial" w:cs="Arial" w:eastAsia="Arial" w:hAnsi="Arial"/>
                <w:sz w:val="20"/>
                <w:szCs w:val="20"/>
                <w:color w:val="auto"/>
              </w:rPr>
              <w:t>680</w:t>
            </w:r>
          </w:p>
        </w:tc>
      </w:tr>
      <w:tr>
        <w:trPr>
          <w:trHeight w:val="596"/>
        </w:trPr>
        <w:tc>
          <w:tcPr>
            <w:tcW w:w="5000" w:type="dxa"/>
            <w:vAlign w:val="bottom"/>
          </w:tcPr>
          <w:p>
            <w:pPr>
              <w:ind w:left="20"/>
              <w:spacing w:after="0"/>
              <w:rPr>
                <w:sz w:val="20"/>
                <w:szCs w:val="20"/>
                <w:color w:val="auto"/>
              </w:rPr>
            </w:pPr>
            <w:r>
              <w:rPr>
                <w:rFonts w:ascii="Arial" w:cs="Arial" w:eastAsia="Arial" w:hAnsi="Arial"/>
                <w:sz w:val="20"/>
                <w:szCs w:val="20"/>
                <w:color w:val="auto"/>
              </w:rPr>
              <w:t>(Performance adjustment)</w:t>
            </w:r>
            <w:r>
              <w:rPr>
                <w:rFonts w:ascii="Arial" w:cs="Arial" w:eastAsia="Arial" w:hAnsi="Arial"/>
                <w:sz w:val="25"/>
                <w:szCs w:val="25"/>
                <w:color w:val="auto"/>
                <w:vertAlign w:val="superscript"/>
              </w:rPr>
              <w:t>1</w:t>
            </w:r>
          </w:p>
        </w:tc>
        <w:tc>
          <w:tcPr>
            <w:tcW w:w="2280" w:type="dxa"/>
            <w:vAlign w:val="bottom"/>
          </w:tcPr>
          <w:p>
            <w:pPr>
              <w:jc w:val="right"/>
              <w:spacing w:after="0"/>
              <w:rPr>
                <w:sz w:val="20"/>
                <w:szCs w:val="20"/>
                <w:color w:val="auto"/>
              </w:rPr>
            </w:pPr>
            <w:r>
              <w:rPr>
                <w:rFonts w:ascii="Arial" w:cs="Arial" w:eastAsia="Arial" w:hAnsi="Arial"/>
                <w:sz w:val="20"/>
                <w:szCs w:val="20"/>
                <w:color w:val="auto"/>
              </w:rPr>
              <w:t>(16,291)</w:t>
            </w:r>
          </w:p>
        </w:tc>
      </w:tr>
      <w:tr>
        <w:trPr>
          <w:trHeight w:val="513"/>
        </w:trPr>
        <w:tc>
          <w:tcPr>
            <w:tcW w:w="5000" w:type="dxa"/>
            <w:vAlign w:val="bottom"/>
          </w:tcPr>
          <w:p>
            <w:pPr>
              <w:ind w:left="20"/>
              <w:spacing w:after="0"/>
              <w:rPr>
                <w:sz w:val="20"/>
                <w:szCs w:val="20"/>
                <w:color w:val="auto"/>
              </w:rPr>
            </w:pPr>
            <w:r>
              <w:rPr>
                <w:rFonts w:ascii="Arial" w:cs="Arial" w:eastAsia="Arial" w:hAnsi="Arial"/>
                <w:sz w:val="20"/>
                <w:szCs w:val="20"/>
                <w:color w:val="auto"/>
              </w:rPr>
              <w:t>(Forfeited)</w:t>
            </w:r>
            <w:r>
              <w:rPr>
                <w:rFonts w:ascii="Arial" w:cs="Arial" w:eastAsia="Arial" w:hAnsi="Arial"/>
                <w:sz w:val="25"/>
                <w:szCs w:val="25"/>
                <w:color w:val="auto"/>
                <w:vertAlign w:val="superscript"/>
              </w:rPr>
              <w:t>2</w:t>
            </w:r>
          </w:p>
        </w:tc>
        <w:tc>
          <w:tcPr>
            <w:tcW w:w="2280" w:type="dxa"/>
            <w:vAlign w:val="bottom"/>
          </w:tcPr>
          <w:p>
            <w:pPr>
              <w:jc w:val="right"/>
              <w:spacing w:after="0"/>
              <w:rPr>
                <w:sz w:val="20"/>
                <w:szCs w:val="20"/>
                <w:color w:val="auto"/>
              </w:rPr>
            </w:pPr>
            <w:r>
              <w:rPr>
                <w:rFonts w:ascii="Arial" w:cs="Arial" w:eastAsia="Arial" w:hAnsi="Arial"/>
                <w:sz w:val="20"/>
                <w:szCs w:val="20"/>
                <w:color w:val="auto"/>
              </w:rPr>
              <w:t>(95,310)</w:t>
            </w:r>
          </w:p>
        </w:tc>
      </w:tr>
      <w:tr>
        <w:trPr>
          <w:trHeight w:val="430"/>
        </w:trPr>
        <w:tc>
          <w:tcPr>
            <w:tcW w:w="5000" w:type="dxa"/>
            <w:vAlign w:val="bottom"/>
          </w:tcPr>
          <w:p>
            <w:pPr>
              <w:ind w:left="20"/>
              <w:spacing w:after="0"/>
              <w:rPr>
                <w:sz w:val="20"/>
                <w:szCs w:val="20"/>
                <w:color w:val="auto"/>
              </w:rPr>
            </w:pPr>
            <w:r>
              <w:rPr>
                <w:rFonts w:ascii="Arial" w:cs="Arial" w:eastAsia="Arial" w:hAnsi="Arial"/>
                <w:sz w:val="20"/>
                <w:szCs w:val="20"/>
                <w:color w:val="auto"/>
              </w:rPr>
              <w:t>(Expired)</w:t>
            </w:r>
          </w:p>
        </w:tc>
        <w:tc>
          <w:tcPr>
            <w:tcW w:w="228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513"/>
        </w:trPr>
        <w:tc>
          <w:tcPr>
            <w:tcW w:w="5000" w:type="dxa"/>
            <w:vAlign w:val="bottom"/>
          </w:tcPr>
          <w:p>
            <w:pPr>
              <w:ind w:left="20"/>
              <w:spacing w:after="0"/>
              <w:rPr>
                <w:sz w:val="20"/>
                <w:szCs w:val="20"/>
                <w:color w:val="auto"/>
              </w:rPr>
            </w:pPr>
            <w:r>
              <w:rPr>
                <w:rFonts w:ascii="Arial" w:cs="Arial" w:eastAsia="Arial" w:hAnsi="Arial"/>
                <w:sz w:val="20"/>
                <w:szCs w:val="20"/>
                <w:color w:val="auto"/>
              </w:rPr>
              <w:t>Vested PSU / RSU</w:t>
            </w:r>
          </w:p>
        </w:tc>
        <w:tc>
          <w:tcPr>
            <w:tcW w:w="2280" w:type="dxa"/>
            <w:vAlign w:val="bottom"/>
          </w:tcPr>
          <w:p>
            <w:pPr>
              <w:jc w:val="right"/>
              <w:spacing w:after="0"/>
              <w:rPr>
                <w:sz w:val="20"/>
                <w:szCs w:val="20"/>
                <w:color w:val="auto"/>
              </w:rPr>
            </w:pPr>
            <w:r>
              <w:rPr>
                <w:rFonts w:ascii="Arial" w:cs="Arial" w:eastAsia="Arial" w:hAnsi="Arial"/>
                <w:sz w:val="20"/>
                <w:szCs w:val="20"/>
                <w:color w:val="auto"/>
              </w:rPr>
              <w:t>(84,763)</w:t>
            </w:r>
          </w:p>
        </w:tc>
      </w:tr>
      <w:tr>
        <w:trPr>
          <w:trHeight w:val="725"/>
        </w:trPr>
        <w:tc>
          <w:tcPr>
            <w:tcW w:w="5000" w:type="dxa"/>
            <w:vAlign w:val="bottom"/>
          </w:tcPr>
          <w:p>
            <w:pPr>
              <w:ind w:left="20"/>
              <w:spacing w:after="0"/>
              <w:rPr>
                <w:sz w:val="20"/>
                <w:szCs w:val="20"/>
                <w:color w:val="auto"/>
              </w:rPr>
            </w:pPr>
            <w:r>
              <w:rPr>
                <w:rFonts w:ascii="Arial" w:cs="Arial" w:eastAsia="Arial" w:hAnsi="Arial"/>
                <w:sz w:val="20"/>
                <w:szCs w:val="20"/>
                <w:b w:val="1"/>
                <w:bCs w:val="1"/>
                <w:color w:val="auto"/>
              </w:rPr>
              <w:t>Balance outstanding at March 31, 2026</w:t>
            </w:r>
          </w:p>
        </w:tc>
        <w:tc>
          <w:tcPr>
            <w:tcW w:w="2280" w:type="dxa"/>
            <w:vAlign w:val="bottom"/>
          </w:tcPr>
          <w:p>
            <w:pPr>
              <w:jc w:val="right"/>
              <w:spacing w:after="0"/>
              <w:rPr>
                <w:sz w:val="20"/>
                <w:szCs w:val="20"/>
                <w:color w:val="auto"/>
              </w:rPr>
            </w:pPr>
            <w:r>
              <w:rPr>
                <w:rFonts w:ascii="Arial" w:cs="Arial" w:eastAsia="Arial" w:hAnsi="Arial"/>
                <w:sz w:val="20"/>
                <w:szCs w:val="20"/>
                <w:b w:val="1"/>
                <w:bCs w:val="1"/>
                <w:color w:val="auto"/>
              </w:rPr>
              <w:t>3,227,317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46202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620260" cy="8255"/>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vertAlign w:val="superscript"/>
        </w:rPr>
        <w:t>1</w:t>
      </w:r>
      <w:r>
        <w:rPr>
          <w:rFonts w:ascii="Arial" w:cs="Arial" w:eastAsia="Arial" w:hAnsi="Arial"/>
          <w:sz w:val="14"/>
          <w:szCs w:val="14"/>
          <w:color w:val="auto"/>
        </w:rPr>
        <w:t>Performance adjustments indicate the impact of allocations due to market performance conditions achieved</w:t>
      </w:r>
    </w:p>
    <w:p>
      <w:pPr>
        <w:spacing w:after="0"/>
        <w:rPr>
          <w:sz w:val="20"/>
          <w:szCs w:val="20"/>
          <w:color w:val="auto"/>
        </w:rPr>
      </w:pPr>
      <w:r>
        <w:rPr>
          <w:rFonts w:ascii="Arial" w:cs="Arial" w:eastAsia="Arial" w:hAnsi="Arial"/>
          <w:sz w:val="9"/>
          <w:szCs w:val="9"/>
          <w:color w:val="auto"/>
        </w:rPr>
        <w:t>2</w:t>
      </w:r>
      <w:r>
        <w:rPr>
          <w:rFonts w:ascii="Arial" w:cs="Arial" w:eastAsia="Arial" w:hAnsi="Arial"/>
          <w:sz w:val="14"/>
          <w:szCs w:val="14"/>
          <w:color w:val="auto"/>
        </w:rPr>
        <w:t>Forfeited due to service conditions not fulfilled</w:t>
      </w:r>
    </w:p>
    <w:p>
      <w:pPr>
        <w:spacing w:after="0" w:line="200" w:lineRule="exact"/>
        <w:rPr>
          <w:sz w:val="20"/>
          <w:szCs w:val="20"/>
          <w:color w:val="auto"/>
        </w:rPr>
      </w:pPr>
    </w:p>
    <w:p>
      <w:pPr>
        <w:spacing w:after="0" w:line="247" w:lineRule="exact"/>
        <w:rPr>
          <w:sz w:val="20"/>
          <w:szCs w:val="20"/>
          <w:color w:val="auto"/>
        </w:rPr>
      </w:pPr>
    </w:p>
    <w:p>
      <w:pPr>
        <w:ind w:right="560"/>
        <w:spacing w:after="0" w:line="286" w:lineRule="auto"/>
        <w:rPr>
          <w:sz w:val="20"/>
          <w:szCs w:val="20"/>
          <w:color w:val="auto"/>
        </w:rPr>
      </w:pPr>
      <w:r>
        <w:rPr>
          <w:rFonts w:ascii="Arial" w:cs="Arial" w:eastAsia="Arial" w:hAnsi="Arial"/>
          <w:sz w:val="20"/>
          <w:szCs w:val="20"/>
          <w:color w:val="auto"/>
        </w:rPr>
        <w:t>The share-based compensation costs recognized during the three months ended March 31, 2026, amounted to TCHF 936 (TCHF 1,142 for the three months ended March 31, 2025).</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7560" w:type="dxa"/>
            <w:vAlign w:val="bottom"/>
          </w:tcPr>
          <w:p>
            <w:pPr>
              <w:spacing w:after="0"/>
              <w:rPr>
                <w:sz w:val="20"/>
                <w:szCs w:val="20"/>
                <w:color w:val="auto"/>
              </w:rPr>
            </w:pPr>
            <w:r>
              <w:rPr>
                <w:rFonts w:ascii="Arial" w:cs="Arial" w:eastAsia="Arial" w:hAnsi="Arial"/>
                <w:sz w:val="20"/>
                <w:szCs w:val="20"/>
                <w:color w:val="auto"/>
              </w:rPr>
              <w:t>5.5  Financial income and expense</w:t>
            </w:r>
          </w:p>
        </w:tc>
        <w:tc>
          <w:tcPr>
            <w:tcW w:w="24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459"/>
        </w:trPr>
        <w:tc>
          <w:tcPr>
            <w:tcW w:w="7560" w:type="dxa"/>
            <w:vAlign w:val="bottom"/>
          </w:tcPr>
          <w:p>
            <w:pPr>
              <w:spacing w:after="0"/>
              <w:rPr>
                <w:sz w:val="20"/>
                <w:szCs w:val="20"/>
                <w:color w:val="auto"/>
              </w:rPr>
            </w:pPr>
            <w:r>
              <w:rPr>
                <w:rFonts w:ascii="Arial" w:cs="Arial" w:eastAsia="Arial" w:hAnsi="Arial"/>
                <w:sz w:val="20"/>
                <w:szCs w:val="20"/>
                <w:color w:val="auto"/>
              </w:rPr>
              <w:t>Financial income</w:t>
            </w:r>
          </w:p>
        </w:tc>
        <w:tc>
          <w:tcPr>
            <w:tcW w:w="24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97"/>
        </w:trPr>
        <w:tc>
          <w:tcPr>
            <w:tcW w:w="7560" w:type="dxa"/>
            <w:vAlign w:val="bottom"/>
          </w:tcPr>
          <w:p>
            <w:pPr>
              <w:ind w:left="20"/>
              <w:spacing w:after="0"/>
              <w:rPr>
                <w:sz w:val="20"/>
                <w:szCs w:val="20"/>
                <w:color w:val="auto"/>
              </w:rPr>
            </w:pPr>
            <w:r>
              <w:rPr>
                <w:rFonts w:ascii="Arial" w:cs="Arial" w:eastAsia="Arial" w:hAnsi="Arial"/>
                <w:sz w:val="20"/>
                <w:szCs w:val="20"/>
                <w:color w:val="auto"/>
              </w:rPr>
              <w:t>in CHF thousands, for the three months ended March 31</w:t>
            </w:r>
          </w:p>
        </w:tc>
        <w:tc>
          <w:tcPr>
            <w:tcW w:w="2420" w:type="dxa"/>
            <w:vAlign w:val="bottom"/>
          </w:tcPr>
          <w:p>
            <w:pPr>
              <w:jc w:val="center"/>
              <w:ind w:left="681"/>
              <w:spacing w:after="0"/>
              <w:rPr>
                <w:sz w:val="20"/>
                <w:szCs w:val="20"/>
                <w:color w:val="auto"/>
              </w:rPr>
            </w:pPr>
            <w:r>
              <w:rPr>
                <w:rFonts w:ascii="Arial" w:cs="Arial" w:eastAsia="Arial" w:hAnsi="Arial"/>
                <w:sz w:val="20"/>
                <w:szCs w:val="20"/>
                <w:color w:val="auto"/>
                <w:w w:val="98"/>
              </w:rPr>
              <w:t>2026</w:t>
            </w:r>
          </w:p>
        </w:tc>
        <w:tc>
          <w:tcPr>
            <w:tcW w:w="1260" w:type="dxa"/>
            <w:vAlign w:val="bottom"/>
          </w:tcPr>
          <w:p>
            <w:pPr>
              <w:jc w:val="right"/>
              <w:spacing w:after="0"/>
              <w:rPr>
                <w:sz w:val="20"/>
                <w:szCs w:val="20"/>
                <w:color w:val="auto"/>
              </w:rPr>
            </w:pPr>
            <w:r>
              <w:rPr>
                <w:rFonts w:ascii="Arial" w:cs="Arial" w:eastAsia="Arial" w:hAnsi="Arial"/>
                <w:sz w:val="20"/>
                <w:szCs w:val="20"/>
                <w:color w:val="auto"/>
              </w:rPr>
              <w:t>2025</w:t>
            </w:r>
          </w:p>
        </w:tc>
      </w:tr>
      <w:tr>
        <w:trPr>
          <w:trHeight w:val="246"/>
        </w:trPr>
        <w:tc>
          <w:tcPr>
            <w:tcW w:w="7560" w:type="dxa"/>
            <w:vAlign w:val="bottom"/>
            <w:tcBorders>
              <w:bottom w:val="single" w:sz="8" w:color="BF373A"/>
            </w:tcBorders>
          </w:tcPr>
          <w:p>
            <w:pPr>
              <w:spacing w:after="0"/>
              <w:rPr>
                <w:sz w:val="21"/>
                <w:szCs w:val="21"/>
                <w:color w:val="auto"/>
              </w:rPr>
            </w:pPr>
          </w:p>
        </w:tc>
        <w:tc>
          <w:tcPr>
            <w:tcW w:w="2420" w:type="dxa"/>
            <w:vAlign w:val="bottom"/>
            <w:tcBorders>
              <w:bottom w:val="single" w:sz="8" w:color="BF373A"/>
            </w:tcBorders>
          </w:tcPr>
          <w:p>
            <w:pPr>
              <w:spacing w:after="0"/>
              <w:rPr>
                <w:sz w:val="21"/>
                <w:szCs w:val="21"/>
                <w:color w:val="auto"/>
              </w:rPr>
            </w:pPr>
          </w:p>
        </w:tc>
        <w:tc>
          <w:tcPr>
            <w:tcW w:w="1260" w:type="dxa"/>
            <w:vAlign w:val="bottom"/>
            <w:tcBorders>
              <w:bottom w:val="single" w:sz="8" w:color="BF373A"/>
            </w:tcBorders>
          </w:tcPr>
          <w:p>
            <w:pPr>
              <w:spacing w:after="0"/>
              <w:rPr>
                <w:sz w:val="21"/>
                <w:szCs w:val="21"/>
                <w:color w:val="auto"/>
              </w:rPr>
            </w:pPr>
          </w:p>
        </w:tc>
      </w:tr>
      <w:tr>
        <w:trPr>
          <w:trHeight w:val="260"/>
        </w:trPr>
        <w:tc>
          <w:tcPr>
            <w:tcW w:w="7560" w:type="dxa"/>
            <w:vAlign w:val="bottom"/>
          </w:tcPr>
          <w:p>
            <w:pPr>
              <w:ind w:left="20"/>
              <w:spacing w:after="0"/>
              <w:rPr>
                <w:sz w:val="20"/>
                <w:szCs w:val="20"/>
                <w:color w:val="auto"/>
              </w:rPr>
            </w:pPr>
            <w:r>
              <w:rPr>
                <w:rFonts w:ascii="Arial" w:cs="Arial" w:eastAsia="Arial" w:hAnsi="Arial"/>
                <w:sz w:val="20"/>
                <w:szCs w:val="20"/>
                <w:color w:val="auto"/>
              </w:rPr>
              <w:t>Interest income on financial assets held at amortized cost</w:t>
            </w:r>
          </w:p>
        </w:tc>
        <w:tc>
          <w:tcPr>
            <w:tcW w:w="2420" w:type="dxa"/>
            <w:vAlign w:val="bottom"/>
          </w:tcPr>
          <w:p>
            <w:pPr>
              <w:jc w:val="center"/>
              <w:ind w:left="681"/>
              <w:spacing w:after="0"/>
              <w:rPr>
                <w:sz w:val="20"/>
                <w:szCs w:val="20"/>
                <w:color w:val="auto"/>
              </w:rPr>
            </w:pPr>
            <w:r>
              <w:rPr>
                <w:rFonts w:ascii="Arial" w:cs="Arial" w:eastAsia="Arial" w:hAnsi="Arial"/>
                <w:sz w:val="20"/>
                <w:szCs w:val="20"/>
                <w:color w:val="auto"/>
                <w:w w:val="95"/>
              </w:rPr>
              <w:t>176</w:t>
            </w:r>
          </w:p>
        </w:tc>
        <w:tc>
          <w:tcPr>
            <w:tcW w:w="1260" w:type="dxa"/>
            <w:vAlign w:val="bottom"/>
          </w:tcPr>
          <w:p>
            <w:pPr>
              <w:jc w:val="right"/>
              <w:spacing w:after="0"/>
              <w:rPr>
                <w:sz w:val="20"/>
                <w:szCs w:val="20"/>
                <w:color w:val="auto"/>
              </w:rPr>
            </w:pPr>
            <w:r>
              <w:rPr>
                <w:rFonts w:ascii="Arial" w:cs="Arial" w:eastAsia="Arial" w:hAnsi="Arial"/>
                <w:sz w:val="20"/>
                <w:szCs w:val="20"/>
                <w:color w:val="auto"/>
              </w:rPr>
              <w:t>502</w:t>
            </w:r>
          </w:p>
        </w:tc>
      </w:tr>
      <w:tr>
        <w:trPr>
          <w:trHeight w:val="513"/>
        </w:trPr>
        <w:tc>
          <w:tcPr>
            <w:tcW w:w="7560" w:type="dxa"/>
            <w:vAlign w:val="bottom"/>
          </w:tcPr>
          <w:p>
            <w:pPr>
              <w:ind w:left="20"/>
              <w:spacing w:after="0"/>
              <w:rPr>
                <w:sz w:val="20"/>
                <w:szCs w:val="20"/>
                <w:color w:val="auto"/>
              </w:rPr>
            </w:pPr>
            <w:r>
              <w:rPr>
                <w:rFonts w:ascii="Arial" w:cs="Arial" w:eastAsia="Arial" w:hAnsi="Arial"/>
                <w:sz w:val="20"/>
                <w:szCs w:val="20"/>
                <w:color w:val="auto"/>
              </w:rPr>
              <w:t>Net foreign exchange gain</w:t>
            </w:r>
          </w:p>
        </w:tc>
        <w:tc>
          <w:tcPr>
            <w:tcW w:w="2420" w:type="dxa"/>
            <w:vAlign w:val="bottom"/>
          </w:tcPr>
          <w:p>
            <w:pPr>
              <w:jc w:val="center"/>
              <w:ind w:left="681"/>
              <w:spacing w:after="0"/>
              <w:rPr>
                <w:sz w:val="20"/>
                <w:szCs w:val="20"/>
                <w:color w:val="auto"/>
              </w:rPr>
            </w:pPr>
            <w:r>
              <w:rPr>
                <w:rFonts w:ascii="Arial" w:cs="Arial" w:eastAsia="Arial" w:hAnsi="Arial"/>
                <w:sz w:val="20"/>
                <w:szCs w:val="20"/>
                <w:color w:val="auto"/>
                <w:w w:val="95"/>
              </w:rPr>
              <w:t>134</w:t>
            </w:r>
          </w:p>
        </w:tc>
        <w:tc>
          <w:tcPr>
            <w:tcW w:w="126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513"/>
        </w:trPr>
        <w:tc>
          <w:tcPr>
            <w:tcW w:w="7560" w:type="dxa"/>
            <w:vAlign w:val="bottom"/>
          </w:tcPr>
          <w:p>
            <w:pPr>
              <w:ind w:left="20"/>
              <w:spacing w:after="0"/>
              <w:rPr>
                <w:sz w:val="20"/>
                <w:szCs w:val="20"/>
                <w:color w:val="auto"/>
              </w:rPr>
            </w:pPr>
            <w:r>
              <w:rPr>
                <w:rFonts w:ascii="Arial" w:cs="Arial" w:eastAsia="Arial" w:hAnsi="Arial"/>
                <w:sz w:val="20"/>
                <w:szCs w:val="20"/>
                <w:color w:val="auto"/>
              </w:rPr>
              <w:t>Total</w:t>
            </w:r>
          </w:p>
        </w:tc>
        <w:tc>
          <w:tcPr>
            <w:tcW w:w="2420" w:type="dxa"/>
            <w:vAlign w:val="bottom"/>
          </w:tcPr>
          <w:p>
            <w:pPr>
              <w:jc w:val="center"/>
              <w:ind w:left="681"/>
              <w:spacing w:after="0"/>
              <w:rPr>
                <w:sz w:val="20"/>
                <w:szCs w:val="20"/>
                <w:color w:val="auto"/>
              </w:rPr>
            </w:pPr>
            <w:r>
              <w:rPr>
                <w:rFonts w:ascii="Arial" w:cs="Arial" w:eastAsia="Arial" w:hAnsi="Arial"/>
                <w:sz w:val="20"/>
                <w:szCs w:val="20"/>
                <w:color w:val="auto"/>
                <w:w w:val="95"/>
              </w:rPr>
              <w:t>310</w:t>
            </w:r>
          </w:p>
        </w:tc>
        <w:tc>
          <w:tcPr>
            <w:tcW w:w="1260" w:type="dxa"/>
            <w:vAlign w:val="bottom"/>
          </w:tcPr>
          <w:p>
            <w:pPr>
              <w:jc w:val="right"/>
              <w:spacing w:after="0"/>
              <w:rPr>
                <w:sz w:val="20"/>
                <w:szCs w:val="20"/>
                <w:color w:val="auto"/>
              </w:rPr>
            </w:pPr>
            <w:r>
              <w:rPr>
                <w:rFonts w:ascii="Arial" w:cs="Arial" w:eastAsia="Arial" w:hAnsi="Arial"/>
                <w:sz w:val="20"/>
                <w:szCs w:val="20"/>
                <w:color w:val="auto"/>
              </w:rPr>
              <w:t>502</w:t>
            </w:r>
          </w:p>
        </w:tc>
      </w:tr>
      <w:tr>
        <w:trPr>
          <w:trHeight w:val="246"/>
        </w:trPr>
        <w:tc>
          <w:tcPr>
            <w:tcW w:w="7560" w:type="dxa"/>
            <w:vAlign w:val="bottom"/>
            <w:tcBorders>
              <w:bottom w:val="single" w:sz="8" w:color="BB3739"/>
            </w:tcBorders>
          </w:tcPr>
          <w:p>
            <w:pPr>
              <w:spacing w:after="0"/>
              <w:rPr>
                <w:sz w:val="21"/>
                <w:szCs w:val="21"/>
                <w:color w:val="auto"/>
              </w:rPr>
            </w:pPr>
          </w:p>
        </w:tc>
        <w:tc>
          <w:tcPr>
            <w:tcW w:w="2420" w:type="dxa"/>
            <w:vAlign w:val="bottom"/>
            <w:tcBorders>
              <w:bottom w:val="single" w:sz="8" w:color="BF2115"/>
            </w:tcBorders>
          </w:tcPr>
          <w:p>
            <w:pPr>
              <w:spacing w:after="0"/>
              <w:rPr>
                <w:sz w:val="21"/>
                <w:szCs w:val="21"/>
                <w:color w:val="auto"/>
              </w:rPr>
            </w:pPr>
          </w:p>
        </w:tc>
        <w:tc>
          <w:tcPr>
            <w:tcW w:w="1260" w:type="dxa"/>
            <w:vAlign w:val="bottom"/>
            <w:tcBorders>
              <w:bottom w:val="single" w:sz="8" w:color="BF2115"/>
            </w:tcBorders>
          </w:tcPr>
          <w:p>
            <w:pPr>
              <w:spacing w:after="0"/>
              <w:rPr>
                <w:sz w:val="21"/>
                <w:szCs w:val="21"/>
                <w:color w:val="auto"/>
              </w:rPr>
            </w:pPr>
          </w:p>
        </w:tc>
      </w:tr>
      <w:tr>
        <w:trPr>
          <w:trHeight w:val="530"/>
        </w:trPr>
        <w:tc>
          <w:tcPr>
            <w:tcW w:w="7560" w:type="dxa"/>
            <w:vAlign w:val="bottom"/>
          </w:tcPr>
          <w:p>
            <w:pPr>
              <w:spacing w:after="0"/>
              <w:rPr>
                <w:sz w:val="20"/>
                <w:szCs w:val="20"/>
                <w:color w:val="auto"/>
              </w:rPr>
            </w:pPr>
            <w:r>
              <w:rPr>
                <w:rFonts w:ascii="Arial" w:cs="Arial" w:eastAsia="Arial" w:hAnsi="Arial"/>
                <w:sz w:val="20"/>
                <w:szCs w:val="20"/>
                <w:color w:val="auto"/>
              </w:rPr>
              <w:t>Financial expense</w:t>
            </w:r>
          </w:p>
        </w:tc>
        <w:tc>
          <w:tcPr>
            <w:tcW w:w="24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97"/>
        </w:trPr>
        <w:tc>
          <w:tcPr>
            <w:tcW w:w="7560" w:type="dxa"/>
            <w:vAlign w:val="bottom"/>
          </w:tcPr>
          <w:p>
            <w:pPr>
              <w:ind w:left="20"/>
              <w:spacing w:after="0"/>
              <w:rPr>
                <w:sz w:val="20"/>
                <w:szCs w:val="20"/>
                <w:color w:val="auto"/>
              </w:rPr>
            </w:pPr>
            <w:r>
              <w:rPr>
                <w:rFonts w:ascii="Arial" w:cs="Arial" w:eastAsia="Arial" w:hAnsi="Arial"/>
                <w:sz w:val="20"/>
                <w:szCs w:val="20"/>
                <w:color w:val="auto"/>
              </w:rPr>
              <w:t>in CHF thousands, for the three months ended March 31</w:t>
            </w:r>
          </w:p>
        </w:tc>
        <w:tc>
          <w:tcPr>
            <w:tcW w:w="2420" w:type="dxa"/>
            <w:vAlign w:val="bottom"/>
          </w:tcPr>
          <w:p>
            <w:pPr>
              <w:jc w:val="center"/>
              <w:ind w:left="641"/>
              <w:spacing w:after="0"/>
              <w:rPr>
                <w:sz w:val="20"/>
                <w:szCs w:val="20"/>
                <w:color w:val="auto"/>
              </w:rPr>
            </w:pPr>
            <w:r>
              <w:rPr>
                <w:rFonts w:ascii="Arial" w:cs="Arial" w:eastAsia="Arial" w:hAnsi="Arial"/>
                <w:sz w:val="20"/>
                <w:szCs w:val="20"/>
                <w:color w:val="auto"/>
                <w:w w:val="98"/>
              </w:rPr>
              <w:t>2026</w:t>
            </w:r>
          </w:p>
        </w:tc>
        <w:tc>
          <w:tcPr>
            <w:tcW w:w="1260" w:type="dxa"/>
            <w:vAlign w:val="bottom"/>
          </w:tcPr>
          <w:p>
            <w:pPr>
              <w:jc w:val="right"/>
              <w:spacing w:after="0"/>
              <w:rPr>
                <w:sz w:val="20"/>
                <w:szCs w:val="20"/>
                <w:color w:val="auto"/>
              </w:rPr>
            </w:pPr>
            <w:r>
              <w:rPr>
                <w:rFonts w:ascii="Arial" w:cs="Arial" w:eastAsia="Arial" w:hAnsi="Arial"/>
                <w:sz w:val="20"/>
                <w:szCs w:val="20"/>
                <w:color w:val="auto"/>
              </w:rPr>
              <w:t>2025</w:t>
            </w:r>
          </w:p>
        </w:tc>
      </w:tr>
      <w:tr>
        <w:trPr>
          <w:trHeight w:val="246"/>
        </w:trPr>
        <w:tc>
          <w:tcPr>
            <w:tcW w:w="7560" w:type="dxa"/>
            <w:vAlign w:val="bottom"/>
            <w:tcBorders>
              <w:bottom w:val="single" w:sz="8" w:color="BF373A"/>
            </w:tcBorders>
          </w:tcPr>
          <w:p>
            <w:pPr>
              <w:spacing w:after="0"/>
              <w:rPr>
                <w:sz w:val="21"/>
                <w:szCs w:val="21"/>
                <w:color w:val="auto"/>
              </w:rPr>
            </w:pPr>
          </w:p>
        </w:tc>
        <w:tc>
          <w:tcPr>
            <w:tcW w:w="2420" w:type="dxa"/>
            <w:vAlign w:val="bottom"/>
            <w:tcBorders>
              <w:bottom w:val="single" w:sz="8" w:color="BF373A"/>
            </w:tcBorders>
          </w:tcPr>
          <w:p>
            <w:pPr>
              <w:spacing w:after="0"/>
              <w:rPr>
                <w:sz w:val="21"/>
                <w:szCs w:val="21"/>
                <w:color w:val="auto"/>
              </w:rPr>
            </w:pPr>
          </w:p>
        </w:tc>
        <w:tc>
          <w:tcPr>
            <w:tcW w:w="1260" w:type="dxa"/>
            <w:vAlign w:val="bottom"/>
            <w:tcBorders>
              <w:bottom w:val="single" w:sz="8" w:color="BF373A"/>
            </w:tcBorders>
          </w:tcPr>
          <w:p>
            <w:pPr>
              <w:spacing w:after="0"/>
              <w:rPr>
                <w:sz w:val="21"/>
                <w:szCs w:val="21"/>
                <w:color w:val="auto"/>
              </w:rPr>
            </w:pPr>
          </w:p>
        </w:tc>
      </w:tr>
      <w:tr>
        <w:trPr>
          <w:trHeight w:val="260"/>
        </w:trPr>
        <w:tc>
          <w:tcPr>
            <w:tcW w:w="7560" w:type="dxa"/>
            <w:vAlign w:val="bottom"/>
          </w:tcPr>
          <w:p>
            <w:pPr>
              <w:ind w:left="20"/>
              <w:spacing w:after="0"/>
              <w:rPr>
                <w:sz w:val="20"/>
                <w:szCs w:val="20"/>
                <w:color w:val="auto"/>
              </w:rPr>
            </w:pPr>
            <w:r>
              <w:rPr>
                <w:rFonts w:ascii="Arial" w:cs="Arial" w:eastAsia="Arial" w:hAnsi="Arial"/>
                <w:sz w:val="20"/>
                <w:szCs w:val="20"/>
                <w:color w:val="auto"/>
              </w:rPr>
              <w:t>Net foreign exchange loss</w:t>
            </w:r>
          </w:p>
        </w:tc>
        <w:tc>
          <w:tcPr>
            <w:tcW w:w="2420" w:type="dxa"/>
            <w:vAlign w:val="bottom"/>
          </w:tcPr>
          <w:p>
            <w:pPr>
              <w:jc w:val="right"/>
              <w:ind w:right="581"/>
              <w:spacing w:after="0"/>
              <w:rPr>
                <w:sz w:val="20"/>
                <w:szCs w:val="20"/>
                <w:color w:val="auto"/>
              </w:rPr>
            </w:pPr>
            <w:r>
              <w:rPr>
                <w:rFonts w:ascii="Arial" w:cs="Arial" w:eastAsia="Arial" w:hAnsi="Arial"/>
                <w:sz w:val="20"/>
                <w:szCs w:val="20"/>
                <w:color w:val="auto"/>
              </w:rPr>
              <w:t>—</w:t>
            </w:r>
          </w:p>
        </w:tc>
        <w:tc>
          <w:tcPr>
            <w:tcW w:w="1260" w:type="dxa"/>
            <w:vAlign w:val="bottom"/>
          </w:tcPr>
          <w:p>
            <w:pPr>
              <w:jc w:val="right"/>
              <w:spacing w:after="0"/>
              <w:rPr>
                <w:sz w:val="20"/>
                <w:szCs w:val="20"/>
                <w:color w:val="auto"/>
              </w:rPr>
            </w:pPr>
            <w:r>
              <w:rPr>
                <w:rFonts w:ascii="Arial" w:cs="Arial" w:eastAsia="Arial" w:hAnsi="Arial"/>
                <w:sz w:val="20"/>
                <w:szCs w:val="20"/>
                <w:color w:val="auto"/>
              </w:rPr>
              <w:t>(1,124)</w:t>
            </w:r>
          </w:p>
        </w:tc>
      </w:tr>
      <w:tr>
        <w:trPr>
          <w:trHeight w:val="513"/>
        </w:trPr>
        <w:tc>
          <w:tcPr>
            <w:tcW w:w="7560" w:type="dxa"/>
            <w:vAlign w:val="bottom"/>
          </w:tcPr>
          <w:p>
            <w:pPr>
              <w:ind w:left="20"/>
              <w:spacing w:after="0"/>
              <w:rPr>
                <w:sz w:val="20"/>
                <w:szCs w:val="20"/>
                <w:color w:val="auto"/>
              </w:rPr>
            </w:pPr>
            <w:r>
              <w:rPr>
                <w:rFonts w:ascii="Arial" w:cs="Arial" w:eastAsia="Arial" w:hAnsi="Arial"/>
                <w:sz w:val="20"/>
                <w:szCs w:val="20"/>
                <w:color w:val="auto"/>
              </w:rPr>
              <w:t>Interest expense on leases</w:t>
            </w:r>
          </w:p>
        </w:tc>
        <w:tc>
          <w:tcPr>
            <w:tcW w:w="2420" w:type="dxa"/>
            <w:vAlign w:val="bottom"/>
          </w:tcPr>
          <w:p>
            <w:pPr>
              <w:jc w:val="right"/>
              <w:ind w:right="521"/>
              <w:spacing w:after="0"/>
              <w:rPr>
                <w:sz w:val="20"/>
                <w:szCs w:val="20"/>
                <w:color w:val="auto"/>
              </w:rPr>
            </w:pPr>
            <w:r>
              <w:rPr>
                <w:rFonts w:ascii="Arial" w:cs="Arial" w:eastAsia="Arial" w:hAnsi="Arial"/>
                <w:sz w:val="20"/>
                <w:szCs w:val="20"/>
                <w:color w:val="auto"/>
              </w:rPr>
              <w:t>(7)</w:t>
            </w:r>
          </w:p>
        </w:tc>
        <w:tc>
          <w:tcPr>
            <w:tcW w:w="1260" w:type="dxa"/>
            <w:vAlign w:val="bottom"/>
          </w:tcPr>
          <w:p>
            <w:pPr>
              <w:jc w:val="right"/>
              <w:spacing w:after="0"/>
              <w:rPr>
                <w:sz w:val="20"/>
                <w:szCs w:val="20"/>
                <w:color w:val="auto"/>
              </w:rPr>
            </w:pPr>
            <w:r>
              <w:rPr>
                <w:rFonts w:ascii="Arial" w:cs="Arial" w:eastAsia="Arial" w:hAnsi="Arial"/>
                <w:sz w:val="20"/>
                <w:szCs w:val="20"/>
                <w:color w:val="auto"/>
              </w:rPr>
              <w:t>(5)</w:t>
            </w:r>
          </w:p>
        </w:tc>
      </w:tr>
      <w:tr>
        <w:trPr>
          <w:trHeight w:val="513"/>
        </w:trPr>
        <w:tc>
          <w:tcPr>
            <w:tcW w:w="7560" w:type="dxa"/>
            <w:vAlign w:val="bottom"/>
          </w:tcPr>
          <w:p>
            <w:pPr>
              <w:ind w:left="20"/>
              <w:spacing w:after="0"/>
              <w:rPr>
                <w:sz w:val="20"/>
                <w:szCs w:val="20"/>
                <w:color w:val="auto"/>
              </w:rPr>
            </w:pPr>
            <w:r>
              <w:rPr>
                <w:rFonts w:ascii="Arial" w:cs="Arial" w:eastAsia="Arial" w:hAnsi="Arial"/>
                <w:sz w:val="20"/>
                <w:szCs w:val="20"/>
                <w:color w:val="auto"/>
              </w:rPr>
              <w:t>Other financial expenses</w:t>
            </w:r>
          </w:p>
        </w:tc>
        <w:tc>
          <w:tcPr>
            <w:tcW w:w="2420" w:type="dxa"/>
            <w:vAlign w:val="bottom"/>
          </w:tcPr>
          <w:p>
            <w:pPr>
              <w:jc w:val="right"/>
              <w:ind w:right="521"/>
              <w:spacing w:after="0"/>
              <w:rPr>
                <w:sz w:val="20"/>
                <w:szCs w:val="20"/>
                <w:color w:val="auto"/>
              </w:rPr>
            </w:pPr>
            <w:r>
              <w:rPr>
                <w:rFonts w:ascii="Arial" w:cs="Arial" w:eastAsia="Arial" w:hAnsi="Arial"/>
                <w:sz w:val="20"/>
                <w:szCs w:val="20"/>
                <w:color w:val="auto"/>
              </w:rPr>
              <w:t>(4)</w:t>
            </w:r>
          </w:p>
        </w:tc>
        <w:tc>
          <w:tcPr>
            <w:tcW w:w="1260" w:type="dxa"/>
            <w:vAlign w:val="bottom"/>
          </w:tcPr>
          <w:p>
            <w:pPr>
              <w:jc w:val="right"/>
              <w:spacing w:after="0"/>
              <w:rPr>
                <w:sz w:val="20"/>
                <w:szCs w:val="20"/>
                <w:color w:val="auto"/>
              </w:rPr>
            </w:pPr>
            <w:r>
              <w:rPr>
                <w:rFonts w:ascii="Arial" w:cs="Arial" w:eastAsia="Arial" w:hAnsi="Arial"/>
                <w:sz w:val="20"/>
                <w:szCs w:val="20"/>
                <w:color w:val="auto"/>
              </w:rPr>
              <w:t>(4)</w:t>
            </w:r>
          </w:p>
        </w:tc>
      </w:tr>
      <w:tr>
        <w:trPr>
          <w:trHeight w:val="513"/>
        </w:trPr>
        <w:tc>
          <w:tcPr>
            <w:tcW w:w="7560" w:type="dxa"/>
            <w:vAlign w:val="bottom"/>
          </w:tcPr>
          <w:p>
            <w:pPr>
              <w:ind w:left="20"/>
              <w:spacing w:after="0"/>
              <w:rPr>
                <w:sz w:val="20"/>
                <w:szCs w:val="20"/>
                <w:color w:val="auto"/>
              </w:rPr>
            </w:pPr>
            <w:r>
              <w:rPr>
                <w:rFonts w:ascii="Arial" w:cs="Arial" w:eastAsia="Arial" w:hAnsi="Arial"/>
                <w:sz w:val="20"/>
                <w:szCs w:val="20"/>
                <w:color w:val="auto"/>
              </w:rPr>
              <w:t>Total</w:t>
            </w:r>
          </w:p>
        </w:tc>
        <w:tc>
          <w:tcPr>
            <w:tcW w:w="2420" w:type="dxa"/>
            <w:vAlign w:val="bottom"/>
          </w:tcPr>
          <w:p>
            <w:pPr>
              <w:jc w:val="right"/>
              <w:ind w:right="521"/>
              <w:spacing w:after="0"/>
              <w:rPr>
                <w:sz w:val="20"/>
                <w:szCs w:val="20"/>
                <w:color w:val="auto"/>
              </w:rPr>
            </w:pPr>
            <w:r>
              <w:rPr>
                <w:rFonts w:ascii="Arial" w:cs="Arial" w:eastAsia="Arial" w:hAnsi="Arial"/>
                <w:sz w:val="20"/>
                <w:szCs w:val="20"/>
                <w:color w:val="auto"/>
              </w:rPr>
              <w:t>(11)</w:t>
            </w:r>
          </w:p>
        </w:tc>
        <w:tc>
          <w:tcPr>
            <w:tcW w:w="1260" w:type="dxa"/>
            <w:vAlign w:val="bottom"/>
          </w:tcPr>
          <w:p>
            <w:pPr>
              <w:jc w:val="right"/>
              <w:spacing w:after="0"/>
              <w:rPr>
                <w:sz w:val="20"/>
                <w:szCs w:val="20"/>
                <w:color w:val="auto"/>
              </w:rPr>
            </w:pPr>
            <w:r>
              <w:rPr>
                <w:rFonts w:ascii="Arial" w:cs="Arial" w:eastAsia="Arial" w:hAnsi="Arial"/>
                <w:sz w:val="20"/>
                <w:szCs w:val="20"/>
                <w:color w:val="auto"/>
              </w:rPr>
              <w:t>(1,132)</w:t>
            </w:r>
          </w:p>
        </w:tc>
      </w:tr>
      <w:tr>
        <w:trPr>
          <w:trHeight w:val="247"/>
        </w:trPr>
        <w:tc>
          <w:tcPr>
            <w:tcW w:w="7560" w:type="dxa"/>
            <w:vAlign w:val="bottom"/>
            <w:tcBorders>
              <w:bottom w:val="single" w:sz="8" w:color="BF2115"/>
            </w:tcBorders>
          </w:tcPr>
          <w:p>
            <w:pPr>
              <w:spacing w:after="0"/>
              <w:rPr>
                <w:sz w:val="21"/>
                <w:szCs w:val="21"/>
                <w:color w:val="auto"/>
              </w:rPr>
            </w:pPr>
          </w:p>
        </w:tc>
        <w:tc>
          <w:tcPr>
            <w:tcW w:w="2420" w:type="dxa"/>
            <w:vAlign w:val="bottom"/>
            <w:tcBorders>
              <w:bottom w:val="single" w:sz="8" w:color="BF2115"/>
            </w:tcBorders>
          </w:tcPr>
          <w:p>
            <w:pPr>
              <w:spacing w:after="0"/>
              <w:rPr>
                <w:sz w:val="21"/>
                <w:szCs w:val="21"/>
                <w:color w:val="auto"/>
              </w:rPr>
            </w:pPr>
          </w:p>
        </w:tc>
        <w:tc>
          <w:tcPr>
            <w:tcW w:w="1260" w:type="dxa"/>
            <w:vAlign w:val="bottom"/>
            <w:tcBorders>
              <w:bottom w:val="single" w:sz="8" w:color="BF2115"/>
            </w:tcBorders>
          </w:tcPr>
          <w:p>
            <w:pPr>
              <w:spacing w:after="0"/>
              <w:rPr>
                <w:sz w:val="21"/>
                <w:szCs w:val="21"/>
                <w:color w:val="auto"/>
              </w:rPr>
            </w:pPr>
          </w:p>
        </w:tc>
      </w:tr>
    </w:tbl>
    <w:p>
      <w:pPr>
        <w:spacing w:after="0" w:line="289" w:lineRule="exact"/>
        <w:rPr>
          <w:sz w:val="20"/>
          <w:szCs w:val="20"/>
          <w:color w:val="auto"/>
        </w:rPr>
      </w:pPr>
    </w:p>
    <w:p>
      <w:pPr>
        <w:jc w:val="both"/>
        <w:ind w:right="20"/>
        <w:spacing w:after="0" w:line="271" w:lineRule="auto"/>
        <w:rPr>
          <w:sz w:val="20"/>
          <w:szCs w:val="20"/>
          <w:color w:val="auto"/>
        </w:rPr>
      </w:pPr>
      <w:r>
        <w:rPr>
          <w:rFonts w:ascii="Arial" w:cs="Arial" w:eastAsia="Arial" w:hAnsi="Arial"/>
          <w:sz w:val="20"/>
          <w:szCs w:val="20"/>
          <w:color w:val="auto"/>
        </w:rPr>
        <w:t>Exchange results primarily represent unrealized foreign exchange results on the cash and short-term time deposit balances held in USD.</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auto"/>
        </w:rPr>
        <w:t>5.6</w:t>
      </w:r>
      <w:r>
        <w:rPr>
          <w:sz w:val="20"/>
          <w:szCs w:val="20"/>
          <w:color w:val="auto"/>
        </w:rPr>
        <w:tab/>
      </w:r>
      <w:r>
        <w:rPr>
          <w:rFonts w:ascii="Arial" w:cs="Arial" w:eastAsia="Arial" w:hAnsi="Arial"/>
          <w:sz w:val="19"/>
          <w:szCs w:val="19"/>
          <w:color w:val="auto"/>
        </w:rPr>
        <w:t>Income taxes</w:t>
      </w:r>
    </w:p>
    <w:p>
      <w:pPr>
        <w:spacing w:after="0" w:line="216" w:lineRule="exact"/>
        <w:rPr>
          <w:sz w:val="20"/>
          <w:szCs w:val="20"/>
          <w:color w:val="auto"/>
        </w:rPr>
      </w:pPr>
    </w:p>
    <w:p>
      <w:pPr>
        <w:ind w:right="440"/>
        <w:spacing w:after="0" w:line="290" w:lineRule="auto"/>
        <w:rPr>
          <w:sz w:val="20"/>
          <w:szCs w:val="20"/>
          <w:color w:val="auto"/>
        </w:rPr>
      </w:pPr>
      <w:r>
        <w:rPr>
          <w:rFonts w:ascii="Arial" w:cs="Arial" w:eastAsia="Arial" w:hAnsi="Arial"/>
          <w:sz w:val="19"/>
          <w:szCs w:val="19"/>
          <w:color w:val="auto"/>
        </w:rPr>
        <w:t>The Group has in recent years reported operating losses, with the exception of the year ended December 31, 2022, that resulted in a tax loss carry-forward in Switzerland of TCHF 252,980 as of December 31, 2025. No deferred tax assets have been recognized for these tax loss carry forwards, because it is not probable that such loss carry forwards can be utilized in</w:t>
      </w:r>
    </w:p>
    <w:p>
      <w:pPr>
        <w:sectPr>
          <w:pgSz w:w="11900" w:h="16838" w:orient="portrait"/>
          <w:cols w:equalWidth="0" w:num="1">
            <w:col w:w="11240"/>
          </w:cols>
          <w:pgMar w:left="320" w:top="1198" w:right="339" w:bottom="0" w:gutter="0" w:footer="0" w:header="0"/>
        </w:sectPr>
      </w:pPr>
    </w:p>
    <w:bookmarkStart w:id="20" w:name="page21"/>
    <w:bookmarkEnd w:id="20"/>
    <w:p>
      <w:pPr>
        <w:spacing w:after="0"/>
        <w:rPr>
          <w:sz w:val="20"/>
          <w:szCs w:val="20"/>
          <w:color w:val="auto"/>
        </w:rPr>
      </w:pPr>
      <w:r>
        <w:rPr>
          <w:rFonts w:ascii="Arial" w:cs="Arial" w:eastAsia="Arial" w:hAnsi="Arial"/>
          <w:sz w:val="20"/>
          <w:szCs w:val="20"/>
          <w:color w:val="auto"/>
        </w:rPr>
        <w:t>the foreseeable future. In addition, no deferred tax positions were recognized on other deductible temporary differences (e.g.</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pension liabilities under IAS 19) due to the significant tax loss carry forwards.</w:t>
      </w:r>
    </w:p>
    <w:p>
      <w:pPr>
        <w:spacing w:after="0" w:line="200" w:lineRule="exact"/>
        <w:rPr>
          <w:sz w:val="20"/>
          <w:szCs w:val="20"/>
          <w:color w:val="auto"/>
        </w:rPr>
      </w:pPr>
    </w:p>
    <w:p>
      <w:pPr>
        <w:spacing w:after="0" w:line="36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118"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61"/>
        </w:trPr>
        <w:tc>
          <w:tcPr>
            <w:tcW w:w="7760" w:type="dxa"/>
            <w:vAlign w:val="bottom"/>
          </w:tcPr>
          <w:p>
            <w:pPr>
              <w:spacing w:after="0"/>
              <w:rPr>
                <w:sz w:val="20"/>
                <w:szCs w:val="20"/>
                <w:color w:val="auto"/>
              </w:rPr>
            </w:pPr>
            <w:r>
              <w:rPr>
                <w:rFonts w:ascii="Arial" w:cs="Arial" w:eastAsia="Arial" w:hAnsi="Arial"/>
                <w:sz w:val="20"/>
                <w:szCs w:val="20"/>
                <w:color w:val="auto"/>
              </w:rPr>
              <w:t>5.7  Earnings per share</w:t>
            </w:r>
          </w:p>
        </w:tc>
        <w:tc>
          <w:tcPr>
            <w:tcW w:w="20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13"/>
        </w:trPr>
        <w:tc>
          <w:tcPr>
            <w:tcW w:w="7760" w:type="dxa"/>
            <w:vAlign w:val="bottom"/>
          </w:tcPr>
          <w:p>
            <w:pPr>
              <w:ind w:left="20"/>
              <w:spacing w:after="0"/>
              <w:rPr>
                <w:sz w:val="20"/>
                <w:szCs w:val="20"/>
                <w:color w:val="auto"/>
              </w:rPr>
            </w:pPr>
            <w:r>
              <w:rPr>
                <w:rFonts w:ascii="Arial" w:cs="Arial" w:eastAsia="Arial" w:hAnsi="Arial"/>
                <w:sz w:val="20"/>
                <w:szCs w:val="20"/>
                <w:color w:val="auto"/>
              </w:rPr>
              <w:t>for the three months ended March 31</w:t>
            </w:r>
          </w:p>
        </w:tc>
        <w:tc>
          <w:tcPr>
            <w:tcW w:w="2000" w:type="dxa"/>
            <w:vAlign w:val="bottom"/>
          </w:tcPr>
          <w:p>
            <w:pPr>
              <w:jc w:val="right"/>
              <w:ind w:right="321"/>
              <w:spacing w:after="0"/>
              <w:rPr>
                <w:sz w:val="20"/>
                <w:szCs w:val="20"/>
                <w:color w:val="auto"/>
              </w:rPr>
            </w:pPr>
            <w:r>
              <w:rPr>
                <w:rFonts w:ascii="Arial" w:cs="Arial" w:eastAsia="Arial" w:hAnsi="Arial"/>
                <w:sz w:val="20"/>
                <w:szCs w:val="20"/>
                <w:color w:val="auto"/>
              </w:rPr>
              <w:t>2026</w:t>
            </w:r>
          </w:p>
        </w:tc>
        <w:tc>
          <w:tcPr>
            <w:tcW w:w="1480" w:type="dxa"/>
            <w:vAlign w:val="bottom"/>
          </w:tcPr>
          <w:p>
            <w:pPr>
              <w:jc w:val="right"/>
              <w:spacing w:after="0"/>
              <w:rPr>
                <w:sz w:val="20"/>
                <w:szCs w:val="20"/>
                <w:color w:val="auto"/>
              </w:rPr>
            </w:pPr>
            <w:r>
              <w:rPr>
                <w:rFonts w:ascii="Arial" w:cs="Arial" w:eastAsia="Arial" w:hAnsi="Arial"/>
                <w:sz w:val="20"/>
                <w:szCs w:val="20"/>
                <w:color w:val="auto"/>
              </w:rPr>
              <w:t>2025</w:t>
            </w:r>
          </w:p>
        </w:tc>
        <w:tc>
          <w:tcPr>
            <w:tcW w:w="0" w:type="dxa"/>
            <w:vAlign w:val="bottom"/>
          </w:tcPr>
          <w:p>
            <w:pPr>
              <w:spacing w:after="0"/>
              <w:rPr>
                <w:sz w:val="1"/>
                <w:szCs w:val="1"/>
                <w:color w:val="auto"/>
              </w:rPr>
            </w:pPr>
          </w:p>
        </w:tc>
      </w:tr>
      <w:tr>
        <w:trPr>
          <w:trHeight w:val="247"/>
        </w:trPr>
        <w:tc>
          <w:tcPr>
            <w:tcW w:w="7760" w:type="dxa"/>
            <w:vAlign w:val="bottom"/>
            <w:tcBorders>
              <w:bottom w:val="single" w:sz="8" w:color="BF373A"/>
            </w:tcBorders>
          </w:tcPr>
          <w:p>
            <w:pPr>
              <w:spacing w:after="0"/>
              <w:rPr>
                <w:sz w:val="21"/>
                <w:szCs w:val="21"/>
                <w:color w:val="auto"/>
              </w:rPr>
            </w:pPr>
          </w:p>
        </w:tc>
        <w:tc>
          <w:tcPr>
            <w:tcW w:w="2000" w:type="dxa"/>
            <w:vAlign w:val="bottom"/>
            <w:tcBorders>
              <w:bottom w:val="single" w:sz="8" w:color="BF373A"/>
            </w:tcBorders>
          </w:tcPr>
          <w:p>
            <w:pPr>
              <w:spacing w:after="0"/>
              <w:rPr>
                <w:sz w:val="21"/>
                <w:szCs w:val="21"/>
                <w:color w:val="auto"/>
              </w:rPr>
            </w:pPr>
          </w:p>
        </w:tc>
        <w:tc>
          <w:tcPr>
            <w:tcW w:w="1480" w:type="dxa"/>
            <w:vAlign w:val="bottom"/>
            <w:tcBorders>
              <w:bottom w:val="single" w:sz="8" w:color="BF373A"/>
            </w:tcBorders>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7760" w:type="dxa"/>
            <w:vAlign w:val="bottom"/>
          </w:tcPr>
          <w:p>
            <w:pPr>
              <w:ind w:left="20"/>
              <w:spacing w:after="0" w:line="229" w:lineRule="exact"/>
              <w:rPr>
                <w:sz w:val="20"/>
                <w:szCs w:val="20"/>
                <w:color w:val="auto"/>
              </w:rPr>
            </w:pPr>
            <w:r>
              <w:rPr>
                <w:rFonts w:ascii="Arial" w:cs="Arial" w:eastAsia="Arial" w:hAnsi="Arial"/>
                <w:sz w:val="20"/>
                <w:szCs w:val="20"/>
                <w:color w:val="auto"/>
              </w:rPr>
              <w:t>Weighted average number of shares used in computing basic and diluted earnings</w:t>
            </w:r>
          </w:p>
        </w:tc>
        <w:tc>
          <w:tcPr>
            <w:tcW w:w="2000" w:type="dxa"/>
            <w:vAlign w:val="bottom"/>
            <w:vMerge w:val="restart"/>
          </w:tcPr>
          <w:p>
            <w:pPr>
              <w:jc w:val="right"/>
              <w:ind w:right="401"/>
              <w:spacing w:after="0"/>
              <w:rPr>
                <w:sz w:val="20"/>
                <w:szCs w:val="20"/>
                <w:color w:val="auto"/>
              </w:rPr>
            </w:pPr>
            <w:r>
              <w:rPr>
                <w:rFonts w:ascii="Arial" w:cs="Arial" w:eastAsia="Arial" w:hAnsi="Arial"/>
                <w:sz w:val="20"/>
                <w:szCs w:val="20"/>
                <w:color w:val="auto"/>
              </w:rPr>
              <w:t>37,502,552</w:t>
            </w:r>
          </w:p>
        </w:tc>
        <w:tc>
          <w:tcPr>
            <w:tcW w:w="1480" w:type="dxa"/>
            <w:vAlign w:val="bottom"/>
            <w:vMerge w:val="restart"/>
          </w:tcPr>
          <w:p>
            <w:pPr>
              <w:jc w:val="right"/>
              <w:spacing w:after="0"/>
              <w:rPr>
                <w:sz w:val="20"/>
                <w:szCs w:val="20"/>
                <w:color w:val="auto"/>
              </w:rPr>
            </w:pPr>
            <w:r>
              <w:rPr>
                <w:rFonts w:ascii="Arial" w:cs="Arial" w:eastAsia="Arial" w:hAnsi="Arial"/>
                <w:sz w:val="20"/>
                <w:szCs w:val="20"/>
                <w:color w:val="auto"/>
              </w:rPr>
              <w:t>36,874,641</w:t>
            </w:r>
          </w:p>
        </w:tc>
        <w:tc>
          <w:tcPr>
            <w:tcW w:w="0" w:type="dxa"/>
            <w:vAlign w:val="bottom"/>
          </w:tcPr>
          <w:p>
            <w:pPr>
              <w:spacing w:after="0"/>
              <w:rPr>
                <w:sz w:val="1"/>
                <w:szCs w:val="1"/>
                <w:color w:val="auto"/>
              </w:rPr>
            </w:pPr>
          </w:p>
        </w:tc>
      </w:tr>
      <w:tr>
        <w:trPr>
          <w:trHeight w:val="140"/>
        </w:trPr>
        <w:tc>
          <w:tcPr>
            <w:tcW w:w="7760" w:type="dxa"/>
            <w:vAlign w:val="bottom"/>
            <w:vMerge w:val="restart"/>
          </w:tcPr>
          <w:p>
            <w:pPr>
              <w:ind w:left="20"/>
              <w:spacing w:after="0"/>
              <w:rPr>
                <w:sz w:val="20"/>
                <w:szCs w:val="20"/>
                <w:color w:val="auto"/>
              </w:rPr>
            </w:pPr>
            <w:r>
              <w:rPr>
                <w:rFonts w:ascii="Arial" w:cs="Arial" w:eastAsia="Arial" w:hAnsi="Arial"/>
                <w:sz w:val="20"/>
                <w:szCs w:val="20"/>
                <w:color w:val="auto"/>
              </w:rPr>
              <w:t>per share</w:t>
            </w:r>
          </w:p>
        </w:tc>
        <w:tc>
          <w:tcPr>
            <w:tcW w:w="2000" w:type="dxa"/>
            <w:vAlign w:val="bottom"/>
            <w:vMerge w:val="continue"/>
          </w:tcPr>
          <w:p>
            <w:pPr>
              <w:spacing w:after="0"/>
              <w:rPr>
                <w:sz w:val="12"/>
                <w:szCs w:val="12"/>
                <w:color w:val="auto"/>
              </w:rPr>
            </w:pPr>
          </w:p>
        </w:tc>
        <w:tc>
          <w:tcPr>
            <w:tcW w:w="1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7760" w:type="dxa"/>
            <w:vAlign w:val="bottom"/>
            <w:vMerge w:val="continue"/>
          </w:tcPr>
          <w:p>
            <w:pPr>
              <w:spacing w:after="0"/>
              <w:rPr>
                <w:sz w:val="10"/>
                <w:szCs w:val="10"/>
                <w:color w:val="auto"/>
              </w:rPr>
            </w:pPr>
          </w:p>
        </w:tc>
        <w:tc>
          <w:tcPr>
            <w:tcW w:w="20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auto"/>
        </w:rPr>
        <w:t>5.8</w:t>
      </w:r>
      <w:r>
        <w:rPr>
          <w:sz w:val="20"/>
          <w:szCs w:val="20"/>
          <w:color w:val="auto"/>
        </w:rPr>
        <w:tab/>
      </w:r>
      <w:r>
        <w:rPr>
          <w:rFonts w:ascii="Arial" w:cs="Arial" w:eastAsia="Arial" w:hAnsi="Arial"/>
          <w:sz w:val="19"/>
          <w:szCs w:val="19"/>
          <w:color w:val="auto"/>
        </w:rPr>
        <w:t>Other Comprehensive result</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20"/>
          <w:szCs w:val="20"/>
          <w:color w:val="auto"/>
        </w:rPr>
        <w:t>In order to recognize remeasurements of the net defined benefit obligation in the period in which they arise, the Group utilizes independent actuaries to update the calculation of the defined benefit obligation and plan assets at each reporting date. The primary component of the remeasurement as of and for the three month period ended March 31, 2026, relates to a decrease in the assets held at the pension foundation.</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auto"/>
        </w:rPr>
        <w:t>5.9</w:t>
      </w:r>
      <w:r>
        <w:rPr>
          <w:sz w:val="20"/>
          <w:szCs w:val="20"/>
          <w:color w:val="auto"/>
        </w:rPr>
        <w:tab/>
      </w:r>
      <w:r>
        <w:rPr>
          <w:rFonts w:ascii="Arial" w:cs="Arial" w:eastAsia="Arial" w:hAnsi="Arial"/>
          <w:sz w:val="19"/>
          <w:szCs w:val="19"/>
          <w:color w:val="auto"/>
        </w:rPr>
        <w:t>Related parties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The Group did not enter into any new related party transactions in the interim periods presented.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5.10</w:t>
      </w:r>
      <w:r>
        <w:rPr>
          <w:sz w:val="20"/>
          <w:szCs w:val="20"/>
          <w:color w:val="auto"/>
        </w:rPr>
        <w:tab/>
      </w:r>
      <w:r>
        <w:rPr>
          <w:rFonts w:ascii="Arial" w:cs="Arial" w:eastAsia="Arial" w:hAnsi="Arial"/>
          <w:sz w:val="19"/>
          <w:szCs w:val="19"/>
          <w:color w:val="auto"/>
        </w:rPr>
        <w:t>Events after the balance sheet date</w:t>
      </w:r>
    </w:p>
    <w:p>
      <w:pPr>
        <w:spacing w:after="0" w:line="229" w:lineRule="exact"/>
        <w:rPr>
          <w:sz w:val="20"/>
          <w:szCs w:val="20"/>
          <w:color w:val="auto"/>
        </w:rPr>
      </w:pPr>
    </w:p>
    <w:p>
      <w:pPr>
        <w:ind w:right="500"/>
        <w:spacing w:after="0" w:line="262" w:lineRule="auto"/>
        <w:rPr>
          <w:sz w:val="20"/>
          <w:szCs w:val="20"/>
          <w:color w:val="auto"/>
        </w:rPr>
      </w:pPr>
      <w:r>
        <w:rPr>
          <w:rFonts w:ascii="Arial" w:cs="Arial" w:eastAsia="Arial" w:hAnsi="Arial"/>
          <w:sz w:val="20"/>
          <w:szCs w:val="20"/>
          <w:color w:val="auto"/>
        </w:rPr>
        <w:t>No events occurred between the balance sheet date and the date on which these condensed consolidated interim financial statements were approved for issuance by the Audit and Finance Committee that would require adjustment to these condensed consolidated interim financial statements or disclosure under this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right"/>
        <w:spacing w:after="0"/>
        <w:rPr>
          <w:sz w:val="20"/>
          <w:szCs w:val="20"/>
          <w:color w:val="auto"/>
        </w:rPr>
      </w:pPr>
      <w:r>
        <w:rPr>
          <w:rFonts w:ascii="Arial" w:cs="Arial" w:eastAsia="Arial" w:hAnsi="Arial"/>
          <w:sz w:val="20"/>
          <w:szCs w:val="20"/>
          <w:color w:val="auto"/>
        </w:rPr>
        <w:t>8</w:t>
      </w:r>
    </w:p>
    <w:sectPr>
      <w:pgSz w:w="11900" w:h="16838" w:orient="portrait"/>
      <w:cols w:equalWidth="0" w:num="1">
        <w:col w:w="11240"/>
      </w:cols>
      <w:pgMar w:left="320" w:top="114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decimal"/>
      <w:start w:val="2"/>
    </w:lvl>
  </w:abstractNum>
  <w:abstractNum w:abstractNumId="5">
    <w:nsid w:val="79E2A9E3"/>
    <w:multiLevelType w:val="hybridMultilevel"/>
    <w:lvl w:ilvl="0">
      <w:lvlJc w:val="left"/>
      <w:lvlText w:val="%1."/>
      <w:numFmt w:val="decimal"/>
      <w:start w:val="3"/>
    </w:lvl>
  </w:abstractNum>
  <w:abstractNum w:abstractNumId="6">
    <w:nsid w:val="7545E146"/>
    <w:multiLevelType w:val="hybridMultilevel"/>
    <w:lvl w:ilvl="0">
      <w:lvlJc w:val="left"/>
      <w:lvlText w:val="%1."/>
      <w:numFmt w:val="decimal"/>
      <w:start w:val="4"/>
    </w:lvl>
  </w:abstractNum>
  <w:abstractNum w:abstractNumId="7">
    <w:nsid w:val="515F007C"/>
    <w:multiLevelType w:val="hybridMultilevel"/>
    <w:lvl w:ilvl="0">
      <w:lvlJc w:val="left"/>
      <w:lvlText w:val="%1."/>
      <w:numFmt w:val="decimal"/>
      <w:start w:val="5"/>
    </w:lvl>
  </w:abstractNum>
  <w:abstractNum w:abstractNumId="8">
    <w:nsid w:val="5BD062C2"/>
    <w:multiLevelType w:val="hybridMultilevel"/>
    <w:lvl w:ilvl="0">
      <w:lvlJc w:val="left"/>
      <w:lvlText w:val="%1)"/>
      <w:numFmt w:val="decimal"/>
      <w:start w:val="83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2026-05-12T15:13:41Z</dcterms:created>
  <dcterms:modified xsi:type="dcterms:W3CDTF">2026-05-12T15:13:41Z</dcterms:modified>
</cp:coreProperties>
</file>