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For the month of July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July 2,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20"/>
          </w:cols>
          <w:pgMar w:left="320" w:top="111" w:right="85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spacing w:after="0" w:line="94"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Molecular Partners and Orano Med Announce First Patients Dosed in Phase 1/2a Trial of DLL3 Radio-DARPin MP0712</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 xml:space="preserve">Five sites recruiting in US study of DLL3-targeting </w:t>
      </w:r>
      <w:r>
        <w:rPr>
          <w:rFonts w:ascii="Times New Roman" w:cs="Times New Roman" w:eastAsia="Times New Roman" w:hAnsi="Times New Roman"/>
          <w:sz w:val="35"/>
          <w:szCs w:val="35"/>
          <w:i w:val="1"/>
          <w:iCs w:val="1"/>
          <w:color w:val="auto"/>
          <w:vertAlign w:val="superscript"/>
        </w:rPr>
        <w:t>212</w:t>
      </w:r>
      <w:r>
        <w:rPr>
          <w:rFonts w:ascii="Times New Roman" w:cs="Times New Roman" w:eastAsia="Times New Roman" w:hAnsi="Times New Roman"/>
          <w:sz w:val="22"/>
          <w:szCs w:val="22"/>
          <w:i w:val="1"/>
          <w:iCs w:val="1"/>
          <w:color w:val="auto"/>
        </w:rPr>
        <w:t>Pb-labelled Radio-DARPin MP0712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-160655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Dosing ongoing in first patients, consecutively moving to subsequent dosing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Initial data anticipated within the coming months, comprehensive efficacy data expected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1"/>
          <w:szCs w:val="21"/>
          <w:color w:val="auto"/>
        </w:rPr>
        <w:t xml:space="preserve">ZURICH-SCHLIEREN, Switzerland and CONCORD, Mass. and VILLEJUIF, France, July 02, 2026 (GLOBE NEWSWIRE) -- </w:t>
      </w:r>
      <w:r>
        <w:rPr>
          <w:rFonts w:ascii="Times New Roman" w:cs="Times New Roman" w:eastAsia="Times New Roman" w:hAnsi="Times New Roman"/>
          <w:sz w:val="21"/>
          <w:szCs w:val="21"/>
          <w:b w:val="1"/>
          <w:bCs w:val="1"/>
          <w:color w:val="auto"/>
        </w:rPr>
        <w:t xml:space="preserve">Ad hoc announcement pursuant to Art. 53 LR – </w:t>
      </w:r>
      <w:r>
        <w:rPr>
          <w:rFonts w:ascii="Times New Roman" w:cs="Times New Roman" w:eastAsia="Times New Roman" w:hAnsi="Times New Roman"/>
          <w:sz w:val="21"/>
          <w:szCs w:val="21"/>
          <w:color w:val="auto"/>
        </w:rPr>
        <w:t>Molecular Partners AG (SIX: MOLN; NASDAQ: MOLN), a clinical-stage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biotech company developing a novel class of custom-built protein drugs known as DARPin therapeutics (“Molecular Partners”),</w:t>
      </w:r>
    </w:p>
    <w:p>
      <w:pPr>
        <w:spacing w:after="0" w:line="209" w:lineRule="auto"/>
        <w:rPr>
          <w:sz w:val="20"/>
          <w:szCs w:val="20"/>
          <w:color w:val="auto"/>
        </w:rPr>
      </w:pPr>
      <w:r>
        <w:rPr>
          <w:rFonts w:ascii="Times New Roman" w:cs="Times New Roman" w:eastAsia="Times New Roman" w:hAnsi="Times New Roman"/>
          <w:sz w:val="22"/>
          <w:szCs w:val="22"/>
          <w:color w:val="auto"/>
        </w:rPr>
        <w:t>and Orano Med, a clinical-stage radiopharmaceutical company and a pioneer in the development of lead-212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based targeted alpha therapies (TAT), today announced that the first patients were dosed in the ongoing US multicenter Phase 1/2a study of drug candidate MP0712.</w:t>
      </w:r>
    </w:p>
    <w:p>
      <w:pPr>
        <w:spacing w:after="0" w:line="188"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22"/>
          <w:szCs w:val="22"/>
          <w:color w:val="auto"/>
        </w:rPr>
        <w:t xml:space="preserve">MP0712, targeting the tumor-associated protein delta-like ligand 3 (DLL3) and carrying the therapeutic payload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is the lead Radio-DARPin candidate being developed under a strategic partnership between Molecular Partners and Orano Med. DLL3 is a highly relevant target for radiopharmaceutical therapy due to its abundant expression in tumors of patients with small cell lung cancer (DLL3 is present in over 85% of SCLC tumors) and multiple other aggressive neuroendocrine tumors, while expression in healthy tissues is low.</w:t>
      </w:r>
    </w:p>
    <w:p>
      <w:pPr>
        <w:spacing w:after="0" w:line="179"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 xml:space="preserve">“MP0712 is a Radio-DARPin designed to attack tumors by specifically leveraging DLL3 biology. With the first patient now in repeat dosing and Cohort 1 now recruited, we are establishing the clinical safety profile of this novel therapy in real time. Working closely with investigators in our trial, we remain on track to report initial study data in 2026, and, also paving the way for other Radio-DARPin candidates to move forward,” said </w:t>
      </w:r>
      <w:r>
        <w:rPr>
          <w:rFonts w:ascii="Times New Roman" w:cs="Times New Roman" w:eastAsia="Times New Roman" w:hAnsi="Times New Roman"/>
          <w:sz w:val="22"/>
          <w:szCs w:val="22"/>
          <w:b w:val="1"/>
          <w:bCs w:val="1"/>
          <w:color w:val="auto"/>
        </w:rPr>
        <w:t>Patrick Amstutz, Ph.D., CEO of Molecular Partners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1"/>
          <w:szCs w:val="21"/>
          <w:color w:val="auto"/>
        </w:rPr>
        <w:t xml:space="preserve">“The dosing of the first patients in this study marks an important step for Orano Med and our collaboration. It further illustrates the potential of lead-212 to support a broad clinical pipeline of targeted alpha therapies, leveraging its versatility across different vector formats to address a wide range of cancer types,” said </w:t>
      </w:r>
      <w:r>
        <w:rPr>
          <w:rFonts w:ascii="Times New Roman" w:cs="Times New Roman" w:eastAsia="Times New Roman" w:hAnsi="Times New Roman"/>
          <w:sz w:val="21"/>
          <w:szCs w:val="21"/>
          <w:b w:val="1"/>
          <w:bCs w:val="1"/>
          <w:color w:val="auto"/>
        </w:rPr>
        <w:t>Frédéric Desdouits, Ph.D., CEO of Orano Med.</w:t>
      </w:r>
    </w:p>
    <w:p>
      <w:pPr>
        <w:spacing w:after="0" w:line="15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The program employs a “matched-pair” approach, in which a diagnostic imaging agent and a therapeutic agent share the same targeting molecule, allowing for accurate prediction of tumor uptake prior to treatment. Following an imaging and dosimetry step</w:t>
      </w:r>
    </w:p>
    <w:p>
      <w:pPr>
        <w:spacing w:after="0" w:line="2"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22"/>
          <w:szCs w:val="22"/>
          <w:color w:val="auto"/>
        </w:rPr>
        <w:t xml:space="preserve">with </w:t>
      </w:r>
      <w:r>
        <w:rPr>
          <w:rFonts w:ascii="Times New Roman" w:cs="Times New Roman" w:eastAsia="Times New Roman" w:hAnsi="Times New Roman"/>
          <w:sz w:val="35"/>
          <w:szCs w:val="35"/>
          <w:color w:val="auto"/>
          <w:vertAlign w:val="superscript"/>
        </w:rPr>
        <w:t>203</w:t>
      </w:r>
      <w:r>
        <w:rPr>
          <w:rFonts w:ascii="Times New Roman" w:cs="Times New Roman" w:eastAsia="Times New Roman" w:hAnsi="Times New Roman"/>
          <w:sz w:val="22"/>
          <w:szCs w:val="22"/>
          <w:color w:val="auto"/>
        </w:rPr>
        <w:t xml:space="preserve">Pb-labeled MP0712, patients in the Phase 1/2a study receive up to four doses of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Pb-labeled MP0712 within their assigned dose level cohort. Dosing of patients is ongoing in cohort 1, with patients moving to repeat dosing. The study contains up to four dose levels. At present, five centers are open and actively recruiting in the US, with additional sites planned to open this year (ClinicalTrials.gov: NCT07278479). Initial data from the MP0712 Phase 1/2a study are expected in the upcoming months, with a more comprehensive dataset on safety and efficacy in 2027.</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Radio-DARPins</w:t>
      </w:r>
    </w:p>
    <w:p>
      <w:pPr>
        <w:spacing w:after="0" w:line="18" w:lineRule="exact"/>
        <w:rPr>
          <w:sz w:val="20"/>
          <w:szCs w:val="20"/>
          <w:color w:val="auto"/>
        </w:rPr>
      </w:pPr>
    </w:p>
    <w:p>
      <w:pPr>
        <w:ind w:right="420"/>
        <w:spacing w:after="0" w:line="232" w:lineRule="auto"/>
        <w:rPr>
          <w:sz w:val="20"/>
          <w:szCs w:val="20"/>
          <w:color w:val="auto"/>
        </w:rPr>
      </w:pPr>
      <w:r>
        <w:rPr>
          <w:rFonts w:ascii="Times New Roman" w:cs="Times New Roman" w:eastAsia="Times New Roman" w:hAnsi="Times New Roman"/>
          <w:sz w:val="22"/>
          <w:szCs w:val="22"/>
          <w:color w:val="auto"/>
        </w:rPr>
        <w:t>Molecular Partners develops targeted alpha therapeutics leveraging its Radio-DARPins as isotope-agnostic vectors with the potential to unlock a broad range of cancer targets and indications. Molecular Partners designs its Radio-DARPin candidates matching disease and target biology with vector and isotope properties to address unmet medical needs. Building on the DARPins’ unique properties, Molecular Partners has developed a proprietary Radio-DARPin platform for precise delivery of potent radioactive payloads to tumor lesions. Molecular Partners’ Radio-DARPins address historic limitations of radioligand therapy, such as kidney accumulation and suboptimal tumor uptake, through optimized half-life extension and surface engineering approaches, while preserving the advantages of the small protein format.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DARPin Therapeutics</w:t>
      </w:r>
    </w:p>
    <w:p>
      <w:pPr>
        <w:spacing w:after="0" w:line="1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DARPin (Designed Ankyrin Repeat Protein) therapeutics are a novel class of protein drugs based on natural binding proteins, which have been clinically-validated across several therapeutic areas and developed through to the registrational stage. The key properties of DARPins – intrinsic potential for high affinity and specificity, as well as small size, flexible architecture, and high stability – offer unmatched advantages to drug design, such as multispecificity, broad target range, and tunable half-life. Powered by twenty years of DARPin leadership, Molecular Partners has built an innovative, rapid and cost-effective DARPin drug design engine, including proprietary DARPin libraries and platforms, for candidates produced with optimized properties and tailored to therapeutic needs.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Molecular Partners AG</w:t>
      </w:r>
    </w:p>
    <w:p>
      <w:pPr>
        <w:spacing w:after="0" w:line="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 and Twitter / X @MolecularPrtnrs</w:t>
      </w:r>
    </w:p>
    <w:p>
      <w:pPr>
        <w:sectPr>
          <w:pgSz w:w="11900" w:h="16932"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Targeted Alpha Therapy</w:t>
      </w:r>
    </w:p>
    <w:p>
      <w:pPr>
        <w:spacing w:after="0" w:line="19"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Targeted alpha therapy (TAT) relies on a simple concept: combining the ability of biological molecules to target cancer cells with the short-range cell-killing capabilities of alpha-emitting radioisotopes. Alpha decay consists of the emission of a helium nucleus (alpha particle) together with very high linear energy transfer and a range emission of only few cell layers, resulting in irreparable double strand DNA breaks in cells adjacent only to area of alpha emission. This approach results in an increased cytotoxic potential toward cancer cells while limiting toxicity to nearby healthy cells. As a result, alpha emitters are considered as the most powerful payloads to be found for targeted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Orano Med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Orano Med is a subsidiary of the Orano Group. Orano Med is a clinical-stage biotechnology company that develops a new</w:t>
      </w:r>
    </w:p>
    <w:p>
      <w:pPr>
        <w:ind w:right="320"/>
        <w:spacing w:after="0" w:line="204" w:lineRule="auto"/>
        <w:rPr>
          <w:sz w:val="20"/>
          <w:szCs w:val="20"/>
          <w:color w:val="auto"/>
        </w:rPr>
      </w:pPr>
      <w:r>
        <w:rPr>
          <w:rFonts w:ascii="Times New Roman" w:cs="Times New Roman" w:eastAsia="Times New Roman" w:hAnsi="Times New Roman"/>
          <w:sz w:val="21"/>
          <w:szCs w:val="21"/>
          <w:color w:val="auto"/>
        </w:rPr>
        <w:t>generation of targeted therapies against cancer using the unique properties of lead-212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Pb), an alpha-emitting radioisotope and one of the more potent therapeutic payloads against cancer cells known as Targeted Alpha Therapy (TAT). Leveraging its</w:t>
      </w:r>
    </w:p>
    <w:p>
      <w:pPr>
        <w:spacing w:after="0" w:line="2" w:lineRule="exact"/>
        <w:rPr>
          <w:sz w:val="20"/>
          <w:szCs w:val="20"/>
          <w:color w:val="auto"/>
        </w:rPr>
      </w:pPr>
    </w:p>
    <w:p>
      <w:pPr>
        <w:spacing w:after="0" w:line="182" w:lineRule="auto"/>
        <w:rPr>
          <w:sz w:val="20"/>
          <w:szCs w:val="20"/>
          <w:color w:val="auto"/>
        </w:rPr>
      </w:pPr>
      <w:r>
        <w:rPr>
          <w:rFonts w:ascii="Times New Roman" w:cs="Times New Roman" w:eastAsia="Times New Roman" w:hAnsi="Times New Roman"/>
          <w:sz w:val="21"/>
          <w:szCs w:val="21"/>
          <w:color w:val="auto"/>
        </w:rPr>
        <w:t xml:space="preserve">unique and secured access to 212Pb, the company is developing several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 xml:space="preserve">Pb-based radioligand therapies combined with various targeting agents. Orano Med has </w:t>
      </w:r>
      <w:r>
        <w:rPr>
          <w:rFonts w:ascii="Times New Roman" w:cs="Times New Roman" w:eastAsia="Times New Roman" w:hAnsi="Times New Roman"/>
          <w:sz w:val="34"/>
          <w:szCs w:val="34"/>
          <w:color w:val="auto"/>
          <w:vertAlign w:val="superscript"/>
        </w:rPr>
        <w:t>212</w:t>
      </w:r>
      <w:r>
        <w:rPr>
          <w:rFonts w:ascii="Times New Roman" w:cs="Times New Roman" w:eastAsia="Times New Roman" w:hAnsi="Times New Roman"/>
          <w:sz w:val="21"/>
          <w:szCs w:val="21"/>
          <w:color w:val="auto"/>
        </w:rPr>
        <w:t>Pb manufacturing facilities, laboratories, and R&amp;D centers in France and in the US and is</w:t>
      </w:r>
    </w:p>
    <w:p>
      <w:pPr>
        <w:spacing w:after="0" w:line="1" w:lineRule="exact"/>
        <w:rPr>
          <w:sz w:val="20"/>
          <w:szCs w:val="20"/>
          <w:color w:val="auto"/>
        </w:rPr>
      </w:pPr>
    </w:p>
    <w:p>
      <w:pPr>
        <w:spacing w:after="0" w:line="201" w:lineRule="auto"/>
        <w:rPr>
          <w:sz w:val="20"/>
          <w:szCs w:val="20"/>
          <w:color w:val="auto"/>
        </w:rPr>
      </w:pPr>
      <w:r>
        <w:rPr>
          <w:rFonts w:ascii="Times New Roman" w:cs="Times New Roman" w:eastAsia="Times New Roman" w:hAnsi="Times New Roman"/>
          <w:sz w:val="22"/>
          <w:szCs w:val="22"/>
          <w:color w:val="auto"/>
        </w:rPr>
        <w:t xml:space="preserve">currently expanding its GMP-manufacturing capacities for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 radiolabeled pharmaceuticals in North America and Europe. For more information, visit our website at www.oranomed.com and follow us on LinkedIn.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details, please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Molecular Partners:</w:t>
      </w:r>
    </w:p>
    <w:p>
      <w:pPr>
        <w:spacing w:after="0" w:line="230" w:lineRule="auto"/>
        <w:rPr>
          <w:sz w:val="20"/>
          <w:szCs w:val="20"/>
          <w:color w:val="auto"/>
        </w:rPr>
      </w:pPr>
      <w:r>
        <w:rPr>
          <w:rFonts w:ascii="Times New Roman" w:cs="Times New Roman" w:eastAsia="Times New Roman" w:hAnsi="Times New Roman"/>
          <w:sz w:val="22"/>
          <w:szCs w:val="22"/>
          <w:color w:val="auto"/>
        </w:rPr>
        <w:t>Seth Lewis, EVP Corporate Finance</w:t>
      </w:r>
    </w:p>
    <w:p>
      <w:pPr>
        <w:spacing w:after="0" w:line="231" w:lineRule="auto"/>
        <w:rPr>
          <w:sz w:val="20"/>
          <w:szCs w:val="20"/>
          <w:color w:val="auto"/>
        </w:rPr>
      </w:pPr>
      <w:r>
        <w:rPr>
          <w:rFonts w:ascii="Times New Roman" w:cs="Times New Roman" w:eastAsia="Times New Roman" w:hAnsi="Times New Roman"/>
          <w:sz w:val="22"/>
          <w:szCs w:val="22"/>
          <w:color w:val="auto"/>
        </w:rPr>
        <w:t>Concord, Massachusetts, U.S.</w:t>
      </w:r>
    </w:p>
    <w:p>
      <w:pPr>
        <w:spacing w:after="0" w:line="230" w:lineRule="auto"/>
        <w:rPr>
          <w:sz w:val="20"/>
          <w:szCs w:val="20"/>
          <w:color w:val="auto"/>
        </w:rPr>
      </w:pPr>
      <w:r>
        <w:rPr>
          <w:rFonts w:ascii="Times New Roman" w:cs="Times New Roman" w:eastAsia="Times New Roman" w:hAnsi="Times New Roman"/>
          <w:sz w:val="22"/>
          <w:szCs w:val="22"/>
          <w:color w:val="auto"/>
        </w:rPr>
        <w:t>seth.lewis@molecularpartners.com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+1 781 420 2361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Laura Jeanbart, PhD, Head of Portfolio Management &amp;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Zurich-Schlieren, Switzerland</w:t>
      </w:r>
    </w:p>
    <w:p>
      <w:pPr>
        <w:spacing w:after="0" w:line="230" w:lineRule="auto"/>
        <w:rPr>
          <w:sz w:val="20"/>
          <w:szCs w:val="20"/>
          <w:color w:val="auto"/>
        </w:rPr>
      </w:pPr>
      <w:r>
        <w:rPr>
          <w:rFonts w:ascii="Times New Roman" w:cs="Times New Roman" w:eastAsia="Times New Roman" w:hAnsi="Times New Roman"/>
          <w:sz w:val="22"/>
          <w:szCs w:val="22"/>
          <w:color w:val="auto"/>
        </w:rPr>
        <w:t>laura.jeanbart@molecularpartners.com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+41 44 575 19 35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Orano Med: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Regina Jehle, Director Communication and Public Affairs</w:t>
      </w:r>
    </w:p>
    <w:p>
      <w:pPr>
        <w:spacing w:after="0" w:line="230" w:lineRule="auto"/>
        <w:rPr>
          <w:sz w:val="20"/>
          <w:szCs w:val="20"/>
          <w:color w:val="auto"/>
        </w:rPr>
      </w:pPr>
      <w:r>
        <w:rPr>
          <w:rFonts w:ascii="Times New Roman" w:cs="Times New Roman" w:eastAsia="Times New Roman" w:hAnsi="Times New Roman"/>
          <w:sz w:val="22"/>
          <w:szCs w:val="22"/>
          <w:color w:val="auto"/>
        </w:rPr>
        <w:t>communication@oranomed.com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+33 6 74 56 11 31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spacing w:after="0" w:line="18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2026-07-02T05:25:52Z</dcterms:created>
  <dcterms:modified xsi:type="dcterms:W3CDTF">2026-07-02T05:25:52Z</dcterms:modified>
</cp:coreProperties>
</file>