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Washington, D.C. 20549</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FORM 6-K</w:t>
      </w:r>
    </w:p>
    <w:p>
      <w:pPr>
        <w:spacing w:after="0" w:line="262" w:lineRule="exact"/>
        <w:rPr>
          <w:sz w:val="24"/>
          <w:szCs w:val="24"/>
          <w:color w:val="auto"/>
        </w:rPr>
      </w:pPr>
    </w:p>
    <w:p>
      <w:pPr>
        <w:jc w:val="center"/>
        <w:ind w:left="56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62" w:lineRule="exact"/>
        <w:rPr>
          <w:sz w:val="24"/>
          <w:szCs w:val="24"/>
          <w:color w:val="auto"/>
        </w:rPr>
      </w:pPr>
    </w:p>
    <w:p>
      <w:pPr>
        <w:ind w:left="4360"/>
        <w:spacing w:after="0"/>
        <w:rPr>
          <w:sz w:val="20"/>
          <w:szCs w:val="20"/>
          <w:color w:val="auto"/>
        </w:rPr>
      </w:pPr>
      <w:r>
        <w:rPr>
          <w:rFonts w:ascii="Arial" w:cs="Arial" w:eastAsia="Arial" w:hAnsi="Arial"/>
          <w:sz w:val="22"/>
          <w:szCs w:val="22"/>
          <w:b w:val="1"/>
          <w:bCs w:val="1"/>
          <w:color w:val="auto"/>
        </w:rPr>
        <w:t>For the month of May 2023</w:t>
      </w:r>
    </w:p>
    <w:p>
      <w:pPr>
        <w:spacing w:after="0" w:line="206"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001-40488</w:t>
      </w:r>
    </w:p>
    <w:p>
      <w:pPr>
        <w:spacing w:after="0" w:line="206" w:lineRule="exact"/>
        <w:rPr>
          <w:sz w:val="24"/>
          <w:szCs w:val="24"/>
          <w:color w:val="auto"/>
        </w:rPr>
      </w:pPr>
    </w:p>
    <w:p>
      <w:pPr>
        <w:ind w:left="4540"/>
        <w:spacing w:after="0"/>
        <w:rPr>
          <w:sz w:val="20"/>
          <w:szCs w:val="20"/>
          <w:color w:val="auto"/>
        </w:rPr>
      </w:pPr>
      <w:r>
        <w:rPr>
          <w:rFonts w:ascii="Arial" w:cs="Arial" w:eastAsia="Arial" w:hAnsi="Arial"/>
          <w:sz w:val="22"/>
          <w:szCs w:val="22"/>
          <w:b w:val="1"/>
          <w:bCs w:val="1"/>
          <w:color w:val="auto"/>
        </w:rPr>
        <w:t>Molecular Partners AG</w:t>
      </w:r>
    </w:p>
    <w:p>
      <w:pPr>
        <w:spacing w:after="0" w:line="14"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(Translation of registrant's name into English)</w:t>
      </w:r>
    </w:p>
    <w:p>
      <w:pPr>
        <w:spacing w:after="0" w:line="182"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Wagistrasse 14</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8952 Zurich-Schlieren</w:t>
      </w:r>
    </w:p>
    <w:p>
      <w:pPr>
        <w:jc w:val="center"/>
        <w:ind w:right="-239"/>
        <w:spacing w:after="0" w:line="230" w:lineRule="auto"/>
        <w:rPr>
          <w:sz w:val="20"/>
          <w:szCs w:val="20"/>
          <w:color w:val="auto"/>
        </w:rPr>
      </w:pPr>
      <w:r>
        <w:rPr>
          <w:rFonts w:ascii="Arial" w:cs="Arial" w:eastAsia="Arial" w:hAnsi="Arial"/>
          <w:sz w:val="22"/>
          <w:szCs w:val="22"/>
          <w:b w:val="1"/>
          <w:bCs w:val="1"/>
          <w:color w:val="auto"/>
        </w:rPr>
        <w:t>Switzerland</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color w:val="auto"/>
        </w:rPr>
        <w:t>(Address of principal executive office)</w:t>
      </w:r>
    </w:p>
    <w:p>
      <w:pPr>
        <w:spacing w:after="0" w:line="188" w:lineRule="exact"/>
        <w:rPr>
          <w:sz w:val="24"/>
          <w:szCs w:val="24"/>
          <w:color w:val="auto"/>
        </w:rPr>
      </w:pPr>
    </w:p>
    <w:p>
      <w:pPr>
        <w:ind w:right="800"/>
        <w:spacing w:after="0" w:line="250"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00"/>
          </w:cols>
          <w:pgMar w:left="320" w:top="549" w:right="579" w:bottom="1440" w:gutter="0" w:footer="0" w:header="0"/>
        </w:sectPr>
      </w:pPr>
    </w:p>
    <w:bookmarkStart w:id="1" w:name="page2"/>
    <w:bookmarkEnd w:id="1"/>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Condensed consolidated interim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19"/>
          </w:cols>
          <w:pgMar w:left="340" w:top="337" w:right="1440"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Molecular Partners AG</w:t>
            </w:r>
          </w:p>
        </w:tc>
        <w:tc>
          <w:tcPr>
            <w:tcW w:w="20" w:type="dxa"/>
            <w:vAlign w:val="bottom"/>
          </w:tcPr>
          <w:p>
            <w:pPr>
              <w:spacing w:after="0"/>
              <w:rPr>
                <w:sz w:val="17"/>
                <w:szCs w:val="17"/>
                <w:color w:val="auto"/>
              </w:rPr>
            </w:pPr>
          </w:p>
        </w:tc>
      </w:tr>
      <w:tr>
        <w:trPr>
          <w:trHeight w:val="237"/>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(Registrant)</w:t>
            </w:r>
          </w:p>
        </w:tc>
        <w:tc>
          <w:tcPr>
            <w:tcW w:w="20" w:type="dxa"/>
            <w:vAlign w:val="bottom"/>
          </w:tcPr>
          <w:p>
            <w:pPr>
              <w:spacing w:after="0"/>
              <w:rPr>
                <w:sz w:val="20"/>
                <w:szCs w:val="20"/>
                <w:color w:val="auto"/>
              </w:rPr>
            </w:pPr>
          </w:p>
        </w:tc>
      </w:tr>
      <w:tr>
        <w:trPr>
          <w:trHeight w:val="608"/>
        </w:trPr>
        <w:tc>
          <w:tcPr>
            <w:tcW w:w="7520" w:type="dxa"/>
            <w:vAlign w:val="bottom"/>
            <w:gridSpan w:val="2"/>
          </w:tcPr>
          <w:p>
            <w:pPr>
              <w:spacing w:after="0"/>
              <w:rPr>
                <w:sz w:val="20"/>
                <w:szCs w:val="20"/>
                <w:color w:val="auto"/>
              </w:rPr>
            </w:pPr>
            <w:r>
              <w:rPr>
                <w:rFonts w:ascii="Arial" w:cs="Arial" w:eastAsia="Arial" w:hAnsi="Arial"/>
                <w:sz w:val="18"/>
                <w:szCs w:val="18"/>
                <w:color w:val="auto"/>
              </w:rPr>
              <w:t>Date: May 12, 2023</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/s/ PATRICK AMSTUTZ</w:t>
            </w:r>
          </w:p>
        </w:tc>
        <w:tc>
          <w:tcPr>
            <w:tcW w:w="20" w:type="dxa"/>
            <w:vAlign w:val="bottom"/>
          </w:tcPr>
          <w:p>
            <w:pPr>
              <w:spacing w:after="0"/>
              <w:rPr>
                <w:sz w:val="24"/>
                <w:szCs w:val="24"/>
                <w:color w:val="auto"/>
              </w:rPr>
            </w:pPr>
          </w:p>
        </w:tc>
      </w:tr>
      <w:tr>
        <w:trPr>
          <w:trHeight w:val="222"/>
        </w:trPr>
        <w:tc>
          <w:tcPr>
            <w:tcW w:w="75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Patrick Amstutz</w:t>
            </w:r>
          </w:p>
        </w:tc>
        <w:tc>
          <w:tcPr>
            <w:tcW w:w="20" w:type="dxa"/>
            <w:vAlign w:val="bottom"/>
            <w:tcBorders>
              <w:top w:val="single" w:sz="8" w:color="auto"/>
            </w:tcBorders>
          </w:tcPr>
          <w:p>
            <w:pPr>
              <w:spacing w:after="0"/>
              <w:rPr>
                <w:sz w:val="19"/>
                <w:szCs w:val="19"/>
                <w:color w:val="auto"/>
              </w:rPr>
            </w:pPr>
          </w:p>
        </w:tc>
      </w:tr>
      <w:tr>
        <w:trPr>
          <w:trHeight w:val="230"/>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c>
          <w:tcPr>
            <w:tcW w:w="20" w:type="dxa"/>
            <w:vAlign w:val="bottom"/>
          </w:tcPr>
          <w:p>
            <w:pPr>
              <w:spacing w:after="0"/>
              <w:rPr>
                <w:sz w:val="20"/>
                <w:szCs w:val="20"/>
                <w:color w:val="auto"/>
              </w:rPr>
            </w:pPr>
          </w:p>
        </w:tc>
      </w:tr>
    </w:tbl>
    <w:p>
      <w:pPr>
        <w:sectPr>
          <w:pgSz w:w="11900" w:h="16838" w:orient="portrait"/>
          <w:cols w:equalWidth="0" w:num="1">
            <w:col w:w="11140"/>
          </w:cols>
          <w:pgMar w:left="320" w:top="328" w:right="4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62" w:lineRule="exact"/>
        <w:rPr>
          <w:sz w:val="20"/>
          <w:szCs w:val="20"/>
          <w:color w:val="auto"/>
        </w:rPr>
      </w:pPr>
    </w:p>
    <w:p>
      <w:pPr>
        <w:spacing w:after="0"/>
        <w:rPr>
          <w:sz w:val="20"/>
          <w:szCs w:val="20"/>
          <w:color w:val="auto"/>
        </w:rPr>
      </w:pPr>
      <w:r>
        <w:rPr>
          <w:rFonts w:ascii="Arial" w:cs="Arial" w:eastAsia="Arial" w:hAnsi="Arial"/>
          <w:sz w:val="32"/>
          <w:szCs w:val="32"/>
          <w:color w:val="163E66"/>
        </w:rPr>
        <w:t>Condensed consolidated interim financial statements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March 31,</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December 31,</w:t>
            </w:r>
          </w:p>
        </w:tc>
      </w:tr>
      <w:tr>
        <w:trPr>
          <w:trHeight w:val="230"/>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Condensed consolidated interim statement of financial position as of</w:t>
            </w:r>
          </w:p>
        </w:tc>
        <w:tc>
          <w:tcPr>
            <w:tcW w:w="2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24"/>
        </w:trPr>
        <w:tc>
          <w:tcPr>
            <w:tcW w:w="6200" w:type="dxa"/>
            <w:vAlign w:val="bottom"/>
          </w:tcPr>
          <w:p>
            <w:pPr>
              <w:spacing w:after="0"/>
              <w:rPr>
                <w:sz w:val="20"/>
                <w:szCs w:val="20"/>
                <w:color w:val="auto"/>
              </w:rPr>
            </w:pPr>
            <w:r>
              <w:rPr>
                <w:rFonts w:ascii="Arial" w:cs="Arial" w:eastAsia="Arial" w:hAnsi="Arial"/>
                <w:sz w:val="18"/>
                <w:szCs w:val="18"/>
                <w:color w:val="auto"/>
              </w:rPr>
              <w:t>in CHF thousands</w:t>
            </w:r>
          </w:p>
        </w:tc>
        <w:tc>
          <w:tcPr>
            <w:tcW w:w="2180" w:type="dxa"/>
            <w:vAlign w:val="bottom"/>
          </w:tcPr>
          <w:p>
            <w:pPr>
              <w:jc w:val="center"/>
              <w:ind w:left="630"/>
              <w:spacing w:after="0"/>
              <w:rPr>
                <w:sz w:val="20"/>
                <w:szCs w:val="20"/>
                <w:color w:val="auto"/>
              </w:rPr>
            </w:pPr>
            <w:r>
              <w:rPr>
                <w:rFonts w:ascii="Arial" w:cs="Arial" w:eastAsia="Arial" w:hAnsi="Arial"/>
                <w:sz w:val="18"/>
                <w:szCs w:val="18"/>
                <w:color w:val="auto"/>
                <w:w w:val="89"/>
              </w:rPr>
              <w:t>Note</w:t>
            </w:r>
          </w:p>
        </w:tc>
        <w:tc>
          <w:tcPr>
            <w:tcW w:w="15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2"/>
        </w:trPr>
        <w:tc>
          <w:tcPr>
            <w:tcW w:w="6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6,768</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7,235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Intangible assets</w:t>
            </w:r>
          </w:p>
        </w:tc>
        <w:tc>
          <w:tcPr>
            <w:tcW w:w="218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287</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271</w:t>
            </w:r>
          </w:p>
        </w:tc>
      </w:tr>
      <w:tr>
        <w:trPr>
          <w:trHeight w:val="216"/>
        </w:trPr>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2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7,055</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7,506</w:t>
            </w:r>
          </w:p>
        </w:tc>
      </w:tr>
      <w:tr>
        <w:trPr>
          <w:trHeight w:val="209"/>
        </w:trPr>
        <w:tc>
          <w:tcPr>
            <w:tcW w:w="6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Short-term time deposits</w:t>
            </w:r>
          </w:p>
        </w:tc>
        <w:tc>
          <w:tcPr>
            <w:tcW w:w="2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158,442</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161,198</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Other current assets</w:t>
            </w:r>
          </w:p>
        </w:tc>
        <w:tc>
          <w:tcPr>
            <w:tcW w:w="218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3,363</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4,589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1,744</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1,019</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18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73,930</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87,946</w:t>
            </w:r>
          </w:p>
        </w:tc>
      </w:tr>
      <w:tr>
        <w:trPr>
          <w:trHeight w:val="216"/>
        </w:trPr>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237,479</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254,752</w:t>
            </w:r>
          </w:p>
        </w:tc>
      </w:tr>
      <w:tr>
        <w:trPr>
          <w:trHeight w:val="210"/>
        </w:trPr>
        <w:tc>
          <w:tcPr>
            <w:tcW w:w="6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244,534</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262,258</w:t>
            </w:r>
          </w:p>
        </w:tc>
      </w:tr>
      <w:tr>
        <w:trPr>
          <w:trHeight w:val="209"/>
        </w:trPr>
        <w:tc>
          <w:tcPr>
            <w:tcW w:w="6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and liabilities</w:t>
            </w:r>
          </w:p>
        </w:tc>
        <w:tc>
          <w:tcPr>
            <w:tcW w:w="2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Share capital</w:t>
            </w:r>
          </w:p>
        </w:tc>
        <w:tc>
          <w:tcPr>
            <w:tcW w:w="2180" w:type="dxa"/>
            <w:vAlign w:val="bottom"/>
          </w:tcPr>
          <w:p>
            <w:pPr>
              <w:jc w:val="center"/>
              <w:ind w:left="630"/>
              <w:spacing w:after="0"/>
              <w:rPr>
                <w:sz w:val="20"/>
                <w:szCs w:val="20"/>
                <w:color w:val="auto"/>
              </w:rPr>
            </w:pPr>
            <w:r>
              <w:rPr>
                <w:rFonts w:ascii="Arial" w:cs="Arial" w:eastAsia="Arial" w:hAnsi="Arial"/>
                <w:sz w:val="18"/>
                <w:szCs w:val="18"/>
                <w:color w:val="auto"/>
                <w:w w:val="87"/>
              </w:rPr>
              <w:t>5.3</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3,606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3,604</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362,070</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360,323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Treasury share reserve</w:t>
            </w:r>
          </w:p>
        </w:tc>
        <w:tc>
          <w:tcPr>
            <w:tcW w:w="2180" w:type="dxa"/>
            <w:vAlign w:val="bottom"/>
          </w:tcPr>
          <w:p>
            <w:pPr>
              <w:jc w:val="center"/>
              <w:ind w:left="630"/>
              <w:spacing w:after="0"/>
              <w:rPr>
                <w:sz w:val="20"/>
                <w:szCs w:val="20"/>
                <w:color w:val="auto"/>
              </w:rPr>
            </w:pPr>
            <w:r>
              <w:rPr>
                <w:rFonts w:ascii="Arial" w:cs="Arial" w:eastAsia="Arial" w:hAnsi="Arial"/>
                <w:sz w:val="18"/>
                <w:szCs w:val="18"/>
                <w:color w:val="auto"/>
                <w:w w:val="87"/>
              </w:rPr>
              <w:t>5.3</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(981)</w:t>
            </w:r>
          </w:p>
        </w:tc>
        <w:tc>
          <w:tcPr>
            <w:tcW w:w="1320" w:type="dxa"/>
            <w:vAlign w:val="bottom"/>
          </w:tcPr>
          <w:p>
            <w:pPr>
              <w:jc w:val="right"/>
              <w:spacing w:after="0"/>
              <w:rPr>
                <w:sz w:val="20"/>
                <w:szCs w:val="20"/>
                <w:color w:val="auto"/>
              </w:rPr>
            </w:pPr>
            <w:r>
              <w:rPr>
                <w:rFonts w:ascii="Arial" w:cs="Arial" w:eastAsia="Arial" w:hAnsi="Arial"/>
                <w:sz w:val="18"/>
                <w:szCs w:val="18"/>
                <w:color w:val="auto"/>
              </w:rPr>
              <w:t>(981)</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Cumulative losses</w:t>
            </w:r>
          </w:p>
        </w:tc>
        <w:tc>
          <w:tcPr>
            <w:tcW w:w="2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(142,532)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(127,780)</w:t>
            </w:r>
          </w:p>
        </w:tc>
      </w:tr>
      <w:tr>
        <w:trPr>
          <w:trHeight w:val="216"/>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2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222,163</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235,166</w:t>
            </w:r>
          </w:p>
        </w:tc>
      </w:tr>
      <w:tr>
        <w:trPr>
          <w:trHeight w:val="209"/>
        </w:trPr>
        <w:tc>
          <w:tcPr>
            <w:tcW w:w="6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Contract liability</w:t>
            </w:r>
          </w:p>
        </w:tc>
        <w:tc>
          <w:tcPr>
            <w:tcW w:w="2180" w:type="dxa"/>
            <w:vAlign w:val="bottom"/>
          </w:tcPr>
          <w:p>
            <w:pPr>
              <w:jc w:val="center"/>
              <w:ind w:left="630"/>
              <w:spacing w:after="0"/>
              <w:rPr>
                <w:sz w:val="20"/>
                <w:szCs w:val="20"/>
                <w:color w:val="auto"/>
              </w:rPr>
            </w:pPr>
            <w:r>
              <w:rPr>
                <w:rFonts w:ascii="Arial" w:cs="Arial" w:eastAsia="Arial" w:hAnsi="Arial"/>
                <w:sz w:val="18"/>
                <w:szCs w:val="18"/>
                <w:color w:val="auto"/>
                <w:w w:val="87"/>
              </w:rPr>
              <w:t>5.2</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926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3,637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3,350</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3,652</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Employee benefits</w:t>
            </w:r>
          </w:p>
        </w:tc>
        <w:tc>
          <w:tcPr>
            <w:tcW w:w="218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2,717</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2,552</w:t>
            </w:r>
          </w:p>
        </w:tc>
      </w:tr>
      <w:tr>
        <w:trPr>
          <w:trHeight w:val="216"/>
        </w:trPr>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2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6,993</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9,841</w:t>
            </w:r>
          </w:p>
        </w:tc>
      </w:tr>
      <w:tr>
        <w:trPr>
          <w:trHeight w:val="210"/>
        </w:trPr>
        <w:tc>
          <w:tcPr>
            <w:tcW w:w="6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2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2,859</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Accrued expenses</w:t>
            </w:r>
          </w:p>
        </w:tc>
        <w:tc>
          <w:tcPr>
            <w:tcW w:w="218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4,862</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7,501</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liability</w:t>
            </w:r>
          </w:p>
        </w:tc>
        <w:tc>
          <w:tcPr>
            <w:tcW w:w="218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7"/>
              </w:rPr>
              <w:t>5.2</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6,456</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6,409</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Lease liability</w:t>
            </w:r>
          </w:p>
        </w:tc>
        <w:tc>
          <w:tcPr>
            <w:tcW w:w="2180" w:type="dxa"/>
            <w:vAlign w:val="bottom"/>
          </w:tcPr>
          <w:p>
            <w:pPr>
              <w:spacing w:after="0"/>
              <w:rPr>
                <w:sz w:val="18"/>
                <w:szCs w:val="18"/>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1,201</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1,198</w:t>
            </w:r>
          </w:p>
        </w:tc>
      </w:tr>
      <w:tr>
        <w:trPr>
          <w:trHeight w:val="216"/>
        </w:trPr>
        <w:tc>
          <w:tcPr>
            <w:tcW w:w="6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15,378</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17,251</w:t>
            </w:r>
          </w:p>
        </w:tc>
      </w:tr>
      <w:tr>
        <w:trPr>
          <w:trHeight w:val="210"/>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2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22,371</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27,092</w:t>
            </w:r>
          </w:p>
        </w:tc>
      </w:tr>
      <w:tr>
        <w:trPr>
          <w:trHeight w:val="210"/>
        </w:trPr>
        <w:tc>
          <w:tcPr>
            <w:tcW w:w="6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 and liabilities</w:t>
            </w:r>
          </w:p>
        </w:tc>
        <w:tc>
          <w:tcPr>
            <w:tcW w:w="2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244,534</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262,258</w:t>
            </w:r>
          </w:p>
        </w:tc>
      </w:tr>
      <w:tr>
        <w:trPr>
          <w:trHeight w:val="385"/>
        </w:trPr>
        <w:tc>
          <w:tcPr>
            <w:tcW w:w="9920" w:type="dxa"/>
            <w:vAlign w:val="bottom"/>
            <w:gridSpan w:val="3"/>
          </w:tcPr>
          <w:p>
            <w:pPr>
              <w:spacing w:after="0"/>
              <w:rPr>
                <w:sz w:val="20"/>
                <w:szCs w:val="20"/>
                <w:color w:val="auto"/>
              </w:rPr>
            </w:pPr>
            <w:r>
              <w:rPr>
                <w:rFonts w:ascii="Arial" w:cs="Arial" w:eastAsia="Arial" w:hAnsi="Arial"/>
                <w:sz w:val="18"/>
                <w:szCs w:val="18"/>
                <w:i w:val="1"/>
                <w:iCs w:val="1"/>
                <w:color w:val="auto"/>
                <w:w w:val="98"/>
              </w:rPr>
              <w:t>See accompanying notes, which form an integral part of these unaudited condensed consolidated interim financial statements.</w:t>
            </w:r>
          </w:p>
        </w:tc>
        <w:tc>
          <w:tcPr>
            <w:tcW w:w="1320" w:type="dxa"/>
            <w:vAlign w:val="bottom"/>
          </w:tcPr>
          <w:p>
            <w:pPr>
              <w:spacing w:after="0"/>
              <w:rPr>
                <w:sz w:val="24"/>
                <w:szCs w:val="24"/>
                <w:color w:val="auto"/>
              </w:rPr>
            </w:pPr>
          </w:p>
        </w:tc>
      </w:tr>
      <w:tr>
        <w:trPr>
          <w:trHeight w:val="405"/>
        </w:trPr>
        <w:tc>
          <w:tcPr>
            <w:tcW w:w="6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68"/>
        </w:trPr>
        <w:tc>
          <w:tcPr>
            <w:tcW w:w="6200" w:type="dxa"/>
            <w:vAlign w:val="bottom"/>
            <w:shd w:val="clear" w:color="auto" w:fill="000000"/>
          </w:tcPr>
          <w:p>
            <w:pPr>
              <w:spacing w:after="0"/>
              <w:rPr>
                <w:sz w:val="5"/>
                <w:szCs w:val="5"/>
                <w:color w:val="auto"/>
              </w:rPr>
            </w:pPr>
          </w:p>
        </w:tc>
        <w:tc>
          <w:tcPr>
            <w:tcW w:w="218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12"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20"/>
                <w:szCs w:val="20"/>
                <w:color w:val="auto"/>
              </w:rPr>
            </w:pPr>
            <w:r>
              <w:rPr>
                <w:rFonts w:ascii="Arial" w:cs="Arial" w:eastAsia="Arial" w:hAnsi="Arial"/>
                <w:sz w:val="18"/>
                <w:szCs w:val="18"/>
                <w:color w:val="auto"/>
                <w:w w:val="90"/>
              </w:rPr>
              <w:t>Condensed consolidated interim statement of comprehensive income/loss</w:t>
            </w:r>
          </w:p>
        </w:tc>
        <w:tc>
          <w:tcPr>
            <w:tcW w:w="3120" w:type="dxa"/>
            <w:vAlign w:val="bottom"/>
          </w:tcPr>
          <w:p>
            <w:pPr>
              <w:ind w:left="40"/>
              <w:spacing w:after="0"/>
              <w:rPr>
                <w:sz w:val="20"/>
                <w:szCs w:val="20"/>
                <w:color w:val="auto"/>
              </w:rPr>
            </w:pPr>
            <w:r>
              <w:rPr>
                <w:rFonts w:ascii="Arial" w:cs="Arial" w:eastAsia="Arial" w:hAnsi="Arial"/>
                <w:sz w:val="18"/>
                <w:szCs w:val="18"/>
                <w:color w:val="auto"/>
              </w:rPr>
              <w:t>for the 3 months</w:t>
            </w: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ended March 31,</w:t>
            </w:r>
          </w:p>
        </w:tc>
        <w:tc>
          <w:tcPr>
            <w:tcW w:w="3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24"/>
        </w:trPr>
        <w:tc>
          <w:tcPr>
            <w:tcW w:w="5340" w:type="dxa"/>
            <w:vAlign w:val="bottom"/>
          </w:tcPr>
          <w:p>
            <w:pPr>
              <w:spacing w:after="0"/>
              <w:rPr>
                <w:sz w:val="20"/>
                <w:szCs w:val="20"/>
                <w:color w:val="auto"/>
              </w:rPr>
            </w:pPr>
            <w:r>
              <w:rPr>
                <w:rFonts w:ascii="Arial" w:cs="Arial" w:eastAsia="Arial" w:hAnsi="Arial"/>
                <w:sz w:val="18"/>
                <w:szCs w:val="18"/>
                <w:color w:val="auto"/>
              </w:rPr>
              <w:t>in CHF thousands</w:t>
            </w:r>
          </w:p>
        </w:tc>
        <w:tc>
          <w:tcPr>
            <w:tcW w:w="3120" w:type="dxa"/>
            <w:vAlign w:val="bottom"/>
          </w:tcPr>
          <w:p>
            <w:pPr>
              <w:jc w:val="center"/>
              <w:ind w:left="1410"/>
              <w:spacing w:after="0"/>
              <w:rPr>
                <w:sz w:val="20"/>
                <w:szCs w:val="20"/>
                <w:color w:val="auto"/>
              </w:rPr>
            </w:pPr>
            <w:r>
              <w:rPr>
                <w:rFonts w:ascii="Arial" w:cs="Arial" w:eastAsia="Arial" w:hAnsi="Arial"/>
                <w:sz w:val="18"/>
                <w:szCs w:val="18"/>
                <w:color w:val="auto"/>
                <w:w w:val="89"/>
              </w:rPr>
              <w:t>Note</w:t>
            </w:r>
          </w:p>
        </w:tc>
        <w:tc>
          <w:tcPr>
            <w:tcW w:w="16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2"/>
        </w:trPr>
        <w:tc>
          <w:tcPr>
            <w:tcW w:w="53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Revenues and other income</w:t>
            </w: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Revenues from research and development collaborations</w:t>
            </w:r>
          </w:p>
        </w:tc>
        <w:tc>
          <w:tcPr>
            <w:tcW w:w="3120" w:type="dxa"/>
            <w:vAlign w:val="bottom"/>
          </w:tcPr>
          <w:p>
            <w:pPr>
              <w:jc w:val="center"/>
              <w:ind w:left="1410"/>
              <w:spacing w:after="0"/>
              <w:rPr>
                <w:sz w:val="20"/>
                <w:szCs w:val="20"/>
                <w:color w:val="auto"/>
              </w:rPr>
            </w:pPr>
            <w:r>
              <w:rPr>
                <w:rFonts w:ascii="Arial" w:cs="Arial" w:eastAsia="Arial" w:hAnsi="Arial"/>
                <w:sz w:val="18"/>
                <w:szCs w:val="18"/>
                <w:color w:val="auto"/>
                <w:w w:val="87"/>
              </w:rPr>
              <w:t>5.1</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3,050</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172,778</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revenues and other income</w:t>
            </w:r>
          </w:p>
        </w:tc>
        <w:tc>
          <w:tcPr>
            <w:tcW w:w="3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3,050</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172,783</w:t>
            </w:r>
          </w:p>
        </w:tc>
      </w:tr>
      <w:tr>
        <w:trPr>
          <w:trHeight w:val="209"/>
        </w:trPr>
        <w:tc>
          <w:tcPr>
            <w:tcW w:w="53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3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(12,695)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(14,472)</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120" w:type="dxa"/>
            <w:vAlign w:val="bottom"/>
          </w:tcPr>
          <w:p>
            <w:pPr>
              <w:spacing w:after="0"/>
              <w:rPr>
                <w:sz w:val="18"/>
                <w:szCs w:val="18"/>
                <w:color w:val="auto"/>
              </w:rPr>
            </w:pP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(5,443)</w:t>
            </w:r>
          </w:p>
        </w:tc>
        <w:tc>
          <w:tcPr>
            <w:tcW w:w="1100" w:type="dxa"/>
            <w:vAlign w:val="bottom"/>
          </w:tcPr>
          <w:p>
            <w:pPr>
              <w:jc w:val="right"/>
              <w:spacing w:after="0"/>
              <w:rPr>
                <w:sz w:val="20"/>
                <w:szCs w:val="20"/>
                <w:color w:val="auto"/>
              </w:rPr>
            </w:pPr>
            <w:r>
              <w:rPr>
                <w:rFonts w:ascii="Arial" w:cs="Arial" w:eastAsia="Arial" w:hAnsi="Arial"/>
                <w:sz w:val="18"/>
                <w:szCs w:val="18"/>
                <w:color w:val="auto"/>
              </w:rPr>
              <w:t>(5,757)</w:t>
            </w:r>
          </w:p>
        </w:tc>
      </w:tr>
      <w:tr>
        <w:trPr>
          <w:trHeight w:val="216"/>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(18,138)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(20,229)</w:t>
            </w:r>
          </w:p>
        </w:tc>
      </w:tr>
      <w:tr>
        <w:trPr>
          <w:trHeight w:val="209"/>
        </w:trPr>
        <w:tc>
          <w:tcPr>
            <w:tcW w:w="5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result</w:t>
            </w:r>
          </w:p>
        </w:tc>
        <w:tc>
          <w:tcPr>
            <w:tcW w:w="3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(15,088)</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152,554</w:t>
            </w:r>
          </w:p>
        </w:tc>
      </w:tr>
      <w:tr>
        <w:trPr>
          <w:trHeight w:val="209"/>
        </w:trPr>
        <w:tc>
          <w:tcPr>
            <w:tcW w:w="5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3120" w:type="dxa"/>
            <w:vAlign w:val="bottom"/>
            <w:shd w:val="clear" w:color="auto" w:fill="CCEEFF"/>
          </w:tcPr>
          <w:p>
            <w:pPr>
              <w:jc w:val="center"/>
              <w:ind w:left="1410"/>
              <w:spacing w:after="0"/>
              <w:rPr>
                <w:sz w:val="20"/>
                <w:szCs w:val="20"/>
                <w:color w:val="auto"/>
              </w:rPr>
            </w:pPr>
            <w:r>
              <w:rPr>
                <w:rFonts w:ascii="Arial" w:cs="Arial" w:eastAsia="Arial" w:hAnsi="Arial"/>
                <w:sz w:val="18"/>
                <w:szCs w:val="18"/>
                <w:color w:val="auto"/>
                <w:w w:val="87"/>
              </w:rPr>
              <w:t>5.6</w:t>
            </w:r>
          </w:p>
        </w:tc>
        <w:tc>
          <w:tcPr>
            <w:tcW w:w="1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867</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823</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Financial expenses</w:t>
            </w:r>
          </w:p>
        </w:tc>
        <w:tc>
          <w:tcPr>
            <w:tcW w:w="3120" w:type="dxa"/>
            <w:vAlign w:val="bottom"/>
          </w:tcPr>
          <w:p>
            <w:pPr>
              <w:jc w:val="center"/>
              <w:ind w:left="1410"/>
              <w:spacing w:after="0"/>
              <w:rPr>
                <w:sz w:val="20"/>
                <w:szCs w:val="20"/>
                <w:color w:val="auto"/>
              </w:rPr>
            </w:pPr>
            <w:r>
              <w:rPr>
                <w:rFonts w:ascii="Arial" w:cs="Arial" w:eastAsia="Arial" w:hAnsi="Arial"/>
                <w:sz w:val="18"/>
                <w:szCs w:val="18"/>
                <w:color w:val="auto"/>
                <w:w w:val="87"/>
              </w:rPr>
              <w:t>5.6</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(557)</w:t>
            </w: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finance result</w:t>
            </w: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310</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r>
      <w:tr>
        <w:trPr>
          <w:trHeight w:val="216"/>
        </w:trPr>
        <w:tc>
          <w:tcPr>
            <w:tcW w:w="53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09"/>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Result before income taxes</w:t>
            </w:r>
          </w:p>
        </w:tc>
        <w:tc>
          <w:tcPr>
            <w:tcW w:w="3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(14,778)</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153,127</w:t>
            </w:r>
          </w:p>
        </w:tc>
      </w:tr>
      <w:tr>
        <w:trPr>
          <w:trHeight w:val="210"/>
        </w:trPr>
        <w:tc>
          <w:tcPr>
            <w:tcW w:w="5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120" w:type="dxa"/>
            <w:vAlign w:val="bottom"/>
            <w:shd w:val="clear" w:color="auto" w:fill="CCEEFF"/>
          </w:tcPr>
          <w:p>
            <w:pPr>
              <w:jc w:val="center"/>
              <w:ind w:left="1410"/>
              <w:spacing w:after="0"/>
              <w:rPr>
                <w:sz w:val="20"/>
                <w:szCs w:val="20"/>
                <w:color w:val="auto"/>
              </w:rPr>
            </w:pPr>
            <w:r>
              <w:rPr>
                <w:rFonts w:ascii="Arial" w:cs="Arial" w:eastAsia="Arial" w:hAnsi="Arial"/>
                <w:sz w:val="18"/>
                <w:szCs w:val="18"/>
                <w:color w:val="auto"/>
                <w:w w:val="87"/>
              </w:rPr>
              <w:t>5.7</w:t>
            </w:r>
          </w:p>
        </w:tc>
        <w:tc>
          <w:tcPr>
            <w:tcW w:w="1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result, attributable to shareholders</w:t>
            </w:r>
          </w:p>
        </w:tc>
        <w:tc>
          <w:tcPr>
            <w:tcW w:w="3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(14,778)</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153,127</w:t>
            </w:r>
          </w:p>
        </w:tc>
      </w:tr>
      <w:tr>
        <w:trPr>
          <w:trHeight w:val="209"/>
        </w:trPr>
        <w:tc>
          <w:tcPr>
            <w:tcW w:w="53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Other comprehensive result</w:t>
            </w:r>
          </w:p>
        </w:tc>
        <w:tc>
          <w:tcPr>
            <w:tcW w:w="3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Items that will not be reclassified to profit or loss</w:t>
            </w:r>
          </w:p>
        </w:tc>
        <w:tc>
          <w:tcPr>
            <w:tcW w:w="3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Remeasurement of net pension liabilities, net of tax</w:t>
            </w: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29</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2,508</w:t>
            </w:r>
          </w:p>
        </w:tc>
      </w:tr>
      <w:tr>
        <w:trPr>
          <w:trHeight w:val="216"/>
        </w:trPr>
        <w:tc>
          <w:tcPr>
            <w:tcW w:w="53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Items that are or may be reclassified subsequently to profit or loss</w:t>
            </w: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3120" w:type="dxa"/>
            <w:vAlign w:val="bottom"/>
          </w:tcPr>
          <w:p>
            <w:pPr>
              <w:spacing w:after="0"/>
              <w:rPr>
                <w:sz w:val="18"/>
                <w:szCs w:val="18"/>
                <w:color w:val="auto"/>
              </w:rPr>
            </w:pP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3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Other comprehensive result, net of tax</w:t>
            </w:r>
          </w:p>
        </w:tc>
        <w:tc>
          <w:tcPr>
            <w:tcW w:w="3120" w:type="dxa"/>
            <w:vAlign w:val="bottom"/>
          </w:tcPr>
          <w:p>
            <w:pPr>
              <w:spacing w:after="0"/>
              <w:rPr>
                <w:sz w:val="18"/>
                <w:szCs w:val="18"/>
                <w:color w:val="auto"/>
              </w:rPr>
            </w:pP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26</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2,506</w:t>
            </w:r>
          </w:p>
        </w:tc>
      </w:tr>
      <w:tr>
        <w:trPr>
          <w:trHeight w:val="216"/>
        </w:trPr>
        <w:tc>
          <w:tcPr>
            <w:tcW w:w="5340" w:type="dxa"/>
            <w:vAlign w:val="bottom"/>
            <w:tcBorders>
              <w:bottom w:val="single" w:sz="8" w:color="auto"/>
            </w:tcBorders>
            <w:shd w:val="clear" w:color="auto" w:fill="CCEEFF"/>
          </w:tcPr>
          <w:p>
            <w:pPr>
              <w:spacing w:after="0"/>
              <w:rPr>
                <w:sz w:val="18"/>
                <w:szCs w:val="18"/>
                <w:color w:val="auto"/>
              </w:rPr>
            </w:pPr>
          </w:p>
        </w:tc>
        <w:tc>
          <w:tcPr>
            <w:tcW w:w="3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09"/>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comprehensive result, attributable to shareholders</w:t>
            </w:r>
          </w:p>
        </w:tc>
        <w:tc>
          <w:tcPr>
            <w:tcW w:w="3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(14,752)</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155,633</w:t>
            </w:r>
          </w:p>
        </w:tc>
      </w:tr>
      <w:tr>
        <w:trPr>
          <w:trHeight w:val="210"/>
        </w:trPr>
        <w:tc>
          <w:tcPr>
            <w:tcW w:w="53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Basic net result per share (in CHF)</w:t>
            </w:r>
          </w:p>
        </w:tc>
        <w:tc>
          <w:tcPr>
            <w:tcW w:w="3120" w:type="dxa"/>
            <w:vAlign w:val="bottom"/>
          </w:tcPr>
          <w:p>
            <w:pPr>
              <w:jc w:val="center"/>
              <w:ind w:left="1410"/>
              <w:spacing w:after="0"/>
              <w:rPr>
                <w:sz w:val="20"/>
                <w:szCs w:val="20"/>
                <w:color w:val="auto"/>
              </w:rPr>
            </w:pPr>
            <w:r>
              <w:rPr>
                <w:rFonts w:ascii="Arial" w:cs="Arial" w:eastAsia="Arial" w:hAnsi="Arial"/>
                <w:sz w:val="18"/>
                <w:szCs w:val="18"/>
                <w:color w:val="auto"/>
                <w:w w:val="87"/>
              </w:rPr>
              <w:t>5.8</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(0.45)</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4.74</w:t>
            </w:r>
          </w:p>
        </w:tc>
      </w:tr>
      <w:tr>
        <w:trPr>
          <w:trHeight w:val="216"/>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net result per share (in CHF)</w:t>
            </w:r>
          </w:p>
        </w:tc>
        <w:tc>
          <w:tcPr>
            <w:tcW w:w="3120" w:type="dxa"/>
            <w:vAlign w:val="bottom"/>
            <w:tcBorders>
              <w:bottom w:val="single" w:sz="8" w:color="auto"/>
            </w:tcBorders>
            <w:shd w:val="clear" w:color="auto" w:fill="CCEEFF"/>
          </w:tcPr>
          <w:p>
            <w:pPr>
              <w:jc w:val="center"/>
              <w:ind w:left="1410"/>
              <w:spacing w:after="0"/>
              <w:rPr>
                <w:sz w:val="20"/>
                <w:szCs w:val="20"/>
                <w:color w:val="auto"/>
              </w:rPr>
            </w:pPr>
            <w:r>
              <w:rPr>
                <w:rFonts w:ascii="Arial" w:cs="Arial" w:eastAsia="Arial" w:hAnsi="Arial"/>
                <w:sz w:val="18"/>
                <w:szCs w:val="18"/>
                <w:color w:val="auto"/>
                <w:w w:val="87"/>
              </w:rPr>
              <w:t>5.8</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(0.45)</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Condensed consolidated interim cash flow statement for the 3 months ended March 31,</w:t>
            </w:r>
          </w:p>
        </w:tc>
        <w:tc>
          <w:tcPr>
            <w:tcW w:w="2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24"/>
        </w:trPr>
        <w:tc>
          <w:tcPr>
            <w:tcW w:w="7700" w:type="dxa"/>
            <w:vAlign w:val="bottom"/>
          </w:tcPr>
          <w:p>
            <w:pPr>
              <w:spacing w:after="0"/>
              <w:rPr>
                <w:sz w:val="20"/>
                <w:szCs w:val="20"/>
                <w:color w:val="auto"/>
              </w:rPr>
            </w:pPr>
            <w:r>
              <w:rPr>
                <w:rFonts w:ascii="Arial" w:cs="Arial" w:eastAsia="Arial" w:hAnsi="Arial"/>
                <w:sz w:val="18"/>
                <w:szCs w:val="18"/>
                <w:color w:val="auto"/>
              </w:rPr>
              <w:t>in CHF thousands</w:t>
            </w: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2"/>
        </w:trPr>
        <w:tc>
          <w:tcPr>
            <w:tcW w:w="77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result attributable to shareholders</w:t>
            </w:r>
          </w:p>
        </w:tc>
        <w:tc>
          <w:tcPr>
            <w:tcW w:w="2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(14,778)</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153,127</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Adjustments for:</w:t>
            </w: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610</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r>
      <w:tr>
        <w:trPr>
          <w:trHeight w:val="216"/>
        </w:trPr>
        <w:tc>
          <w:tcPr>
            <w:tcW w:w="7700" w:type="dxa"/>
            <w:vAlign w:val="bottom"/>
          </w:tcPr>
          <w:p>
            <w:pPr>
              <w:ind w:left="340"/>
              <w:spacing w:after="0"/>
              <w:rPr>
                <w:sz w:val="20"/>
                <w:szCs w:val="20"/>
                <w:color w:val="auto"/>
              </w:rPr>
            </w:pPr>
            <w:r>
              <w:rPr>
                <w:rFonts w:ascii="Arial" w:cs="Arial" w:eastAsia="Arial" w:hAnsi="Arial"/>
                <w:sz w:val="18"/>
                <w:szCs w:val="18"/>
                <w:color w:val="auto"/>
              </w:rPr>
              <w:t>Share-based compensation costs</w:t>
            </w:r>
          </w:p>
        </w:tc>
        <w:tc>
          <w:tcPr>
            <w:tcW w:w="2400" w:type="dxa"/>
            <w:vAlign w:val="bottom"/>
          </w:tcPr>
          <w:p>
            <w:pPr>
              <w:jc w:val="right"/>
              <w:ind w:right="350"/>
              <w:spacing w:after="0"/>
              <w:rPr>
                <w:sz w:val="20"/>
                <w:szCs w:val="20"/>
                <w:color w:val="auto"/>
              </w:rPr>
            </w:pPr>
            <w:r>
              <w:rPr>
                <w:rFonts w:ascii="Arial" w:cs="Arial" w:eastAsia="Arial" w:hAnsi="Arial"/>
                <w:sz w:val="18"/>
                <w:szCs w:val="18"/>
                <w:color w:val="auto"/>
              </w:rPr>
              <w:t>1,747</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1,348</w:t>
            </w:r>
          </w:p>
        </w:tc>
      </w:tr>
      <w:tr>
        <w:trPr>
          <w:trHeight w:val="216"/>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employee benefits</w:t>
            </w:r>
          </w:p>
        </w:tc>
        <w:tc>
          <w:tcPr>
            <w:tcW w:w="2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193</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r>
      <w:tr>
        <w:trPr>
          <w:trHeight w:val="216"/>
        </w:trPr>
        <w:tc>
          <w:tcPr>
            <w:tcW w:w="7700" w:type="dxa"/>
            <w:vAlign w:val="bottom"/>
          </w:tcPr>
          <w:p>
            <w:pPr>
              <w:ind w:left="340"/>
              <w:spacing w:after="0"/>
              <w:rPr>
                <w:sz w:val="20"/>
                <w:szCs w:val="20"/>
                <w:color w:val="auto"/>
              </w:rPr>
            </w:pPr>
            <w:r>
              <w:rPr>
                <w:rFonts w:ascii="Arial" w:cs="Arial" w:eastAsia="Arial" w:hAnsi="Arial"/>
                <w:sz w:val="18"/>
                <w:szCs w:val="18"/>
                <w:color w:val="auto"/>
              </w:rPr>
              <w:t>Financial income</w:t>
            </w:r>
          </w:p>
        </w:tc>
        <w:tc>
          <w:tcPr>
            <w:tcW w:w="2400" w:type="dxa"/>
            <w:vAlign w:val="bottom"/>
          </w:tcPr>
          <w:p>
            <w:pPr>
              <w:jc w:val="right"/>
              <w:ind w:right="290"/>
              <w:spacing w:after="0"/>
              <w:rPr>
                <w:sz w:val="20"/>
                <w:szCs w:val="20"/>
                <w:color w:val="auto"/>
              </w:rPr>
            </w:pPr>
            <w:r>
              <w:rPr>
                <w:rFonts w:ascii="Arial" w:cs="Arial" w:eastAsia="Arial" w:hAnsi="Arial"/>
                <w:sz w:val="18"/>
                <w:szCs w:val="18"/>
                <w:color w:val="auto"/>
              </w:rPr>
              <w:t>(867)</w:t>
            </w:r>
          </w:p>
        </w:tc>
        <w:tc>
          <w:tcPr>
            <w:tcW w:w="114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16"/>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expenses</w:t>
            </w:r>
          </w:p>
        </w:tc>
        <w:tc>
          <w:tcPr>
            <w:tcW w:w="2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557</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Changes in working capital:</w:t>
            </w: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other current assets</w:t>
            </w:r>
          </w:p>
        </w:tc>
        <w:tc>
          <w:tcPr>
            <w:tcW w:w="2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1,319</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1,880</w:t>
            </w:r>
          </w:p>
        </w:tc>
      </w:tr>
      <w:tr>
        <w:trPr>
          <w:trHeight w:val="216"/>
        </w:trPr>
        <w:tc>
          <w:tcPr>
            <w:tcW w:w="7700" w:type="dxa"/>
            <w:vAlign w:val="bottom"/>
          </w:tcPr>
          <w:p>
            <w:pPr>
              <w:ind w:left="340"/>
              <w:spacing w:after="0"/>
              <w:rPr>
                <w:sz w:val="20"/>
                <w:szCs w:val="20"/>
                <w:color w:val="auto"/>
              </w:rPr>
            </w:pPr>
            <w:r>
              <w:rPr>
                <w:rFonts w:ascii="Arial" w:cs="Arial" w:eastAsia="Arial" w:hAnsi="Arial"/>
                <w:sz w:val="18"/>
                <w:szCs w:val="18"/>
                <w:color w:val="auto"/>
              </w:rPr>
              <w:t>Change in trade and other receivables</w:t>
            </w:r>
          </w:p>
        </w:tc>
        <w:tc>
          <w:tcPr>
            <w:tcW w:w="2400" w:type="dxa"/>
            <w:vAlign w:val="bottom"/>
          </w:tcPr>
          <w:p>
            <w:pPr>
              <w:jc w:val="right"/>
              <w:ind w:right="290"/>
              <w:spacing w:after="0"/>
              <w:rPr>
                <w:sz w:val="20"/>
                <w:szCs w:val="20"/>
                <w:color w:val="auto"/>
              </w:rPr>
            </w:pPr>
            <w:r>
              <w:rPr>
                <w:rFonts w:ascii="Arial" w:cs="Arial" w:eastAsia="Arial" w:hAnsi="Arial"/>
                <w:sz w:val="18"/>
                <w:szCs w:val="18"/>
                <w:color w:val="auto"/>
              </w:rPr>
              <w:t>(709)</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22,753</w:t>
            </w:r>
          </w:p>
        </w:tc>
      </w:tr>
      <w:tr>
        <w:trPr>
          <w:trHeight w:val="216"/>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trade and other payables</w:t>
            </w:r>
          </w:p>
        </w:tc>
        <w:tc>
          <w:tcPr>
            <w:tcW w:w="2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r>
      <w:tr>
        <w:trPr>
          <w:trHeight w:val="216"/>
        </w:trPr>
        <w:tc>
          <w:tcPr>
            <w:tcW w:w="7700" w:type="dxa"/>
            <w:vAlign w:val="bottom"/>
          </w:tcPr>
          <w:p>
            <w:pPr>
              <w:ind w:left="340"/>
              <w:spacing w:after="0"/>
              <w:rPr>
                <w:sz w:val="20"/>
                <w:szCs w:val="20"/>
                <w:color w:val="auto"/>
              </w:rPr>
            </w:pPr>
            <w:r>
              <w:rPr>
                <w:rFonts w:ascii="Arial" w:cs="Arial" w:eastAsia="Arial" w:hAnsi="Arial"/>
                <w:sz w:val="18"/>
                <w:szCs w:val="18"/>
                <w:color w:val="auto"/>
              </w:rPr>
              <w:t>Change in contract liability</w:t>
            </w:r>
          </w:p>
        </w:tc>
        <w:tc>
          <w:tcPr>
            <w:tcW w:w="2400" w:type="dxa"/>
            <w:vAlign w:val="bottom"/>
          </w:tcPr>
          <w:p>
            <w:pPr>
              <w:jc w:val="right"/>
              <w:ind w:right="290"/>
              <w:spacing w:after="0"/>
              <w:rPr>
                <w:sz w:val="20"/>
                <w:szCs w:val="20"/>
                <w:color w:val="auto"/>
              </w:rPr>
            </w:pPr>
            <w:r>
              <w:rPr>
                <w:rFonts w:ascii="Arial" w:cs="Arial" w:eastAsia="Arial" w:hAnsi="Arial"/>
                <w:sz w:val="18"/>
                <w:szCs w:val="18"/>
                <w:color w:val="auto"/>
              </w:rPr>
              <w:t>(2,664)</w:t>
            </w:r>
          </w:p>
        </w:tc>
        <w:tc>
          <w:tcPr>
            <w:tcW w:w="1140" w:type="dxa"/>
            <w:vAlign w:val="bottom"/>
          </w:tcPr>
          <w:p>
            <w:pPr>
              <w:jc w:val="right"/>
              <w:spacing w:after="0"/>
              <w:rPr>
                <w:sz w:val="20"/>
                <w:szCs w:val="20"/>
                <w:color w:val="auto"/>
              </w:rPr>
            </w:pPr>
            <w:r>
              <w:rPr>
                <w:rFonts w:ascii="Arial" w:cs="Arial" w:eastAsia="Arial" w:hAnsi="Arial"/>
                <w:sz w:val="18"/>
                <w:szCs w:val="18"/>
                <w:color w:val="auto"/>
              </w:rPr>
              <w:t>(9,460)</w:t>
            </w:r>
          </w:p>
        </w:tc>
      </w:tr>
      <w:tr>
        <w:trPr>
          <w:trHeight w:val="216"/>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accrued expenses</w:t>
            </w:r>
          </w:p>
        </w:tc>
        <w:tc>
          <w:tcPr>
            <w:tcW w:w="2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r>
      <w:tr>
        <w:trPr>
          <w:trHeight w:val="216"/>
        </w:trPr>
        <w:tc>
          <w:tcPr>
            <w:tcW w:w="7700" w:type="dxa"/>
            <w:vAlign w:val="bottom"/>
          </w:tcPr>
          <w:p>
            <w:pPr>
              <w:ind w:left="340"/>
              <w:spacing w:after="0"/>
              <w:rPr>
                <w:sz w:val="20"/>
                <w:szCs w:val="20"/>
                <w:color w:val="auto"/>
              </w:rPr>
            </w:pPr>
            <w:r>
              <w:rPr>
                <w:rFonts w:ascii="Arial" w:cs="Arial" w:eastAsia="Arial" w:hAnsi="Arial"/>
                <w:sz w:val="18"/>
                <w:szCs w:val="18"/>
                <w:color w:val="auto"/>
              </w:rPr>
              <w:t>Exchange gain/(loss) on working capital positions</w:t>
            </w:r>
          </w:p>
        </w:tc>
        <w:tc>
          <w:tcPr>
            <w:tcW w:w="2400" w:type="dxa"/>
            <w:vAlign w:val="bottom"/>
          </w:tcPr>
          <w:p>
            <w:pPr>
              <w:jc w:val="right"/>
              <w:ind w:right="290"/>
              <w:spacing w:after="0"/>
              <w:rPr>
                <w:sz w:val="20"/>
                <w:szCs w:val="20"/>
                <w:color w:val="auto"/>
              </w:rPr>
            </w:pPr>
            <w:r>
              <w:rPr>
                <w:rFonts w:ascii="Arial" w:cs="Arial" w:eastAsia="Arial" w:hAnsi="Arial"/>
                <w:sz w:val="18"/>
                <w:szCs w:val="18"/>
                <w:color w:val="auto"/>
              </w:rPr>
              <w:t>(17)</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financial expense</w:t>
            </w:r>
          </w:p>
        </w:tc>
        <w:tc>
          <w:tcPr>
            <w:tcW w:w="2400" w:type="dxa"/>
            <w:vAlign w:val="bottom"/>
          </w:tcPr>
          <w:p>
            <w:pPr>
              <w:jc w:val="right"/>
              <w:ind w:right="290"/>
              <w:spacing w:after="0"/>
              <w:rPr>
                <w:sz w:val="20"/>
                <w:szCs w:val="20"/>
                <w:color w:val="auto"/>
              </w:rPr>
            </w:pPr>
            <w:r>
              <w:rPr>
                <w:rFonts w:ascii="Arial" w:cs="Arial" w:eastAsia="Arial" w:hAnsi="Arial"/>
                <w:sz w:val="18"/>
                <w:szCs w:val="18"/>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(used in) from operating activities</w:t>
            </w:r>
          </w:p>
        </w:tc>
        <w:tc>
          <w:tcPr>
            <w:tcW w:w="2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(16,544)</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163,562</w:t>
            </w:r>
          </w:p>
        </w:tc>
      </w:tr>
      <w:tr>
        <w:trPr>
          <w:trHeight w:val="209"/>
        </w:trPr>
        <w:tc>
          <w:tcPr>
            <w:tcW w:w="77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 in short term time deposits</w:t>
            </w:r>
          </w:p>
        </w:tc>
        <w:tc>
          <w:tcPr>
            <w:tcW w:w="2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87,580</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32,567</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Investments in short term time deposits</w:t>
            </w:r>
          </w:p>
        </w:tc>
        <w:tc>
          <w:tcPr>
            <w:tcW w:w="2400" w:type="dxa"/>
            <w:vAlign w:val="bottom"/>
          </w:tcPr>
          <w:p>
            <w:pPr>
              <w:jc w:val="right"/>
              <w:ind w:right="290"/>
              <w:spacing w:after="0"/>
              <w:rPr>
                <w:sz w:val="20"/>
                <w:szCs w:val="20"/>
                <w:color w:val="auto"/>
              </w:rPr>
            </w:pPr>
            <w:r>
              <w:rPr>
                <w:rFonts w:ascii="Arial" w:cs="Arial" w:eastAsia="Arial" w:hAnsi="Arial"/>
                <w:sz w:val="18"/>
                <w:szCs w:val="18"/>
                <w:color w:val="auto"/>
              </w:rPr>
              <w:t>(84,824)</w:t>
            </w:r>
          </w:p>
        </w:tc>
        <w:tc>
          <w:tcPr>
            <w:tcW w:w="1140" w:type="dxa"/>
            <w:vAlign w:val="bottom"/>
          </w:tcPr>
          <w:p>
            <w:pPr>
              <w:jc w:val="right"/>
              <w:spacing w:after="0"/>
              <w:rPr>
                <w:sz w:val="20"/>
                <w:szCs w:val="20"/>
                <w:color w:val="auto"/>
              </w:rPr>
            </w:pPr>
            <w:r>
              <w:rPr>
                <w:rFonts w:ascii="Arial" w:cs="Arial" w:eastAsia="Arial" w:hAnsi="Arial"/>
                <w:sz w:val="18"/>
                <w:szCs w:val="18"/>
                <w:color w:val="auto"/>
              </w:rPr>
              <w:t>(125,797)</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plant and equipment</w:t>
            </w:r>
          </w:p>
        </w:tc>
        <w:tc>
          <w:tcPr>
            <w:tcW w:w="2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Acquisition of intangible assets</w:t>
            </w:r>
          </w:p>
        </w:tc>
        <w:tc>
          <w:tcPr>
            <w:tcW w:w="2400" w:type="dxa"/>
            <w:vAlign w:val="bottom"/>
          </w:tcPr>
          <w:p>
            <w:pPr>
              <w:jc w:val="right"/>
              <w:ind w:right="290"/>
              <w:spacing w:after="0"/>
              <w:rPr>
                <w:sz w:val="20"/>
                <w:szCs w:val="20"/>
                <w:color w:val="auto"/>
              </w:rPr>
            </w:pPr>
            <w:r>
              <w:rPr>
                <w:rFonts w:ascii="Arial" w:cs="Arial" w:eastAsia="Arial" w:hAnsi="Arial"/>
                <w:sz w:val="18"/>
                <w:szCs w:val="18"/>
                <w:color w:val="auto"/>
              </w:rPr>
              <w:t>(95)</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2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774</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r>
      <w:tr>
        <w:trPr>
          <w:trHeight w:val="216"/>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from (used in) investing activities</w:t>
            </w:r>
          </w:p>
        </w:tc>
        <w:tc>
          <w:tcPr>
            <w:tcW w:w="2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3,370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(93,561)</w:t>
            </w:r>
          </w:p>
        </w:tc>
      </w:tr>
      <w:tr>
        <w:trPr>
          <w:trHeight w:val="210"/>
        </w:trPr>
        <w:tc>
          <w:tcPr>
            <w:tcW w:w="77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240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226</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24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financing activities</w:t>
            </w:r>
          </w:p>
        </w:tc>
        <w:tc>
          <w:tcPr>
            <w:tcW w:w="2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(297)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77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Exchange (loss) gain on cash positions</w:t>
            </w:r>
          </w:p>
        </w:tc>
        <w:tc>
          <w:tcPr>
            <w:tcW w:w="2400" w:type="dxa"/>
            <w:vAlign w:val="bottom"/>
          </w:tcPr>
          <w:p>
            <w:pPr>
              <w:jc w:val="right"/>
              <w:ind w:right="290"/>
              <w:spacing w:after="0"/>
              <w:rPr>
                <w:sz w:val="20"/>
                <w:szCs w:val="20"/>
                <w:color w:val="auto"/>
              </w:rPr>
            </w:pPr>
            <w:r>
              <w:rPr>
                <w:rFonts w:ascii="Arial" w:cs="Arial" w:eastAsia="Arial" w:hAnsi="Arial"/>
                <w:sz w:val="18"/>
                <w:szCs w:val="18"/>
                <w:color w:val="auto"/>
              </w:rPr>
              <w:t>(545)</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275</w:t>
            </w:r>
          </w:p>
        </w:tc>
      </w:tr>
      <w:tr>
        <w:trPr>
          <w:trHeight w:val="216"/>
        </w:trPr>
        <w:tc>
          <w:tcPr>
            <w:tcW w:w="7700" w:type="dxa"/>
            <w:vAlign w:val="bottom"/>
            <w:tcBorders>
              <w:bottom w:val="single" w:sz="8" w:color="auto"/>
            </w:tcBorders>
            <w:shd w:val="clear" w:color="auto" w:fill="CCEEFF"/>
          </w:tcPr>
          <w:p>
            <w:pPr>
              <w:spacing w:after="0"/>
              <w:rPr>
                <w:sz w:val="18"/>
                <w:szCs w:val="18"/>
                <w:color w:val="auto"/>
              </w:rPr>
            </w:pPr>
          </w:p>
        </w:tc>
        <w:tc>
          <w:tcPr>
            <w:tcW w:w="2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r>
      <w:tr>
        <w:trPr>
          <w:trHeight w:val="210"/>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(14,016)</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70,206</w:t>
            </w:r>
          </w:p>
        </w:tc>
      </w:tr>
      <w:tr>
        <w:trPr>
          <w:trHeight w:val="210"/>
        </w:trPr>
        <w:tc>
          <w:tcPr>
            <w:tcW w:w="77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2400" w:type="dxa"/>
            <w:vAlign w:val="bottom"/>
          </w:tcPr>
          <w:p>
            <w:pPr>
              <w:jc w:val="right"/>
              <w:ind w:right="350"/>
              <w:spacing w:after="0"/>
              <w:rPr>
                <w:sz w:val="20"/>
                <w:szCs w:val="20"/>
                <w:color w:val="auto"/>
              </w:rPr>
            </w:pPr>
            <w:r>
              <w:rPr>
                <w:rFonts w:ascii="Arial" w:cs="Arial" w:eastAsia="Arial" w:hAnsi="Arial"/>
                <w:sz w:val="18"/>
                <w:szCs w:val="18"/>
                <w:color w:val="auto"/>
              </w:rPr>
              <w:t>87,946</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71,813</w:t>
            </w:r>
          </w:p>
        </w:tc>
      </w:tr>
      <w:tr>
        <w:trPr>
          <w:trHeight w:val="216"/>
        </w:trPr>
        <w:tc>
          <w:tcPr>
            <w:tcW w:w="77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March 31,</w:t>
            </w:r>
          </w:p>
        </w:tc>
        <w:tc>
          <w:tcPr>
            <w:tcW w:w="2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73,930</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142,019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Condensed consolidated interim statement of changes in equity</w:t>
            </w: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color w:val="auto"/>
              </w:rPr>
              <w:t>Share</w:t>
            </w:r>
          </w:p>
        </w:tc>
        <w:tc>
          <w:tcPr>
            <w:tcW w:w="1300" w:type="dxa"/>
            <w:vAlign w:val="bottom"/>
            <w:vMerge w:val="restart"/>
          </w:tcPr>
          <w:p>
            <w:pPr>
              <w:jc w:val="right"/>
              <w:ind w:right="210"/>
              <w:spacing w:after="0"/>
              <w:rPr>
                <w:sz w:val="20"/>
                <w:szCs w:val="20"/>
                <w:color w:val="auto"/>
              </w:rPr>
            </w:pPr>
            <w:r>
              <w:rPr>
                <w:rFonts w:ascii="Arial" w:cs="Arial" w:eastAsia="Arial" w:hAnsi="Arial"/>
                <w:sz w:val="18"/>
                <w:szCs w:val="18"/>
                <w:color w:val="auto"/>
              </w:rPr>
              <w:t>Additional</w:t>
            </w:r>
          </w:p>
        </w:tc>
        <w:tc>
          <w:tcPr>
            <w:tcW w:w="1160" w:type="dxa"/>
            <w:vAlign w:val="bottom"/>
            <w:vMerge w:val="restart"/>
          </w:tcPr>
          <w:p>
            <w:pPr>
              <w:jc w:val="right"/>
              <w:ind w:right="130"/>
              <w:spacing w:after="0"/>
              <w:rPr>
                <w:sz w:val="20"/>
                <w:szCs w:val="20"/>
                <w:color w:val="auto"/>
              </w:rPr>
            </w:pPr>
            <w:r>
              <w:rPr>
                <w:rFonts w:ascii="Arial" w:cs="Arial" w:eastAsia="Arial" w:hAnsi="Arial"/>
                <w:sz w:val="18"/>
                <w:szCs w:val="18"/>
                <w:color w:val="auto"/>
              </w:rPr>
              <w:t>Treasury</w:t>
            </w:r>
          </w:p>
        </w:tc>
        <w:tc>
          <w:tcPr>
            <w:tcW w:w="1200" w:type="dxa"/>
            <w:vAlign w:val="bottom"/>
            <w:vMerge w:val="restart"/>
          </w:tcPr>
          <w:p>
            <w:pPr>
              <w:jc w:val="right"/>
              <w:ind w:right="110"/>
              <w:spacing w:after="0"/>
              <w:rPr>
                <w:sz w:val="20"/>
                <w:szCs w:val="20"/>
                <w:color w:val="auto"/>
              </w:rPr>
            </w:pPr>
            <w:r>
              <w:rPr>
                <w:rFonts w:ascii="Arial" w:cs="Arial" w:eastAsia="Arial" w:hAnsi="Arial"/>
                <w:sz w:val="18"/>
                <w:szCs w:val="18"/>
                <w:color w:val="auto"/>
              </w:rPr>
              <w:t>Cumulative</w:t>
            </w: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2"/>
        </w:trPr>
        <w:tc>
          <w:tcPr>
            <w:tcW w:w="51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capital</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paid-in</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share</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losses</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w w:val="98"/>
              </w:rPr>
              <w:t>shareholders'</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CHF thousands</w:t>
            </w:r>
          </w:p>
        </w:tc>
        <w:tc>
          <w:tcPr>
            <w:tcW w:w="1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capital</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reserve</w:t>
            </w:r>
          </w:p>
        </w:tc>
        <w:tc>
          <w:tcPr>
            <w:tcW w:w="1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January 1, 2022</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3,229</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355,010</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(250,950)</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107,289</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Net result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153,127</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153,127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Remeasurement of net pension liabilities</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2,508</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155,633</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155,633</w:t>
            </w:r>
          </w:p>
        </w:tc>
        <w:tc>
          <w:tcPr>
            <w:tcW w:w="0" w:type="dxa"/>
            <w:vAlign w:val="bottom"/>
          </w:tcPr>
          <w:p>
            <w:pPr>
              <w:spacing w:after="0"/>
              <w:rPr>
                <w:sz w:val="1"/>
                <w:szCs w:val="1"/>
                <w:color w:val="auto"/>
              </w:rPr>
            </w:pPr>
          </w:p>
        </w:tc>
      </w:tr>
      <w:tr>
        <w:trPr>
          <w:trHeight w:val="250"/>
        </w:trPr>
        <w:tc>
          <w:tcPr>
            <w:tcW w:w="5120" w:type="dxa"/>
            <w:vAlign w:val="bottom"/>
          </w:tcPr>
          <w:p>
            <w:pPr>
              <w:spacing w:after="0" w:line="250" w:lineRule="exact"/>
              <w:rPr>
                <w:sz w:val="20"/>
                <w:szCs w:val="20"/>
                <w:color w:val="auto"/>
              </w:rPr>
            </w:pPr>
            <w:r>
              <w:rPr>
                <w:rFonts w:ascii="Arial" w:cs="Arial" w:eastAsia="Arial" w:hAnsi="Arial"/>
                <w:sz w:val="17"/>
                <w:szCs w:val="17"/>
                <w:color w:val="auto"/>
              </w:rPr>
              <w:t xml:space="preserve">Share-based compensation costs </w:t>
            </w:r>
            <w:r>
              <w:rPr>
                <w:rFonts w:ascii="Arial" w:cs="Arial" w:eastAsia="Arial" w:hAnsi="Arial"/>
                <w:sz w:val="28"/>
                <w:szCs w:val="28"/>
                <w:color w:val="auto"/>
                <w:vertAlign w:val="superscript"/>
              </w:rPr>
              <w:t>(1)</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1,348</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net of transaction costs</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223</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March 31, 2022</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3,233</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356,581</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(95,317)</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264,497</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January 1, 2023</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3,604</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360,323</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(981)</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(127,780)</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235,166</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result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(14,778)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Remeasurement of net pension liabilities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comprehensive income</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(14,752)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(14,752)</w:t>
            </w: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29"/>
                <w:szCs w:val="29"/>
                <w:color w:val="auto"/>
                <w:vertAlign w:val="superscript"/>
              </w:rPr>
              <w:t>(1)</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1,747</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Exercise of stock options, net of transaction costs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March 31, 2023</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3,606</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362,070</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(981)</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(142,532)</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222,163</w:t>
            </w:r>
          </w:p>
        </w:tc>
        <w:tc>
          <w:tcPr>
            <w:tcW w:w="0" w:type="dxa"/>
            <w:vAlign w:val="bottom"/>
          </w:tcPr>
          <w:p>
            <w:pPr>
              <w:spacing w:after="0"/>
              <w:rPr>
                <w:sz w:val="1"/>
                <w:szCs w:val="1"/>
                <w:color w:val="auto"/>
              </w:rPr>
            </w:pPr>
          </w:p>
        </w:tc>
      </w:tr>
      <w:tr>
        <w:trPr>
          <w:trHeight w:val="384"/>
        </w:trPr>
        <w:tc>
          <w:tcPr>
            <w:tcW w:w="5120" w:type="dxa"/>
            <w:vAlign w:val="bottom"/>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See note 5.5</w:t>
            </w: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which form an integral part of these unaudited condensed consolidated interim financial statements.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color w:val="496F96"/>
        </w:rPr>
        <w:t>Explanatory notes to the condensed consolidated interim financial statements</w:t>
      </w:r>
    </w:p>
    <w:p>
      <w:pPr>
        <w:spacing w:after="0" w:line="228"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Information</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Molecular Partners AG ("Company'") and its subsidiary (collectively "Molecular Partners" or "Group") is a clinical-stage biopharmaceutical company pioneering designed ankyrin repeat proteins (DARPin) candidates to treat serious diseases, with a current focus on oncology and virology. The Company was founded on November 22, 2004, and is domiciled at Wagistrasse 14, 8952 Schlieren, Canton of Zurich, Switzerland. It is subject to the provisions of the articles of association and to article 620 et seq. of the Swiss Code of Obligations, which describe the legal requirements for limited companies (“Aktiengesellschaften”).</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Molecular Partners Inc. is a wholly owned subsidiary of Molecular Partners AG. Molecular Partners Inc. was incorporated in the United States in the State of Delaware on October 8, 2018. Molecular Partners Inc. is based in Cambridge, Massachusetts.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unaudited condensed consolidated interim financial statements for the three months ended March 31, 2023 were approved for issuance by the Audit and Finance Committee on May 3, 2023.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Company’s shares are listed on the SIX Swiss Exchange (Ticker: MOLN) since November 5, 2014 and on the Nasdaq Global Select Market (Ticker: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MOLN) since June 16, 2021.</w:t>
      </w:r>
    </w:p>
    <w:p>
      <w:pPr>
        <w:spacing w:after="0" w:line="21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Basis of Preparation</w:t>
      </w:r>
    </w:p>
    <w:p>
      <w:pPr>
        <w:spacing w:after="0" w:line="22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These unaudited condensed consolidated interim financial statements have been prepared in accordance with IAS 34 Interim Financial Reporting and should be read in conjunction with the Group's last annual consolidated financial statements as at and for the year ended December 31, 2022. They do not include all the information required for a complete set of consolidated financial statements prepared in accordance with IFRS as issued by the IASB. However, selected explanatory notes are included to explain events and transactions that are significant to gain an understanding of the changes in the Group's financial position and performance since the last annual consolidated financial statements as at and for the year ended December 31, 2022.</w:t>
      </w:r>
    </w:p>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accounting policies set forth in the notes to those annual consolidated financial statements have been consistently applied to all periods presented, except as per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condensed consolidated interim financial statements are presented in thousands of Swiss Francs (TCHF), unless stated otherwise.</w:t>
      </w:r>
    </w:p>
    <w:p>
      <w:pPr>
        <w:spacing w:after="0" w:line="225"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The business is not subject to any seasonality. Revenues largely depend on the underlying alliance contracts and the achievement of agreed milestones, while expenses are largely affected by the phase of the respective projects, particularly with regard to external research and development expenditures.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the numbers presented in the financial statements might not precisely equal the accompanying notes.</w:t>
      </w:r>
    </w:p>
    <w:p>
      <w:pPr>
        <w:spacing w:after="0" w:line="22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or Revised IFRS Standards and Interpretations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number of new or amended standards became applicable for annual periods beginning on or after January 1, 2023. These standards did not have any significant impact on the Group’s accounting policies and did not require any retrospective adjustments.</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 w:name="page9"/>
    <w:bookmarkEnd w:id="8"/>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Critical accounting estimates and judgment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condensed consolidated interim financial statements have been prepared under the historical cost convention. In preparing these condensed consolidated interim financial statements management made judgments, estimates and assumptions that affect the application of accounting policies and the reported amounts of assets and liabilities, income and expenses. Actual results may differ from these estimates.</w:t>
      </w:r>
    </w:p>
    <w:p>
      <w:pPr>
        <w:spacing w:after="0" w:line="184" w:lineRule="exact"/>
        <w:rPr>
          <w:sz w:val="20"/>
          <w:szCs w:val="20"/>
          <w:color w:val="auto"/>
        </w:rPr>
      </w:pPr>
    </w:p>
    <w:p>
      <w:pPr>
        <w:ind w:right="9060" w:firstLine="8"/>
        <w:spacing w:after="0" w:line="500" w:lineRule="auto"/>
        <w:tabs>
          <w:tab w:leader="none" w:pos="45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explanatory notes 5.1 Revenue</w:t>
      </w:r>
    </w:p>
    <w:p>
      <w:pPr>
        <w:spacing w:after="0" w:line="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January 2022 , Novartis informed the Group of its intention to exercise the option under the October 2020 Option and Equity Rights Agreement. This was followed by the signing of a License agreement between the two parties on January 17, 2022. The License Agreement resulted in the Group becoming eligible to invoice CHF 150 million for the option exercise payment and in addition the Group was allowed to invoice Novartis CHF 13.1 million for other items related to ensovibep. IBoth amounts were recognized as revenue during the first three months of 2022. At the signing of the License Agreement in January 2022, the Group also assigned the Reservation Agreement with the Federal Office of Public Health ("FOPH"). This assignment allowed the Group in the first three month of 2022, to also recognize as revenue, the reservation fee of CHF 7 million received from the FOPH.</w:t>
      </w:r>
    </w:p>
    <w:p>
      <w:pPr>
        <w:spacing w:after="0" w:line="164"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On December 14, 2021, the Group announced entering into a License and Collaboration Agreement with Novartis to develop DARPin-conjugated radioligand therapeutic candidates for oncology. The Group is able to recharge Novartis its employee related expenses associated with the research activities. During the three months ended March 31, 2023 the Group recognized as revenue an amount of TCHF 386 in relation to this recharge (three months ended March 31, 2022: TCHF 240). As part of the same agreement, the Group received in January 2022 the upfront fee of USD 20 million (CHF 18.6 million). Revenue related to the upfront payment is recognized over time in line with the progress made over the duration of the contractually agreed three- year research plan. During the three months ended March 31, 2023, the Group recognized as revenue an amount of TCHF 2,664 related to this upfront payment (three months ended March 31, 2022: TCHF 1,657).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Revenues in the table below are attributable to individual countries and are based on the location of the Group’s collaboration partners.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Revenues by country</w:t>
            </w:r>
          </w:p>
        </w:tc>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TCHF, for the three months ended March 31</w:t>
            </w:r>
          </w:p>
        </w:tc>
        <w:tc>
          <w:tcPr>
            <w:tcW w:w="3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09"/>
        </w:trPr>
        <w:tc>
          <w:tcPr>
            <w:tcW w:w="6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Revenues Switzerland</w:t>
            </w:r>
          </w:p>
        </w:tc>
        <w:tc>
          <w:tcPr>
            <w:tcW w:w="3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3,050</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171,974</w:t>
            </w:r>
          </w:p>
        </w:tc>
      </w:tr>
      <w:tr>
        <w:trPr>
          <w:trHeight w:val="216"/>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Revenues USA</w:t>
            </w:r>
          </w:p>
        </w:tc>
        <w:tc>
          <w:tcPr>
            <w:tcW w:w="3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804</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3,050</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172,778</w:t>
            </w:r>
          </w:p>
        </w:tc>
      </w:tr>
      <w:tr>
        <w:trPr>
          <w:trHeight w:val="418"/>
        </w:trPr>
        <w:tc>
          <w:tcPr>
            <w:tcW w:w="6320" w:type="dxa"/>
            <w:vAlign w:val="bottom"/>
          </w:tcPr>
          <w:p>
            <w:pPr>
              <w:spacing w:after="0"/>
              <w:rPr>
                <w:sz w:val="20"/>
                <w:szCs w:val="20"/>
                <w:color w:val="auto"/>
              </w:rPr>
            </w:pPr>
            <w:r>
              <w:rPr>
                <w:rFonts w:ascii="Arial" w:cs="Arial" w:eastAsia="Arial" w:hAnsi="Arial"/>
                <w:sz w:val="18"/>
                <w:szCs w:val="18"/>
                <w:color w:val="auto"/>
              </w:rPr>
              <w:t>Analysis of revenue by major alliance partner</w:t>
            </w:r>
          </w:p>
        </w:tc>
        <w:tc>
          <w:tcPr>
            <w:tcW w:w="3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TCHF, for the three months ended March 31</w:t>
            </w:r>
          </w:p>
        </w:tc>
        <w:tc>
          <w:tcPr>
            <w:tcW w:w="3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10"/>
        </w:trPr>
        <w:tc>
          <w:tcPr>
            <w:tcW w:w="6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Novartis AG, Switzerland</w:t>
            </w:r>
          </w:p>
        </w:tc>
        <w:tc>
          <w:tcPr>
            <w:tcW w:w="37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3,050</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164,974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FOPH, Switzerland</w:t>
            </w:r>
          </w:p>
        </w:tc>
        <w:tc>
          <w:tcPr>
            <w:tcW w:w="37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7,000</w:t>
            </w:r>
          </w:p>
        </w:tc>
      </w:tr>
      <w:tr>
        <w:trPr>
          <w:trHeight w:val="216"/>
        </w:trPr>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Amgen Inc., USA</w:t>
            </w:r>
          </w:p>
        </w:tc>
        <w:tc>
          <w:tcPr>
            <w:tcW w:w="37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804</w:t>
            </w:r>
          </w:p>
        </w:tc>
      </w:tr>
      <w:tr>
        <w:trPr>
          <w:trHeight w:val="224"/>
        </w:trPr>
        <w:tc>
          <w:tcPr>
            <w:tcW w:w="6320" w:type="dxa"/>
            <w:vAlign w:val="bottom"/>
          </w:tcPr>
          <w:p>
            <w:pPr>
              <w:spacing w:after="0"/>
              <w:rPr>
                <w:sz w:val="20"/>
                <w:szCs w:val="20"/>
                <w:color w:val="auto"/>
              </w:rPr>
            </w:pPr>
            <w:r>
              <w:rPr>
                <w:rFonts w:ascii="Arial" w:cs="Arial" w:eastAsia="Arial" w:hAnsi="Arial"/>
                <w:sz w:val="18"/>
                <w:szCs w:val="18"/>
                <w:color w:val="auto"/>
              </w:rPr>
              <w:t>Total revenues</w:t>
            </w:r>
          </w:p>
        </w:tc>
        <w:tc>
          <w:tcPr>
            <w:tcW w:w="3780" w:type="dxa"/>
            <w:vAlign w:val="bottom"/>
          </w:tcPr>
          <w:p>
            <w:pPr>
              <w:jc w:val="right"/>
              <w:ind w:right="350"/>
              <w:spacing w:after="0"/>
              <w:rPr>
                <w:sz w:val="20"/>
                <w:szCs w:val="20"/>
                <w:color w:val="auto"/>
              </w:rPr>
            </w:pPr>
            <w:r>
              <w:rPr>
                <w:rFonts w:ascii="Arial" w:cs="Arial" w:eastAsia="Arial" w:hAnsi="Arial"/>
                <w:sz w:val="18"/>
                <w:szCs w:val="18"/>
                <w:color w:val="auto"/>
              </w:rPr>
              <w:t>3,050</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172,778</w:t>
            </w:r>
          </w:p>
        </w:tc>
      </w:tr>
    </w:tbl>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5.2</w:t>
            </w:r>
          </w:p>
        </w:tc>
        <w:tc>
          <w:tcPr>
            <w:tcW w:w="4460" w:type="dxa"/>
            <w:vAlign w:val="bottom"/>
          </w:tcPr>
          <w:p>
            <w:pPr>
              <w:ind w:left="80"/>
              <w:spacing w:after="0"/>
              <w:rPr>
                <w:sz w:val="20"/>
                <w:szCs w:val="20"/>
                <w:color w:val="auto"/>
              </w:rPr>
            </w:pPr>
            <w:r>
              <w:rPr>
                <w:rFonts w:ascii="Arial" w:cs="Arial" w:eastAsia="Arial" w:hAnsi="Arial"/>
                <w:sz w:val="18"/>
                <w:szCs w:val="18"/>
                <w:color w:val="auto"/>
              </w:rPr>
              <w:t>Contract liability</w:t>
            </w:r>
          </w:p>
        </w:tc>
        <w:tc>
          <w:tcPr>
            <w:tcW w:w="3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10060" w:type="dxa"/>
            <w:vAlign w:val="bottom"/>
            <w:gridSpan w:val="4"/>
          </w:tcPr>
          <w:p>
            <w:pPr>
              <w:spacing w:after="0"/>
              <w:rPr>
                <w:sz w:val="20"/>
                <w:szCs w:val="20"/>
                <w:color w:val="auto"/>
              </w:rPr>
            </w:pPr>
            <w:r>
              <w:rPr>
                <w:rFonts w:ascii="Arial" w:cs="Arial" w:eastAsia="Arial" w:hAnsi="Arial"/>
                <w:sz w:val="18"/>
                <w:szCs w:val="18"/>
                <w:color w:val="auto"/>
              </w:rPr>
              <w:t>The table below presents the movement in the Group's contract liabilities during the three months ended March 31, 2023:</w:t>
            </w:r>
          </w:p>
        </w:tc>
        <w:tc>
          <w:tcPr>
            <w:tcW w:w="1180" w:type="dxa"/>
            <w:vAlign w:val="bottom"/>
          </w:tcPr>
          <w:p>
            <w:pPr>
              <w:spacing w:after="0"/>
              <w:rPr>
                <w:sz w:val="24"/>
                <w:szCs w:val="24"/>
                <w:color w:val="auto"/>
              </w:rPr>
            </w:pPr>
          </w:p>
        </w:tc>
      </w:tr>
      <w:tr>
        <w:trPr>
          <w:trHeight w:val="418"/>
        </w:trPr>
        <w:tc>
          <w:tcPr>
            <w:tcW w:w="4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500" w:type="dxa"/>
            <w:vAlign w:val="bottom"/>
          </w:tcPr>
          <w:p>
            <w:pPr>
              <w:jc w:val="right"/>
              <w:ind w:right="130"/>
              <w:spacing w:after="0"/>
              <w:rPr>
                <w:sz w:val="20"/>
                <w:szCs w:val="20"/>
                <w:color w:val="auto"/>
              </w:rPr>
            </w:pPr>
            <w:r>
              <w:rPr>
                <w:rFonts w:ascii="Arial" w:cs="Arial" w:eastAsia="Arial" w:hAnsi="Arial"/>
                <w:sz w:val="18"/>
                <w:szCs w:val="18"/>
                <w:color w:val="auto"/>
              </w:rPr>
              <w:t>Contract</w:t>
            </w:r>
          </w:p>
        </w:tc>
        <w:tc>
          <w:tcPr>
            <w:tcW w:w="16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Contract</w:t>
            </w:r>
          </w:p>
        </w:tc>
      </w:tr>
      <w:tr>
        <w:trPr>
          <w:trHeight w:val="216"/>
        </w:trPr>
        <w:tc>
          <w:tcPr>
            <w:tcW w:w="4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500" w:type="dxa"/>
            <w:vAlign w:val="bottom"/>
          </w:tcPr>
          <w:p>
            <w:pPr>
              <w:jc w:val="right"/>
              <w:ind w:right="130"/>
              <w:spacing w:after="0"/>
              <w:rPr>
                <w:sz w:val="20"/>
                <w:szCs w:val="20"/>
                <w:color w:val="auto"/>
              </w:rPr>
            </w:pPr>
            <w:r>
              <w:rPr>
                <w:rFonts w:ascii="Arial" w:cs="Arial" w:eastAsia="Arial" w:hAnsi="Arial"/>
                <w:sz w:val="18"/>
                <w:szCs w:val="18"/>
                <w:color w:val="auto"/>
              </w:rPr>
              <w:t>liability at</w:t>
            </w:r>
          </w:p>
        </w:tc>
        <w:tc>
          <w:tcPr>
            <w:tcW w:w="16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liability at</w:t>
            </w:r>
          </w:p>
        </w:tc>
      </w:tr>
      <w:tr>
        <w:trPr>
          <w:trHeight w:val="216"/>
        </w:trPr>
        <w:tc>
          <w:tcPr>
            <w:tcW w:w="4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500" w:type="dxa"/>
            <w:vAlign w:val="bottom"/>
          </w:tcPr>
          <w:p>
            <w:pPr>
              <w:jc w:val="right"/>
              <w:ind w:right="130"/>
              <w:spacing w:after="0"/>
              <w:rPr>
                <w:sz w:val="20"/>
                <w:szCs w:val="20"/>
                <w:color w:val="auto"/>
              </w:rPr>
            </w:pPr>
            <w:r>
              <w:rPr>
                <w:rFonts w:ascii="Arial" w:cs="Arial" w:eastAsia="Arial" w:hAnsi="Arial"/>
                <w:sz w:val="18"/>
                <w:szCs w:val="18"/>
                <w:color w:val="auto"/>
              </w:rPr>
              <w:t>December 31,</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Recognized as</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March 31,</w:t>
            </w:r>
          </w:p>
        </w:tc>
      </w:tr>
      <w:tr>
        <w:trPr>
          <w:trHeight w:val="230"/>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CHF thousands</w:t>
            </w:r>
          </w:p>
        </w:tc>
        <w:tc>
          <w:tcPr>
            <w:tcW w:w="3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2022</w:t>
            </w: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revenue</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r>
      <w:tr>
        <w:trPr>
          <w:trHeight w:val="209"/>
        </w:trPr>
        <w:tc>
          <w:tcPr>
            <w:tcW w:w="4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Novartis</w:t>
            </w:r>
          </w:p>
        </w:tc>
        <w:tc>
          <w:tcPr>
            <w:tcW w:w="3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10,046</w:t>
            </w:r>
          </w:p>
        </w:tc>
        <w:tc>
          <w:tcPr>
            <w:tcW w:w="16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(2,664)</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7,382</w:t>
            </w:r>
          </w:p>
        </w:tc>
      </w:tr>
      <w:tr>
        <w:trPr>
          <w:trHeight w:val="224"/>
        </w:trPr>
        <w:tc>
          <w:tcPr>
            <w:tcW w:w="460" w:type="dxa"/>
            <w:vAlign w:val="bottom"/>
          </w:tcPr>
          <w:p>
            <w:pPr>
              <w:spacing w:after="0"/>
              <w:rPr>
                <w:sz w:val="20"/>
                <w:szCs w:val="20"/>
                <w:color w:val="auto"/>
              </w:rPr>
            </w:pPr>
            <w:r>
              <w:rPr>
                <w:rFonts w:ascii="Arial" w:cs="Arial" w:eastAsia="Arial" w:hAnsi="Arial"/>
                <w:sz w:val="18"/>
                <w:szCs w:val="18"/>
                <w:color w:val="auto"/>
              </w:rPr>
              <w:t>Total</w:t>
            </w:r>
          </w:p>
        </w:tc>
        <w:tc>
          <w:tcPr>
            <w:tcW w:w="4460" w:type="dxa"/>
            <w:vAlign w:val="bottom"/>
          </w:tcPr>
          <w:p>
            <w:pPr>
              <w:spacing w:after="0"/>
              <w:rPr>
                <w:sz w:val="19"/>
                <w:szCs w:val="19"/>
                <w:color w:val="auto"/>
              </w:rPr>
            </w:pPr>
          </w:p>
        </w:tc>
        <w:tc>
          <w:tcPr>
            <w:tcW w:w="3500" w:type="dxa"/>
            <w:vAlign w:val="bottom"/>
          </w:tcPr>
          <w:p>
            <w:pPr>
              <w:jc w:val="right"/>
              <w:ind w:right="130"/>
              <w:spacing w:after="0"/>
              <w:rPr>
                <w:sz w:val="20"/>
                <w:szCs w:val="20"/>
                <w:color w:val="auto"/>
              </w:rPr>
            </w:pPr>
            <w:r>
              <w:rPr>
                <w:rFonts w:ascii="Arial" w:cs="Arial" w:eastAsia="Arial" w:hAnsi="Arial"/>
                <w:sz w:val="18"/>
                <w:szCs w:val="18"/>
                <w:color w:val="auto"/>
              </w:rPr>
              <w:t>10,046</w:t>
            </w:r>
          </w:p>
        </w:tc>
        <w:tc>
          <w:tcPr>
            <w:tcW w:w="1640" w:type="dxa"/>
            <w:vAlign w:val="bottom"/>
          </w:tcPr>
          <w:p>
            <w:pPr>
              <w:jc w:val="right"/>
              <w:ind w:right="250"/>
              <w:spacing w:after="0"/>
              <w:rPr>
                <w:sz w:val="20"/>
                <w:szCs w:val="20"/>
                <w:color w:val="auto"/>
              </w:rPr>
            </w:pPr>
            <w:r>
              <w:rPr>
                <w:rFonts w:ascii="Arial" w:cs="Arial" w:eastAsia="Arial" w:hAnsi="Arial"/>
                <w:sz w:val="18"/>
                <w:szCs w:val="18"/>
                <w:color w:val="auto"/>
              </w:rPr>
              <w:t>(2,664)</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7,382</w:t>
            </w:r>
          </w:p>
        </w:tc>
      </w:tr>
      <w:tr>
        <w:trPr>
          <w:trHeight w:val="619"/>
        </w:trPr>
        <w:tc>
          <w:tcPr>
            <w:tcW w:w="4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Contract</w:t>
            </w:r>
          </w:p>
        </w:tc>
      </w:tr>
      <w:tr>
        <w:trPr>
          <w:trHeight w:val="230"/>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CHF thousands</w:t>
            </w:r>
          </w:p>
        </w:tc>
        <w:tc>
          <w:tcPr>
            <w:tcW w:w="3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Current</w:t>
            </w: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Non-current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liability</w:t>
            </w:r>
          </w:p>
        </w:tc>
      </w:tr>
      <w:tr>
        <w:trPr>
          <w:trHeight w:val="210"/>
        </w:trPr>
        <w:tc>
          <w:tcPr>
            <w:tcW w:w="4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Novartis</w:t>
            </w:r>
          </w:p>
        </w:tc>
        <w:tc>
          <w:tcPr>
            <w:tcW w:w="35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6,456</w:t>
            </w:r>
          </w:p>
        </w:tc>
        <w:tc>
          <w:tcPr>
            <w:tcW w:w="16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926</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7,382</w:t>
            </w:r>
          </w:p>
        </w:tc>
      </w:tr>
      <w:tr>
        <w:trPr>
          <w:trHeight w:val="224"/>
        </w:trPr>
        <w:tc>
          <w:tcPr>
            <w:tcW w:w="4920" w:type="dxa"/>
            <w:vAlign w:val="bottom"/>
            <w:gridSpan w:val="2"/>
          </w:tcPr>
          <w:p>
            <w:pPr>
              <w:spacing w:after="0"/>
              <w:rPr>
                <w:sz w:val="20"/>
                <w:szCs w:val="20"/>
                <w:color w:val="auto"/>
              </w:rPr>
            </w:pPr>
            <w:r>
              <w:rPr>
                <w:rFonts w:ascii="Arial" w:cs="Arial" w:eastAsia="Arial" w:hAnsi="Arial"/>
                <w:sz w:val="18"/>
                <w:szCs w:val="18"/>
                <w:color w:val="auto"/>
              </w:rPr>
              <w:t>Balance at March 31, 2023</w:t>
            </w:r>
          </w:p>
        </w:tc>
        <w:tc>
          <w:tcPr>
            <w:tcW w:w="3500" w:type="dxa"/>
            <w:vAlign w:val="bottom"/>
          </w:tcPr>
          <w:p>
            <w:pPr>
              <w:jc w:val="right"/>
              <w:ind w:right="130"/>
              <w:spacing w:after="0"/>
              <w:rPr>
                <w:sz w:val="20"/>
                <w:szCs w:val="20"/>
                <w:color w:val="auto"/>
              </w:rPr>
            </w:pPr>
            <w:r>
              <w:rPr>
                <w:rFonts w:ascii="Arial" w:cs="Arial" w:eastAsia="Arial" w:hAnsi="Arial"/>
                <w:sz w:val="18"/>
                <w:szCs w:val="18"/>
                <w:color w:val="auto"/>
              </w:rPr>
              <w:t>6,456</w:t>
            </w: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926</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7,382</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5.3</w:t>
            </w:r>
          </w:p>
        </w:tc>
        <w:tc>
          <w:tcPr>
            <w:tcW w:w="4460" w:type="dxa"/>
            <w:vAlign w:val="bottom"/>
          </w:tcPr>
          <w:p>
            <w:pPr>
              <w:ind w:left="80"/>
              <w:spacing w:after="0"/>
              <w:rPr>
                <w:sz w:val="20"/>
                <w:szCs w:val="20"/>
                <w:color w:val="auto"/>
              </w:rPr>
            </w:pPr>
            <w:r>
              <w:rPr>
                <w:rFonts w:ascii="Arial" w:cs="Arial" w:eastAsia="Arial" w:hAnsi="Arial"/>
                <w:sz w:val="18"/>
                <w:szCs w:val="18"/>
                <w:color w:val="auto"/>
              </w:rPr>
              <w:t>Issuances of equity securities</w:t>
            </w:r>
          </w:p>
        </w:tc>
        <w:tc>
          <w:tcPr>
            <w:tcW w:w="3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March 31, 2023, as a result of the vesting of Performance Share Units ("PSUs" ) the outstanding issued share capital of the Company increased to CHF 3,605,692 divided into 36,056,916 fully paid registered shares (inclusive of 3,500,000 treasury shares).</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Group has paid no dividends since its inception and does not anticipate paying dividends in the foreseeable future.</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color w:val="auto"/>
        </w:rPr>
        <w:t>Share-based compensation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March 31, 2023, 282,105 options were outstanding (December 31, 2022: 282,105 options) under all active option plans. As of March 31, 2023, and December 31, 2022 all outstanding options were fully vested.</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As of March 31, 2023, a total of 626,530 PSUs and 96,001 Restricted Stock Units ("RSUs") were outstanding, of which none were vested (as of December 31, 2022 a total of 604,800 PSUs and 96,001 RSUs were outstanding, of which also none were vested). The changes in the number of share-based awards (options, RSUs and PSUs) outstanding during the three month period ended March 31, 2023, is as follows:</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Share options / PSU/ RSU</w:t>
            </w:r>
          </w:p>
        </w:tc>
        <w:tc>
          <w:tcPr>
            <w:tcW w:w="152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Weighted</w:t>
            </w:r>
          </w:p>
        </w:tc>
        <w:tc>
          <w:tcPr>
            <w:tcW w:w="1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Weighted</w:t>
            </w:r>
          </w:p>
        </w:tc>
        <w:tc>
          <w:tcPr>
            <w:tcW w:w="1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Weighted</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movements</w:t>
            </w:r>
          </w:p>
        </w:tc>
        <w:tc>
          <w:tcPr>
            <w:tcW w:w="152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average</w:t>
            </w:r>
          </w:p>
        </w:tc>
        <w:tc>
          <w:tcPr>
            <w:tcW w:w="1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average</w:t>
            </w:r>
          </w:p>
        </w:tc>
        <w:tc>
          <w:tcPr>
            <w:tcW w:w="124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average</w:t>
            </w:r>
          </w:p>
        </w:tc>
      </w:tr>
      <w:tr>
        <w:trPr>
          <w:trHeight w:val="216"/>
        </w:trPr>
        <w:tc>
          <w:tcPr>
            <w:tcW w:w="3640" w:type="dxa"/>
            <w:vAlign w:val="bottom"/>
          </w:tcPr>
          <w:p>
            <w:pPr>
              <w:spacing w:after="0"/>
              <w:rPr>
                <w:sz w:val="18"/>
                <w:szCs w:val="18"/>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Total</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exercise</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Options</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exercise</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PSU / RSU</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exercise</w:t>
            </w:r>
          </w:p>
        </w:tc>
      </w:tr>
      <w:tr>
        <w:trPr>
          <w:trHeight w:val="230"/>
        </w:trPr>
        <w:tc>
          <w:tcPr>
            <w:tcW w:w="36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numbers</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price (CHF)</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(numbers)</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price (CHF)</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(numbers)</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price (CHF)</w:t>
            </w:r>
          </w:p>
        </w:tc>
      </w:tr>
      <w:tr>
        <w:trPr>
          <w:trHeight w:val="209"/>
        </w:trPr>
        <w:tc>
          <w:tcPr>
            <w:tcW w:w="3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outstanding at January 1, 2023</w:t>
            </w:r>
          </w:p>
        </w:tc>
        <w:tc>
          <w:tcPr>
            <w:tcW w:w="15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982,906</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2.05</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282,105</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6.89</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700,801</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0.10</w:t>
            </w:r>
          </w:p>
        </w:tc>
      </w:tr>
      <w:tr>
        <w:trPr>
          <w:trHeight w:val="210"/>
        </w:trPr>
        <w:tc>
          <w:tcPr>
            <w:tcW w:w="3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62,840</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0.10</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62,840</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r>
      <w:tr>
        <w:trPr>
          <w:trHeight w:val="257"/>
        </w:trPr>
        <w:tc>
          <w:tcPr>
            <w:tcW w:w="3640" w:type="dxa"/>
            <w:vAlign w:val="bottom"/>
          </w:tcPr>
          <w:p>
            <w:pPr>
              <w:spacing w:after="0" w:line="256"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9"/>
                <w:szCs w:val="29"/>
                <w:color w:val="auto"/>
                <w:vertAlign w:val="superscript"/>
              </w:rPr>
              <w:t>1</w:t>
            </w:r>
          </w:p>
        </w:tc>
        <w:tc>
          <w:tcPr>
            <w:tcW w:w="15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(Forfeited)</w:t>
            </w:r>
            <w:r>
              <w:rPr>
                <w:rFonts w:ascii="Arial" w:cs="Arial" w:eastAsia="Arial" w:hAnsi="Arial"/>
                <w:sz w:val="29"/>
                <w:szCs w:val="29"/>
                <w:color w:val="auto"/>
                <w:vertAlign w:val="superscript"/>
              </w:rPr>
              <w:t>2</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(28,900)</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0.10</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(28,900)</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(Expired)</w:t>
            </w:r>
          </w:p>
        </w:tc>
        <w:tc>
          <w:tcPr>
            <w:tcW w:w="15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(Exercised options), vested PSU / RSU</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(12,210)</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0.10</w:t>
            </w: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(12,210)</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r>
      <w:tr>
        <w:trPr>
          <w:trHeight w:val="216"/>
        </w:trPr>
        <w:tc>
          <w:tcPr>
            <w:tcW w:w="3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outstanding at March 31, 2023</w:t>
            </w:r>
          </w:p>
        </w:tc>
        <w:tc>
          <w:tcPr>
            <w:tcW w:w="15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1,004,636</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2.01</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282,105</w:t>
            </w: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6.89</w:t>
            </w:r>
          </w:p>
        </w:tc>
        <w:tc>
          <w:tcPr>
            <w:tcW w:w="1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722,531</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0.10</w:t>
            </w:r>
          </w:p>
        </w:tc>
      </w:tr>
    </w:tbl>
    <w:p>
      <w:pPr>
        <w:spacing w:after="0" w:line="219"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Performance adjustments indicate forfeitures due to non-market performance conditions not achieved</w:t>
      </w:r>
    </w:p>
    <w:p>
      <w:pPr>
        <w:spacing w:after="0" w:line="188" w:lineRule="auto"/>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Forfeited due to service conditions not fulfilled</w:t>
      </w:r>
    </w:p>
    <w:p>
      <w:pPr>
        <w:spacing w:after="0" w:line="1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share-based compensation costs recognized during the three months ended March 31, 2023, amounted to TCHF 1,747 (TCHF 1,348 for the three months ended March 31,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5.6</w:t>
            </w:r>
          </w:p>
        </w:tc>
        <w:tc>
          <w:tcPr>
            <w:tcW w:w="6340" w:type="dxa"/>
            <w:vAlign w:val="bottom"/>
          </w:tcPr>
          <w:p>
            <w:pPr>
              <w:ind w:left="80"/>
              <w:spacing w:after="0"/>
              <w:rPr>
                <w:sz w:val="20"/>
                <w:szCs w:val="20"/>
                <w:color w:val="auto"/>
              </w:rPr>
            </w:pPr>
            <w:r>
              <w:rPr>
                <w:rFonts w:ascii="Arial" w:cs="Arial" w:eastAsia="Arial" w:hAnsi="Arial"/>
                <w:sz w:val="18"/>
                <w:szCs w:val="18"/>
                <w:color w:val="auto"/>
              </w:rPr>
              <w:t>Financial income and expense</w:t>
            </w:r>
          </w:p>
        </w:tc>
        <w:tc>
          <w:tcPr>
            <w:tcW w:w="3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8"/>
        </w:trPr>
        <w:tc>
          <w:tcPr>
            <w:tcW w:w="680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6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CHF thousands, for the three months ended March 31</w:t>
            </w:r>
          </w:p>
        </w:tc>
        <w:tc>
          <w:tcPr>
            <w:tcW w:w="3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09"/>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on financial assets held at amortized cost</w:t>
            </w:r>
          </w:p>
        </w:tc>
        <w:tc>
          <w:tcPr>
            <w:tcW w:w="34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867</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Net foreign exchange gain</w:t>
            </w:r>
          </w:p>
        </w:tc>
        <w:tc>
          <w:tcPr>
            <w:tcW w:w="34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735</w:t>
            </w:r>
          </w:p>
        </w:tc>
      </w:tr>
      <w:tr>
        <w:trPr>
          <w:trHeight w:val="216"/>
        </w:trPr>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340" w:type="dxa"/>
            <w:vAlign w:val="bottom"/>
            <w:tcBorders>
              <w:bottom w:val="single" w:sz="8" w:color="auto"/>
            </w:tcBorders>
            <w:shd w:val="clear" w:color="auto" w:fill="CCEEFF"/>
          </w:tcPr>
          <w:p>
            <w:pPr>
              <w:spacing w:after="0"/>
              <w:rPr>
                <w:sz w:val="18"/>
                <w:szCs w:val="18"/>
                <w:color w:val="auto"/>
              </w:rPr>
            </w:pPr>
          </w:p>
        </w:tc>
        <w:tc>
          <w:tcPr>
            <w:tcW w:w="34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867</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823</w:t>
            </w:r>
          </w:p>
        </w:tc>
      </w:tr>
      <w:tr>
        <w:trPr>
          <w:trHeight w:val="627"/>
        </w:trPr>
        <w:tc>
          <w:tcPr>
            <w:tcW w:w="6800" w:type="dxa"/>
            <w:vAlign w:val="bottom"/>
            <w:gridSpan w:val="2"/>
          </w:tcPr>
          <w:p>
            <w:pPr>
              <w:spacing w:after="0"/>
              <w:rPr>
                <w:sz w:val="20"/>
                <w:szCs w:val="20"/>
                <w:color w:val="auto"/>
              </w:rPr>
            </w:pPr>
            <w:r>
              <w:rPr>
                <w:rFonts w:ascii="Arial" w:cs="Arial" w:eastAsia="Arial" w:hAnsi="Arial"/>
                <w:sz w:val="18"/>
                <w:szCs w:val="18"/>
                <w:color w:val="auto"/>
              </w:rPr>
              <w:t>Financial expense</w:t>
            </w:r>
          </w:p>
        </w:tc>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6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CHF thousands, for the three months ended March 31</w:t>
            </w:r>
          </w:p>
        </w:tc>
        <w:tc>
          <w:tcPr>
            <w:tcW w:w="3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09"/>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foreign exchange loss</w:t>
            </w:r>
          </w:p>
        </w:tc>
        <w:tc>
          <w:tcPr>
            <w:tcW w:w="3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(545)</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Negative interest on financial assets held at amortized costs</w:t>
            </w:r>
          </w:p>
        </w:tc>
        <w:tc>
          <w:tcPr>
            <w:tcW w:w="34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leases</w:t>
            </w:r>
          </w:p>
        </w:tc>
        <w:tc>
          <w:tcPr>
            <w:tcW w:w="3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Other financial expenses</w:t>
            </w:r>
          </w:p>
        </w:tc>
        <w:tc>
          <w:tcPr>
            <w:tcW w:w="344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340" w:type="dxa"/>
            <w:vAlign w:val="bottom"/>
            <w:tcBorders>
              <w:bottom w:val="single" w:sz="8" w:color="auto"/>
            </w:tcBorders>
            <w:shd w:val="clear" w:color="auto" w:fill="CCEEFF"/>
          </w:tcPr>
          <w:p>
            <w:pPr>
              <w:spacing w:after="0"/>
              <w:rPr>
                <w:sz w:val="18"/>
                <w:szCs w:val="18"/>
                <w:color w:val="auto"/>
              </w:rPr>
            </w:pPr>
          </w:p>
        </w:tc>
        <w:tc>
          <w:tcPr>
            <w:tcW w:w="34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(557)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Exchange results primarily represent unrealized foreign exchange results on the cash and short-term time deposit balances held in USD, EUR and in GBP, respectively.</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Income taxes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Group has in recent years reported operating losses that resulted in a tax loss carry-forward in Switzerland of TCHF 88,198 as of December 31, 2022. No deferred tax assets have been recognized for these tax losses carry forwards, because it is not probable that such loss carry forwards can be utilized in the foreseeable future. In addition, no deferred tax positions were recognized on other deductible temporary differences (e.g. pension liabilities under IAS 19) due to the significant tax losses carry forwards.</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spacing w:after="0"/>
        <w:tabs>
          <w:tab w:leader="none" w:pos="5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5"/>
          <w:szCs w:val="15"/>
          <w:color w:val="auto"/>
        </w:rPr>
        <w:t>Earnings per share</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Basic net result per share is calculated by dividing the net result attributable to shareholders by the weighted average number of shares issued and outstanding during the interim periods presented, excluding any shares held as treasury shares. Diluted net result per share additionally takes into account the potential conversion of all dilutive potential ordinary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for the three months ended March 31</w:t>
            </w:r>
          </w:p>
        </w:tc>
        <w:tc>
          <w:tcPr>
            <w:tcW w:w="2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basic earnings per share</w:t>
            </w:r>
          </w:p>
        </w:tc>
        <w:tc>
          <w:tcPr>
            <w:tcW w:w="26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32,556,916</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32,315,628</w:t>
            </w: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Weighted average number of shares used in computing diluted earnings per share</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32,556,916</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33,155,433</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5.9</w:t>
            </w:r>
          </w:p>
        </w:tc>
        <w:tc>
          <w:tcPr>
            <w:tcW w:w="6960" w:type="dxa"/>
            <w:vAlign w:val="bottom"/>
          </w:tcPr>
          <w:p>
            <w:pPr>
              <w:ind w:left="140"/>
              <w:spacing w:after="0"/>
              <w:rPr>
                <w:sz w:val="20"/>
                <w:szCs w:val="20"/>
                <w:color w:val="auto"/>
              </w:rPr>
            </w:pPr>
            <w:r>
              <w:rPr>
                <w:rFonts w:ascii="Arial" w:cs="Arial" w:eastAsia="Arial" w:hAnsi="Arial"/>
                <w:sz w:val="18"/>
                <w:szCs w:val="18"/>
                <w:color w:val="auto"/>
              </w:rPr>
              <w:t>Related parties</w:t>
            </w:r>
          </w:p>
        </w:tc>
        <w:tc>
          <w:tcPr>
            <w:tcW w:w="26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Group did not enter into any related party transactions in the interim periods presented.</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color w:val="auto"/>
        </w:rPr>
        <w:t>Putative Class Action</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July 12, 2022, a putative class action complaint was filed in the U.S. District Court for the Southern District of New York against the Company, its directors, and certain of its executive officers. The complaint alleges that the defendants violated federal securities laws by, among other things, making misrepresentations and omissions regarding its product candidates ensovibep and MP0310. The complaint seeks unspecified compensatory damages, as well as an award of reasonable attorneys’ fees and other costs, on behalf of persons and/or entities which purchased (a) the Company's American Depositary Shares (ADSs ) pursuant to certain offering documents issued in connection with the Company's initial public offering of ADSs; and/or (b) the Company's securities between June 16, 2021 and April 26, 2022 inclusive. A motion to appoint a lead plaintiff and counsel was filed on September 12, 2022; and on April 3, 2023 the Court appointed the lead plaintiff and counsel (the Rosen Law Firm) and vested them with the authority to file a Consolidated Complaint. The matter remains in its early stages. The Company disputes these claims and intends to defend itself accordingly. The Company expresses no assurances as to the ultimate outcome of this matter.</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5"/>
          <w:szCs w:val="15"/>
          <w:color w:val="auto"/>
        </w:rPr>
        <w:t>Events after the balance sheet date</w:t>
      </w:r>
    </w:p>
    <w:p>
      <w:pPr>
        <w:spacing w:after="0" w:line="225"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No events occurred between the balance sheet date and the date on which these condensed consolidated interim financial statements were approved by the Audit and Finance Committee that would require adjustment to these condensed consolidated interim financial statements or disclosure under this section.</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2023-05-12T05:31:16Z</dcterms:created>
  <dcterms:modified xsi:type="dcterms:W3CDTF">2023-05-12T05:31:16Z</dcterms:modified>
</cp:coreProperties>
</file>