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8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20-F</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60" w:lineRule="exact"/>
        <w:rPr>
          <w:sz w:val="24"/>
          <w:szCs w:val="24"/>
          <w:color w:val="auto"/>
        </w:rPr>
      </w:pPr>
    </w:p>
    <w:p>
      <w:pPr>
        <w:ind w:left="1400" w:hanging="837"/>
        <w:spacing w:after="0"/>
        <w:tabs>
          <w:tab w:leader="none" w:pos="1400"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REGISTRATION STATEMENT PURSUANT TO SECTION 12(b) OR (g) OF THE</w:t>
      </w:r>
    </w:p>
    <w:p>
      <w:pPr>
        <w:spacing w:after="0" w:line="33" w:lineRule="exact"/>
        <w:rPr>
          <w:rFonts w:ascii="MS PGothic" w:cs="MS PGothic" w:eastAsia="MS PGothic" w:hAnsi="MS PGothic"/>
          <w:sz w:val="19"/>
          <w:szCs w:val="19"/>
          <w:color w:val="auto"/>
          <w:highlight w:val="black"/>
        </w:rPr>
      </w:pPr>
    </w:p>
    <w:p>
      <w:pPr>
        <w:ind w:left="3020"/>
        <w:spacing w:after="0"/>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SECURITIES EXCHANGE ACT OF 1934</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47" w:lineRule="exact"/>
        <w:rPr>
          <w:sz w:val="24"/>
          <w:szCs w:val="24"/>
          <w:color w:val="auto"/>
        </w:rPr>
      </w:pPr>
    </w:p>
    <w:p>
      <w:pPr>
        <w:ind w:left="1340" w:hanging="777"/>
        <w:spacing w:after="0"/>
        <w:tabs>
          <w:tab w:leader="none" w:pos="134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ANNUAL REPORT PURSUANT TO SECTION 13 OR 15(d) OF THE SECURITIES</w:t>
      </w:r>
    </w:p>
    <w:p>
      <w:pPr>
        <w:spacing w:after="0" w:line="33" w:lineRule="exact"/>
        <w:rPr>
          <w:rFonts w:ascii="MS PGothic" w:cs="MS PGothic" w:eastAsia="MS PGothic" w:hAnsi="MS PGothic"/>
          <w:sz w:val="19"/>
          <w:szCs w:val="19"/>
          <w:color w:val="auto"/>
          <w:highlight w:val="black"/>
        </w:rPr>
      </w:pPr>
    </w:p>
    <w:p>
      <w:pPr>
        <w:ind w:left="3600"/>
        <w:spacing w:after="0"/>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60" w:lineRule="exact"/>
        <w:rPr>
          <w:sz w:val="24"/>
          <w:szCs w:val="24"/>
          <w:color w:val="auto"/>
        </w:rPr>
      </w:pPr>
    </w:p>
    <w:p>
      <w:pPr>
        <w:ind w:left="1140" w:hanging="577"/>
        <w:spacing w:after="0"/>
        <w:tabs>
          <w:tab w:leader="none" w:pos="1140" w:val="left"/>
        </w:tabs>
        <w:numPr>
          <w:ilvl w:val="0"/>
          <w:numId w:val="3"/>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w:t>
      </w:r>
    </w:p>
    <w:p>
      <w:pPr>
        <w:spacing w:after="0" w:line="33" w:lineRule="exact"/>
        <w:rPr>
          <w:rFonts w:ascii="MS PGothic" w:cs="MS PGothic" w:eastAsia="MS PGothic" w:hAnsi="MS PGothic"/>
          <w:sz w:val="19"/>
          <w:szCs w:val="19"/>
          <w:color w:val="auto"/>
          <w:highlight w:val="black"/>
        </w:rPr>
      </w:pPr>
    </w:p>
    <w:p>
      <w:pPr>
        <w:ind w:left="3600"/>
        <w:spacing w:after="0"/>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 the transition period from to</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60" w:lineRule="exact"/>
        <w:rPr>
          <w:sz w:val="24"/>
          <w:szCs w:val="24"/>
          <w:color w:val="auto"/>
        </w:rPr>
      </w:pPr>
    </w:p>
    <w:p>
      <w:pPr>
        <w:ind w:left="1500" w:hanging="937"/>
        <w:spacing w:after="0"/>
        <w:tabs>
          <w:tab w:leader="none" w:pos="1500" w:val="left"/>
        </w:tabs>
        <w:numPr>
          <w:ilvl w:val="0"/>
          <w:numId w:val="4"/>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SHELL COMPANY REPORT PURSUANT TO SECTION 13 OR 15(d) OF THE</w:t>
      </w:r>
    </w:p>
    <w:p>
      <w:pPr>
        <w:spacing w:after="0" w:line="33" w:lineRule="exact"/>
        <w:rPr>
          <w:rFonts w:ascii="MS PGothic" w:cs="MS PGothic" w:eastAsia="MS PGothic" w:hAnsi="MS PGothic"/>
          <w:sz w:val="19"/>
          <w:szCs w:val="19"/>
          <w:color w:val="auto"/>
          <w:highlight w:val="black"/>
        </w:rPr>
      </w:pPr>
    </w:p>
    <w:p>
      <w:pPr>
        <w:ind w:left="3020"/>
        <w:spacing w:after="0"/>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SECURITIES EXCHANGE ACT OF 1934</w:t>
      </w:r>
    </w:p>
    <w:p>
      <w:pPr>
        <w:spacing w:after="0" w:line="23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Date of event requiring this shell company report</w:t>
      </w:r>
    </w:p>
    <w:p>
      <w:pPr>
        <w:spacing w:after="0" w:line="9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9"/>
          <w:szCs w:val="19"/>
          <w:b w:val="1"/>
          <w:bCs w:val="1"/>
          <w:color w:val="auto"/>
        </w:rPr>
        <w:t>Commission File Number 001-40488</w:t>
      </w:r>
    </w:p>
    <w:p>
      <w:pPr>
        <w:spacing w:after="0" w:line="11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9"/>
          <w:szCs w:val="19"/>
          <w:b w:val="1"/>
          <w:bCs w:val="1"/>
          <w:color w:val="auto"/>
        </w:rPr>
        <w:t>MOLECULAR PARTNERS AG</w:t>
      </w:r>
    </w:p>
    <w:p>
      <w:pPr>
        <w:spacing w:after="0" w:line="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 and translation of registrant’s name into English)</w:t>
      </w:r>
    </w:p>
    <w:p>
      <w:pPr>
        <w:spacing w:after="0" w:line="9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Switzerland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p>
      <w:pPr>
        <w:spacing w:after="0" w:line="20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Wagistrasse 14</w:t>
      </w:r>
    </w:p>
    <w:p>
      <w:pPr>
        <w:spacing w:after="0" w:line="2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8952 Zurich-Schlieren</w:t>
      </w:r>
    </w:p>
    <w:p>
      <w:pPr>
        <w:spacing w:after="0" w:line="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Switzerland</w:t>
      </w:r>
    </w:p>
    <w:p>
      <w:pPr>
        <w:spacing w:after="0" w:line="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9"/>
          <w:szCs w:val="19"/>
          <w:b w:val="1"/>
          <w:bCs w:val="1"/>
          <w:color w:val="auto"/>
        </w:rPr>
        <w:t>(Address of principal executive offices)</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Patrick Amstutz</w:t>
      </w:r>
    </w:p>
    <w:p>
      <w:pPr>
        <w:spacing w:after="0" w:line="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Chief Executive Officer</w:t>
      </w:r>
    </w:p>
    <w:p>
      <w:pPr>
        <w:spacing w:after="0" w:line="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Molecular Partners AG</w:t>
      </w:r>
    </w:p>
    <w:p>
      <w:pPr>
        <w:spacing w:after="0" w:line="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Wagistrasse 14</w:t>
      </w:r>
    </w:p>
    <w:p>
      <w:pPr>
        <w:spacing w:after="0" w:line="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8952 Zurich-Schlieren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Switzerland</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Tel: +41 44 755 77 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(Name, Telephone, E-mail and/or Facsimile number and Address of Company Contact Person)</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registered or to be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-722630</wp:posOffset>
            </wp:positionH>
            <wp:positionV relativeFrom="paragraph">
              <wp:posOffset>66675</wp:posOffset>
            </wp:positionV>
            <wp:extent cx="716597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9019"/>
          </w:cols>
          <w:pgMar w:left="1440" w:top="1432" w:right="1440" w:bottom="1440" w:gutter="0" w:footer="0" w:header="0"/>
        </w:sectPr>
      </w:pPr>
    </w:p>
    <w:bookmarkStart w:id="1" w:name="page2"/>
    <w:bookmarkEnd w:id="1"/>
    <w:tbl>
      <w:tblPr>
        <w:tblLayout w:type="fixed"/>
        <w:tblInd w:w="500" w:type="dxa"/>
        <w:tblCellMar>
          <w:top w:w="0" w:type="dxa"/>
          <w:left w:w="0" w:type="dxa"/>
          <w:bottom w:w="0" w:type="dxa"/>
          <w:right w:w="0" w:type="dxa"/>
        </w:tblCellMar>
      </w:tblP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Title of each class</w:t>
            </w:r>
          </w:p>
        </w:tc>
        <w:tc>
          <w:tcPr>
            <w:tcW w:w="74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6"/>
              </w:rPr>
              <w:t>Trading Symbol</w:t>
            </w:r>
          </w:p>
        </w:tc>
        <w:tc>
          <w:tcPr>
            <w:tcW w:w="34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Name of each exchange on which</w:t>
            </w:r>
          </w:p>
        </w:tc>
      </w:tr>
      <w:tr>
        <w:trPr>
          <w:trHeight w:val="258"/>
        </w:trPr>
        <w:tc>
          <w:tcPr>
            <w:tcW w:w="3380" w:type="dxa"/>
            <w:vAlign w:val="bottom"/>
            <w:tcBorders>
              <w:bottom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registered</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American depositary shares (each</w:t>
            </w:r>
          </w:p>
        </w:tc>
        <w:tc>
          <w:tcPr>
            <w:tcW w:w="74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8"/>
              </w:rPr>
              <w:t>MOLN</w:t>
            </w:r>
          </w:p>
        </w:tc>
        <w:tc>
          <w:tcPr>
            <w:tcW w:w="34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The Nasdaq Stock Market LLC</w:t>
            </w:r>
          </w:p>
        </w:tc>
      </w:tr>
      <w:tr>
        <w:trPr>
          <w:trHeight w:val="215"/>
        </w:trPr>
        <w:tc>
          <w:tcPr>
            <w:tcW w:w="3380" w:type="dxa"/>
            <w:vAlign w:val="bottom"/>
          </w:tcPr>
          <w:p>
            <w:pPr>
              <w:jc w:val="center"/>
              <w:spacing w:after="0" w:line="215" w:lineRule="exact"/>
              <w:rPr>
                <w:sz w:val="20"/>
                <w:szCs w:val="20"/>
                <w:color w:val="auto"/>
              </w:rPr>
            </w:pPr>
            <w:r>
              <w:rPr>
                <w:rFonts w:ascii="Times New Roman" w:cs="Times New Roman" w:eastAsia="Times New Roman" w:hAnsi="Times New Roman"/>
                <w:sz w:val="19"/>
                <w:szCs w:val="19"/>
                <w:b w:val="1"/>
                <w:bCs w:val="1"/>
                <w:color w:val="auto"/>
                <w:w w:val="95"/>
              </w:rPr>
              <w:t>representing</w:t>
            </w:r>
          </w:p>
        </w:tc>
        <w:tc>
          <w:tcPr>
            <w:tcW w:w="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one ordinary share, CHF 0.10 nominal</w:t>
            </w: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5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value per share)</w:t>
            </w:r>
          </w:p>
        </w:tc>
        <w:tc>
          <w:tcPr>
            <w:tcW w:w="74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Ordinary shares, CHF 0.10 nominal value</w:t>
            </w:r>
          </w:p>
        </w:tc>
        <w:tc>
          <w:tcPr>
            <w:tcW w:w="2460" w:type="dxa"/>
            <w:vAlign w:val="bottom"/>
            <w:gridSpan w:val="2"/>
          </w:tcPr>
          <w:p>
            <w:pPr>
              <w:jc w:val="center"/>
              <w:ind w:left="64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The Nasdaq Stock Market LLC</w:t>
            </w:r>
          </w:p>
        </w:tc>
      </w:tr>
      <w:tr>
        <w:trPr>
          <w:trHeight w:val="25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per shares</w:t>
            </w:r>
          </w:p>
        </w:tc>
        <w:tc>
          <w:tcPr>
            <w:tcW w:w="7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Not for trading, but only in connection with the listing on the Nasdaq Global Select Market of the American depositary shares.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Securities registered or to be registered pursuant to Section 12(g) of the Act. None</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Securities for which there is a reporting obligation pursuant to Section 15(d) of the Act. None</w:t>
      </w:r>
    </w:p>
    <w:p>
      <w:pPr>
        <w:spacing w:after="0" w:line="10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9"/>
          <w:szCs w:val="19"/>
          <w:color w:val="auto"/>
        </w:rPr>
        <w:t>Indicate the number of outstanding shares of each of the issuer’s classes of capital or ordinary shares as of the close of the period covered by the annual report.</w:t>
      </w:r>
    </w:p>
    <w:p>
      <w:pPr>
        <w:spacing w:after="0" w:line="53" w:lineRule="exact"/>
        <w:rPr>
          <w:sz w:val="20"/>
          <w:szCs w:val="20"/>
          <w:color w:val="auto"/>
        </w:rPr>
      </w:pPr>
    </w:p>
    <w:p>
      <w:pPr>
        <w:ind w:right="940" w:firstLine="975"/>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Ordinary shares, CHF 0.10 nominal value per share: 40,363,095 ordinary shares outstanding as of December 31, 2024 </w:t>
      </w: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0" w:lineRule="exact"/>
        <w:rPr>
          <w:sz w:val="20"/>
          <w:szCs w:val="20"/>
          <w:color w:val="auto"/>
        </w:rPr>
      </w:pPr>
    </w:p>
    <w:p>
      <w:pPr>
        <w:ind w:right="200"/>
        <w:spacing w:after="0" w:line="243" w:lineRule="exact"/>
        <w:rPr>
          <w:sz w:val="20"/>
          <w:szCs w:val="20"/>
          <w:color w:val="auto"/>
        </w:rPr>
      </w:pPr>
      <w:r>
        <w:rPr>
          <w:rFonts w:ascii="Times New Roman" w:cs="Times New Roman" w:eastAsia="Times New Roman" w:hAnsi="Times New Roman"/>
          <w:sz w:val="19"/>
          <w:szCs w:val="19"/>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w:t>
      </w:r>
    </w:p>
    <w:p>
      <w:pPr>
        <w:spacing w:after="0" w:line="60" w:lineRule="exact"/>
        <w:rPr>
          <w:sz w:val="20"/>
          <w:szCs w:val="20"/>
          <w:color w:val="auto"/>
        </w:rPr>
      </w:pPr>
    </w:p>
    <w:p>
      <w:pPr>
        <w:ind w:right="140"/>
        <w:spacing w:after="0" w:line="23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w:t>
      </w:r>
    </w:p>
    <w:p>
      <w:pPr>
        <w:spacing w:after="0" w:line="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0"/>
          <w:szCs w:val="20"/>
          <w:color w:val="auto"/>
        </w:rPr>
      </w:pPr>
    </w:p>
    <w:p>
      <w:pPr>
        <w:ind w:left="220" w:hanging="219"/>
        <w:spacing w:after="0" w:line="219" w:lineRule="exact"/>
        <w:tabs>
          <w:tab w:leader="none" w:pos="220" w:val="left"/>
        </w:tabs>
        <w:numPr>
          <w:ilvl w:val="0"/>
          <w:numId w:val="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the definitions of “large accelerated filer,” “accelerated filer,” and “emerging growth company” in Rule 12b-2 of the Exchange Act.</w:t>
      </w:r>
    </w:p>
    <w:p>
      <w:pPr>
        <w:sectPr>
          <w:pgSz w:w="11900" w:h="16838" w:orient="portrait"/>
          <w:cols w:equalWidth="0" w:num="1">
            <w:col w:w="11220"/>
          </w:cols>
          <w:pgMar w:left="320" w:top="1381" w:right="35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MS PGothic" w:cs="MS PGothic" w:eastAsia="MS PGothic" w:hAnsi="MS PGothic"/>
          <w:sz w:val="15"/>
          <w:szCs w:val="15"/>
          <w:color w:val="auto"/>
        </w:rPr>
        <w:t>☐</w:t>
      </w:r>
    </w:p>
    <w:p>
      <w:pPr>
        <w:spacing w:after="0" w:line="143" w:lineRule="exact"/>
        <w:rPr>
          <w:sz w:val="20"/>
          <w:szCs w:val="20"/>
          <w:color w:val="auto"/>
        </w:rPr>
      </w:pPr>
    </w:p>
    <w:p>
      <w:pPr>
        <w:sectPr>
          <w:pgSz w:w="11900" w:h="16838" w:orient="portrait"/>
          <w:cols w:equalWidth="0" w:num="4">
            <w:col w:w="2560" w:space="720"/>
            <w:col w:w="3420" w:space="720"/>
            <w:col w:w="2860" w:space="720"/>
            <w:col w:w="220"/>
          </w:cols>
          <w:pgMar w:left="320" w:top="1381" w:right="35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66" w:lineRule="exact"/>
        <w:rPr>
          <w:sz w:val="20"/>
          <w:szCs w:val="20"/>
          <w:color w:val="auto"/>
        </w:rPr>
      </w:pPr>
    </w:p>
    <w:p>
      <w:pPr>
        <w:sectPr>
          <w:pgSz w:w="11900" w:h="16838" w:orient="portrait"/>
          <w:cols w:equalWidth="0" w:num="4">
            <w:col w:w="2560" w:space="720"/>
            <w:col w:w="3420" w:space="720"/>
            <w:col w:w="2860" w:space="720"/>
            <w:col w:w="220"/>
          </w:cols>
          <w:pgMar w:left="320" w:top="1381" w:right="359" w:bottom="1440" w:gutter="0" w:footer="0" w:header="0"/>
          <w:type w:val="continuous"/>
        </w:sectPr>
      </w:pPr>
    </w:p>
    <w:p>
      <w:pPr>
        <w:spacing w:after="0" w:line="36" w:lineRule="exact"/>
        <w:rPr>
          <w:sz w:val="20"/>
          <w:szCs w:val="20"/>
          <w:color w:val="auto"/>
        </w:rPr>
      </w:pPr>
    </w:p>
    <w:p>
      <w:pPr>
        <w:ind w:right="240"/>
        <w:spacing w:after="0" w:line="237" w:lineRule="exact"/>
        <w:rPr>
          <w:sz w:val="20"/>
          <w:szCs w:val="20"/>
          <w:color w:val="auto"/>
        </w:rPr>
      </w:pPr>
      <w:r>
        <w:rPr>
          <w:rFonts w:ascii="Times New Roman" w:cs="Times New Roman" w:eastAsia="Times New Roman" w:hAnsi="Times New Roman"/>
          <w:sz w:val="19"/>
          <w:szCs w:val="19"/>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62" w:lineRule="exact"/>
        <w:rPr>
          <w:sz w:val="20"/>
          <w:szCs w:val="20"/>
          <w:color w:val="auto"/>
        </w:rPr>
      </w:pPr>
    </w:p>
    <w:p>
      <w:pPr>
        <w:ind w:right="80" w:firstLine="1"/>
        <w:spacing w:after="0" w:line="261" w:lineRule="auto"/>
        <w:tabs>
          <w:tab w:leader="none" w:pos="13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“new or revised financial accounting standard” refers to any update issued by the Financial Accounting Standards Board to its Accounting Standards Codification after April 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type w:val="continuous"/>
        </w:sectPr>
      </w:pPr>
    </w:p>
    <w:bookmarkStart w:id="2" w:name="page3"/>
    <w:bookmarkEnd w:id="2"/>
    <w:p>
      <w:pPr>
        <w:ind w:right="140"/>
        <w:spacing w:after="0" w:line="23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62" w:lineRule="exact"/>
        <w:rPr>
          <w:sz w:val="20"/>
          <w:szCs w:val="20"/>
          <w:color w:val="auto"/>
        </w:rPr>
      </w:pPr>
    </w:p>
    <w:p>
      <w:pPr>
        <w:ind w:right="260"/>
        <w:spacing w:after="0" w:line="243" w:lineRule="exact"/>
        <w:rPr>
          <w:sz w:val="20"/>
          <w:szCs w:val="20"/>
          <w:color w:val="auto"/>
        </w:rPr>
      </w:pPr>
      <w:r>
        <w:rPr>
          <w:rFonts w:ascii="Times New Roman" w:cs="Times New Roman" w:eastAsia="Times New Roman" w:hAnsi="Times New Roman"/>
          <w:sz w:val="19"/>
          <w:szCs w:val="19"/>
          <w:color w:val="auto"/>
        </w:rPr>
        <w:t xml:space="preserve">If the securities are registered pursuant to Section 12(b) of the Act, indicate by check mark whether the financial statements of the registrant in the filing reflect the correction of an error to previously filed financial statements. </w:t>
      </w:r>
      <w:r>
        <w:rPr>
          <w:rFonts w:ascii="MS PGothic" w:cs="MS PGothic" w:eastAsia="MS PGothic" w:hAnsi="MS PGothic"/>
          <w:sz w:val="19"/>
          <w:szCs w:val="19"/>
          <w:color w:val="auto"/>
        </w:rPr>
        <w:t>☐</w:t>
      </w:r>
    </w:p>
    <w:p>
      <w:pPr>
        <w:spacing w:after="0" w:line="187" w:lineRule="exact"/>
        <w:rPr>
          <w:sz w:val="20"/>
          <w:szCs w:val="20"/>
          <w:color w:val="auto"/>
        </w:rPr>
      </w:pPr>
    </w:p>
    <w:p>
      <w:pPr>
        <w:ind w:right="360"/>
        <w:spacing w:after="0" w:line="249" w:lineRule="exact"/>
        <w:rPr>
          <w:sz w:val="20"/>
          <w:szCs w:val="20"/>
          <w:color w:val="auto"/>
        </w:rPr>
      </w:pPr>
      <w:r>
        <w:rPr>
          <w:rFonts w:ascii="Times New Roman" w:cs="Times New Roman" w:eastAsia="Times New Roman" w:hAnsi="Times New Roman"/>
          <w:sz w:val="19"/>
          <w:szCs w:val="19"/>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Indicate by check mark which basis of accounting the registrant has used to prepare the financial statements included in this filing:</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1480" w:type="dxa"/>
            <w:vAlign w:val="bottom"/>
          </w:tcPr>
          <w:p>
            <w:pPr>
              <w:spacing w:after="0" w:line="219" w:lineRule="exact"/>
              <w:rPr>
                <w:sz w:val="20"/>
                <w:szCs w:val="20"/>
                <w:color w:val="auto"/>
              </w:rPr>
            </w:pPr>
            <w:r>
              <w:rPr>
                <w:rFonts w:ascii="Times New Roman" w:cs="Times New Roman" w:eastAsia="Times New Roman" w:hAnsi="Times New Roman"/>
                <w:sz w:val="19"/>
                <w:szCs w:val="19"/>
                <w:color w:val="auto"/>
              </w:rPr>
              <w:t xml:space="preserve">U.S. GAAP </w:t>
            </w:r>
            <w:r>
              <w:rPr>
                <w:rFonts w:ascii="MS PGothic" w:cs="MS PGothic" w:eastAsia="MS PGothic" w:hAnsi="MS PGothic"/>
                <w:sz w:val="19"/>
                <w:szCs w:val="19"/>
                <w:color w:val="auto"/>
              </w:rPr>
              <w:t>☐</w:t>
            </w:r>
          </w:p>
        </w:tc>
        <w:tc>
          <w:tcPr>
            <w:tcW w:w="60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 xml:space="preserve">International Financial Reporting Standards </w:t>
            </w:r>
            <w:r>
              <w:rPr>
                <w:rFonts w:ascii="Times New Roman" w:cs="Times New Roman" w:eastAsia="Times New Roman" w:hAnsi="Times New Roman"/>
                <w:sz w:val="20"/>
                <w:szCs w:val="20"/>
                <w:color w:val="auto"/>
              </w:rPr>
              <w:t>as issued</w:t>
            </w:r>
          </w:p>
        </w:tc>
        <w:tc>
          <w:tcPr>
            <w:tcW w:w="2320" w:type="dxa"/>
            <w:vAlign w:val="bottom"/>
          </w:tcPr>
          <w:p>
            <w:pPr>
              <w:ind w:left="1680"/>
              <w:spacing w:after="0" w:line="219" w:lineRule="exact"/>
              <w:rPr>
                <w:sz w:val="20"/>
                <w:szCs w:val="20"/>
                <w:color w:val="auto"/>
              </w:rPr>
            </w:pPr>
            <w:r>
              <w:rPr>
                <w:rFonts w:ascii="Times New Roman" w:cs="Times New Roman" w:eastAsia="Times New Roman" w:hAnsi="Times New Roman"/>
                <w:sz w:val="19"/>
                <w:szCs w:val="19"/>
                <w:color w:val="auto"/>
                <w:w w:val="92"/>
              </w:rPr>
              <w:t xml:space="preserve">Other </w:t>
            </w:r>
            <w:r>
              <w:rPr>
                <w:rFonts w:ascii="MS PGothic" w:cs="MS PGothic" w:eastAsia="MS PGothic" w:hAnsi="MS PGothic"/>
                <w:sz w:val="19"/>
                <w:szCs w:val="19"/>
                <w:color w:val="auto"/>
                <w:w w:val="92"/>
              </w:rPr>
              <w:t>☐</w:t>
            </w:r>
          </w:p>
        </w:tc>
      </w:tr>
      <w:tr>
        <w:trPr>
          <w:trHeight w:val="312"/>
        </w:trPr>
        <w:tc>
          <w:tcPr>
            <w:tcW w:w="1480" w:type="dxa"/>
            <w:vAlign w:val="bottom"/>
          </w:tcPr>
          <w:p>
            <w:pPr>
              <w:spacing w:after="0"/>
              <w:rPr>
                <w:sz w:val="24"/>
                <w:szCs w:val="24"/>
                <w:color w:val="auto"/>
              </w:rPr>
            </w:pPr>
          </w:p>
        </w:tc>
        <w:tc>
          <w:tcPr>
            <w:tcW w:w="6080" w:type="dxa"/>
            <w:vAlign w:val="bottom"/>
          </w:tcPr>
          <w:p>
            <w:pPr>
              <w:ind w:left="360"/>
              <w:spacing w:after="0" w:line="219" w:lineRule="exact"/>
              <w:rPr>
                <w:sz w:val="20"/>
                <w:szCs w:val="20"/>
                <w:color w:val="auto"/>
              </w:rPr>
            </w:pPr>
            <w:r>
              <w:rPr>
                <w:rFonts w:ascii="Times New Roman" w:cs="Times New Roman" w:eastAsia="Times New Roman" w:hAnsi="Times New Roman"/>
                <w:sz w:val="19"/>
                <w:szCs w:val="19"/>
                <w:color w:val="auto"/>
              </w:rPr>
              <w:t xml:space="preserve">by the International Accounting Standards Board </w:t>
            </w:r>
            <w:r>
              <w:rPr>
                <w:rFonts w:ascii="MS PGothic" w:cs="MS PGothic" w:eastAsia="MS PGothic" w:hAnsi="MS PGothic"/>
                <w:sz w:val="19"/>
                <w:szCs w:val="19"/>
                <w:color w:val="auto"/>
              </w:rPr>
              <w:t>☒</w:t>
            </w:r>
          </w:p>
        </w:tc>
        <w:tc>
          <w:tcPr>
            <w:tcW w:w="2320" w:type="dxa"/>
            <w:vAlign w:val="bottom"/>
          </w:tcPr>
          <w:p>
            <w:pPr>
              <w:spacing w:after="0"/>
              <w:rPr>
                <w:sz w:val="24"/>
                <w:szCs w:val="24"/>
                <w:color w:val="auto"/>
              </w:rPr>
            </w:pPr>
          </w:p>
        </w:tc>
      </w:tr>
    </w:tbl>
    <w:p>
      <w:pPr>
        <w:spacing w:after="0" w:line="173" w:lineRule="exact"/>
        <w:rPr>
          <w:sz w:val="20"/>
          <w:szCs w:val="20"/>
          <w:color w:val="auto"/>
        </w:rPr>
      </w:pPr>
    </w:p>
    <w:p>
      <w:pPr>
        <w:ind w:right="80"/>
        <w:spacing w:after="0" w:line="249" w:lineRule="exact"/>
        <w:rPr>
          <w:sz w:val="20"/>
          <w:szCs w:val="20"/>
          <w:color w:val="auto"/>
        </w:rPr>
      </w:pPr>
      <w:r>
        <w:rPr>
          <w:rFonts w:ascii="Times New Roman" w:cs="Times New Roman" w:eastAsia="Times New Roman" w:hAnsi="Times New Roman"/>
          <w:sz w:val="19"/>
          <w:szCs w:val="19"/>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Item 17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Item 18</w:t>
      </w:r>
    </w:p>
    <w:p>
      <w:pPr>
        <w:spacing w:after="0" w:line="1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9"/>
          <w:szCs w:val="19"/>
          <w:color w:val="auto"/>
        </w:rPr>
        <w:t xml:space="preserve">If this is an annual report, indicate by check mark whether the registrant is a shell company (as defined in Rule 12b-2 of the Exchange Act).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20"/>
          </w:cols>
          <w:pgMar w:left="320" w:top="1334" w:right="459" w:bottom="1440" w:gutter="0" w:footer="0" w:header="0"/>
        </w:sectPr>
      </w:pPr>
    </w:p>
    <w:bookmarkStart w:id="3" w:name="page4"/>
    <w:bookmarkEnd w:id="3"/>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6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38100</wp:posOffset>
            </wp:positionV>
            <wp:extent cx="458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0000FF"/>
        </w:rPr>
        <w:t>INTRODUCTION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EE"/>
              </w:rPr>
              <w:t>PART I</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60"/>
        </w:trPr>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9"/>
                <w:szCs w:val="19"/>
                <w:b w:val="1"/>
                <w:bCs w:val="1"/>
                <w:color w:val="auto"/>
              </w:rPr>
              <w:t>Item 1.</w:t>
            </w:r>
          </w:p>
        </w:tc>
        <w:tc>
          <w:tcPr>
            <w:tcW w:w="900" w:type="dxa"/>
            <w:vAlign w:val="bottom"/>
          </w:tcPr>
          <w:p>
            <w:pPr>
              <w:spacing w:after="0"/>
              <w:rPr>
                <w:sz w:val="24"/>
                <w:szCs w:val="24"/>
                <w:color w:val="auto"/>
              </w:rPr>
            </w:pPr>
          </w:p>
        </w:tc>
        <w:tc>
          <w:tcPr>
            <w:tcW w:w="4400" w:type="dxa"/>
            <w:vAlign w:val="bottom"/>
            <w:gridSpan w:val="26"/>
          </w:tcPr>
          <w:p>
            <w:pPr>
              <w:spacing w:after="0"/>
              <w:rPr>
                <w:sz w:val="20"/>
                <w:szCs w:val="20"/>
                <w:color w:val="auto"/>
              </w:rPr>
            </w:pPr>
            <w:r>
              <w:rPr>
                <w:rFonts w:ascii="Times New Roman" w:cs="Times New Roman" w:eastAsia="Times New Roman" w:hAnsi="Times New Roman"/>
                <w:sz w:val="19"/>
                <w:szCs w:val="19"/>
                <w:b w:val="1"/>
                <w:bCs w:val="1"/>
                <w:color w:val="0000EE"/>
                <w:w w:val="97"/>
              </w:rPr>
              <w:t>Identity of Directors, Senior Management and Advisers</w:t>
            </w:r>
          </w:p>
        </w:tc>
        <w:tc>
          <w:tcPr>
            <w:tcW w:w="4880" w:type="dxa"/>
            <w:vAlign w:val="bottom"/>
            <w:gridSpan w:val="3"/>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150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2.</w:t>
            </w:r>
          </w:p>
        </w:tc>
        <w:tc>
          <w:tcPr>
            <w:tcW w:w="4400" w:type="dxa"/>
            <w:vAlign w:val="bottom"/>
            <w:gridSpan w:val="26"/>
          </w:tcPr>
          <w:p>
            <w:pPr>
              <w:spacing w:after="0"/>
              <w:rPr>
                <w:sz w:val="20"/>
                <w:szCs w:val="20"/>
                <w:color w:val="auto"/>
              </w:rPr>
            </w:pPr>
            <w:r>
              <w:rPr>
                <w:rFonts w:ascii="Times New Roman" w:cs="Times New Roman" w:eastAsia="Times New Roman" w:hAnsi="Times New Roman"/>
                <w:sz w:val="19"/>
                <w:szCs w:val="19"/>
                <w:b w:val="1"/>
                <w:bCs w:val="1"/>
                <w:color w:val="0000EE"/>
              </w:rPr>
              <w:t>Offer Statistics and Expected Timetable</w:t>
            </w:r>
          </w:p>
        </w:tc>
        <w:tc>
          <w:tcPr>
            <w:tcW w:w="4880" w:type="dxa"/>
            <w:vAlign w:val="bottom"/>
            <w:gridSpan w:val="3"/>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150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3.</w:t>
            </w:r>
          </w:p>
        </w:tc>
        <w:tc>
          <w:tcPr>
            <w:tcW w:w="3160" w:type="dxa"/>
            <w:vAlign w:val="bottom"/>
            <w:gridSpan w:val="19"/>
          </w:tcPr>
          <w:p>
            <w:pPr>
              <w:spacing w:after="0"/>
              <w:rPr>
                <w:sz w:val="20"/>
                <w:szCs w:val="20"/>
                <w:color w:val="auto"/>
              </w:rPr>
            </w:pPr>
            <w:r>
              <w:rPr>
                <w:rFonts w:ascii="Times New Roman" w:cs="Times New Roman" w:eastAsia="Times New Roman" w:hAnsi="Times New Roman"/>
                <w:sz w:val="19"/>
                <w:szCs w:val="19"/>
                <w:b w:val="1"/>
                <w:bCs w:val="1"/>
                <w:color w:val="0000EE"/>
              </w:rPr>
              <w:t>Key Information</w:t>
            </w:r>
          </w:p>
        </w:tc>
        <w:tc>
          <w:tcPr>
            <w:tcW w:w="6120" w:type="dxa"/>
            <w:vAlign w:val="bottom"/>
            <w:gridSpan w:val="10"/>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A. [Reserved]</w:t>
            </w:r>
          </w:p>
        </w:tc>
        <w:tc>
          <w:tcPr>
            <w:tcW w:w="7940" w:type="dxa"/>
            <w:vAlign w:val="bottom"/>
            <w:gridSpan w:val="25"/>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rPr>
              <w:t>B. Capitalization and Indebtedness</w:t>
            </w:r>
          </w:p>
        </w:tc>
        <w:tc>
          <w:tcPr>
            <w:tcW w:w="6440" w:type="dxa"/>
            <w:vAlign w:val="bottom"/>
            <w:gridSpan w:val="11"/>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53"/>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C. Reasons for the Offer and Use of Proceeds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38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D. Risk Factors</w:t>
            </w:r>
          </w:p>
        </w:tc>
        <w:tc>
          <w:tcPr>
            <w:tcW w:w="5900" w:type="dxa"/>
            <w:vAlign w:val="bottom"/>
            <w:gridSpan w:val="9"/>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r>
      <w:tr>
        <w:trPr>
          <w:trHeight w:val="20"/>
        </w:trPr>
        <w:tc>
          <w:tcPr>
            <w:tcW w:w="1500" w:type="dxa"/>
            <w:vAlign w:val="bottom"/>
            <w:gridSpan w:val="2"/>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4.</w:t>
            </w:r>
          </w:p>
        </w:tc>
        <w:tc>
          <w:tcPr>
            <w:tcW w:w="234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0000FF"/>
                <w:w w:val="97"/>
              </w:rPr>
              <w:t>Information on the Company</w:t>
            </w:r>
          </w:p>
        </w:tc>
        <w:tc>
          <w:tcPr>
            <w:tcW w:w="6940" w:type="dxa"/>
            <w:vAlign w:val="bottom"/>
            <w:gridSpan w:val="17"/>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w w:val="97"/>
              </w:rPr>
              <w:t>A. History and Development of the Company</w:t>
            </w:r>
          </w:p>
        </w:tc>
        <w:tc>
          <w:tcPr>
            <w:tcW w:w="5880" w:type="dxa"/>
            <w:vAlign w:val="bottom"/>
            <w:gridSpan w:val="8"/>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9"/>
                <w:szCs w:val="19"/>
                <w:color w:val="0000FF"/>
                <w:w w:val="96"/>
              </w:rPr>
              <w:t>B. Business Overview</w:t>
            </w:r>
          </w:p>
        </w:tc>
        <w:tc>
          <w:tcPr>
            <w:tcW w:w="1740" w:type="dxa"/>
            <w:vAlign w:val="bottom"/>
            <w:gridSpan w:val="14"/>
          </w:tcPr>
          <w:p>
            <w:pPr>
              <w:spacing w:after="0"/>
              <w:rPr>
                <w:sz w:val="22"/>
                <w:szCs w:val="22"/>
                <w:color w:val="auto"/>
              </w:rPr>
            </w:pPr>
          </w:p>
        </w:tc>
        <w:tc>
          <w:tcPr>
            <w:tcW w:w="5880" w:type="dxa"/>
            <w:vAlign w:val="bottom"/>
            <w:gridSpan w:val="8"/>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C. Organizational Structure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123</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D. Property, Plants and Equipment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123</w:t>
            </w: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4A.</w:t>
            </w:r>
          </w:p>
        </w:tc>
        <w:tc>
          <w:tcPr>
            <w:tcW w:w="2240" w:type="dxa"/>
            <w:vAlign w:val="bottom"/>
            <w:tcBorders>
              <w:top w:val="single" w:sz="8" w:color="0000EE"/>
              <w:bottom w:val="single" w:sz="8" w:color="0000FF"/>
            </w:tcBorders>
            <w:gridSpan w:val="11"/>
          </w:tcPr>
          <w:p>
            <w:pPr>
              <w:spacing w:after="0"/>
              <w:rPr>
                <w:sz w:val="20"/>
                <w:szCs w:val="20"/>
                <w:color w:val="auto"/>
              </w:rPr>
            </w:pPr>
            <w:r>
              <w:rPr>
                <w:rFonts w:ascii="Times New Roman" w:cs="Times New Roman" w:eastAsia="Times New Roman" w:hAnsi="Times New Roman"/>
                <w:sz w:val="19"/>
                <w:szCs w:val="19"/>
                <w:b w:val="1"/>
                <w:bCs w:val="1"/>
                <w:color w:val="0000FF"/>
                <w:w w:val="97"/>
              </w:rPr>
              <w:t>Unresolved Staff Comments</w:t>
            </w:r>
          </w:p>
        </w:tc>
        <w:tc>
          <w:tcPr>
            <w:tcW w:w="340" w:type="dxa"/>
            <w:vAlign w:val="bottom"/>
            <w:tcBorders>
              <w:top w:val="single" w:sz="8" w:color="0000EE"/>
            </w:tcBorders>
            <w:gridSpan w:val="3"/>
          </w:tcPr>
          <w:p>
            <w:pPr>
              <w:spacing w:after="0"/>
              <w:rPr>
                <w:sz w:val="22"/>
                <w:szCs w:val="22"/>
                <w:color w:val="auto"/>
              </w:rPr>
            </w:pPr>
          </w:p>
        </w:tc>
        <w:tc>
          <w:tcPr>
            <w:tcW w:w="6700" w:type="dxa"/>
            <w:vAlign w:val="bottom"/>
            <w:gridSpan w:val="15"/>
          </w:tcPr>
          <w:p>
            <w:pPr>
              <w:spacing w:after="0"/>
              <w:rPr>
                <w:sz w:val="22"/>
                <w:szCs w:val="22"/>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123</w:t>
            </w: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5.</w:t>
            </w: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b w:val="1"/>
                <w:bCs w:val="1"/>
                <w:color w:val="0000FF"/>
              </w:rPr>
              <w:t>Operating and Financial Review and Prospects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123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72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9"/>
                <w:szCs w:val="19"/>
                <w:color w:val="0000FF"/>
              </w:rPr>
              <w:t>A. Operating Results</w:t>
            </w:r>
          </w:p>
        </w:tc>
        <w:tc>
          <w:tcPr>
            <w:tcW w:w="5560" w:type="dxa"/>
            <w:vAlign w:val="bottom"/>
            <w:gridSpan w:val="6"/>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129</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9"/>
                <w:szCs w:val="19"/>
                <w:color w:val="0000EE"/>
                <w:w w:val="97"/>
              </w:rPr>
              <w:t>B. Liquidity and Capital Resources</w:t>
            </w:r>
          </w:p>
        </w:tc>
        <w:tc>
          <w:tcPr>
            <w:tcW w:w="6660" w:type="dxa"/>
            <w:vAlign w:val="bottom"/>
            <w:gridSpan w:val="14"/>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130</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9"/>
                <w:szCs w:val="19"/>
                <w:color w:val="0000EE"/>
                <w:w w:val="97"/>
              </w:rPr>
              <w:t>C. Research and Development, Patents and Licenses, etc.</w:t>
            </w:r>
          </w:p>
        </w:tc>
        <w:tc>
          <w:tcPr>
            <w:tcW w:w="5020" w:type="dxa"/>
            <w:vAlign w:val="bottom"/>
            <w:gridSpan w:val="4"/>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D. Trend Information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133</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E. Critical Accounting Esti</w:t>
            </w:r>
            <w:r>
              <w:rPr>
                <w:rFonts w:ascii="Times New Roman" w:cs="Times New Roman" w:eastAsia="Times New Roman" w:hAnsi="Times New Roman"/>
                <w:sz w:val="19"/>
                <w:szCs w:val="19"/>
                <w:color w:val="0000EE"/>
              </w:rPr>
              <w:t>mates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133</w:t>
            </w:r>
          </w:p>
        </w:tc>
      </w:tr>
      <w:tr>
        <w:trPr>
          <w:trHeight w:val="20"/>
        </w:trPr>
        <w:tc>
          <w:tcPr>
            <w:tcW w:w="1500" w:type="dxa"/>
            <w:vAlign w:val="bottom"/>
            <w:gridSpan w:val="2"/>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6.</w:t>
            </w: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b w:val="1"/>
                <w:bCs w:val="1"/>
                <w:color w:val="0000FF"/>
              </w:rPr>
              <w:t>Directors, Senior Management and Employees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9"/>
                <w:szCs w:val="19"/>
                <w:color w:val="0000EE"/>
              </w:rPr>
              <w:t>A. Directors and Senior Management</w:t>
            </w:r>
          </w:p>
        </w:tc>
        <w:tc>
          <w:tcPr>
            <w:tcW w:w="5600" w:type="dxa"/>
            <w:vAlign w:val="bottom"/>
            <w:gridSpan w:val="7"/>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9"/>
                <w:szCs w:val="19"/>
                <w:color w:val="0000EE"/>
                <w:w w:val="98"/>
              </w:rPr>
              <w:t>B. Compensation</w:t>
            </w:r>
          </w:p>
        </w:tc>
        <w:tc>
          <w:tcPr>
            <w:tcW w:w="1440" w:type="dxa"/>
            <w:vAlign w:val="bottom"/>
            <w:tcBorders>
              <w:top w:val="single" w:sz="8" w:color="0000EE"/>
            </w:tcBorders>
            <w:gridSpan w:val="13"/>
          </w:tcPr>
          <w:p>
            <w:pPr>
              <w:spacing w:after="0"/>
              <w:rPr>
                <w:sz w:val="22"/>
                <w:szCs w:val="22"/>
                <w:color w:val="auto"/>
              </w:rPr>
            </w:pPr>
          </w:p>
        </w:tc>
        <w:tc>
          <w:tcPr>
            <w:tcW w:w="6500" w:type="dxa"/>
            <w:vAlign w:val="bottom"/>
            <w:gridSpan w:val="12"/>
          </w:tcPr>
          <w:p>
            <w:pPr>
              <w:spacing w:after="0"/>
              <w:rPr>
                <w:sz w:val="22"/>
                <w:szCs w:val="22"/>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138</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9"/>
                <w:szCs w:val="19"/>
                <w:color w:val="0000EE"/>
                <w:w w:val="97"/>
              </w:rPr>
              <w:t>C. Board Practices</w:t>
            </w:r>
          </w:p>
        </w:tc>
        <w:tc>
          <w:tcPr>
            <w:tcW w:w="7880" w:type="dxa"/>
            <w:vAlign w:val="bottom"/>
            <w:gridSpan w:val="24"/>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9"/>
                <w:szCs w:val="19"/>
                <w:color w:val="0000EE"/>
                <w:w w:val="96"/>
              </w:rPr>
              <w:t>D. Employees</w:t>
            </w:r>
          </w:p>
        </w:tc>
        <w:tc>
          <w:tcPr>
            <w:tcW w:w="8220" w:type="dxa"/>
            <w:vAlign w:val="bottom"/>
            <w:gridSpan w:val="27"/>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148</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9"/>
                <w:szCs w:val="19"/>
                <w:color w:val="0000EE"/>
                <w:w w:val="99"/>
              </w:rPr>
              <w:t>E. Share Ownership</w:t>
            </w:r>
          </w:p>
        </w:tc>
        <w:tc>
          <w:tcPr>
            <w:tcW w:w="7720" w:type="dxa"/>
            <w:vAlign w:val="bottom"/>
            <w:gridSpan w:val="23"/>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148</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9"/>
                <w:szCs w:val="19"/>
                <w:color w:val="0000EE"/>
                <w:w w:val="97"/>
              </w:rPr>
              <w:t>F. Disclosure of a Registrant's Action to Recover Erroneously Awarded Compensation</w:t>
            </w:r>
          </w:p>
        </w:tc>
        <w:tc>
          <w:tcPr>
            <w:tcW w:w="2860" w:type="dxa"/>
            <w:vAlign w:val="bottom"/>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149</w:t>
            </w: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7.</w:t>
            </w:r>
          </w:p>
        </w:tc>
        <w:tc>
          <w:tcPr>
            <w:tcW w:w="41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9"/>
                <w:szCs w:val="19"/>
                <w:b w:val="1"/>
                <w:bCs w:val="1"/>
                <w:color w:val="0000FF"/>
                <w:w w:val="96"/>
              </w:rPr>
              <w:t>Major Shareholders and Related Party Transactions</w:t>
            </w:r>
          </w:p>
        </w:tc>
        <w:tc>
          <w:tcPr>
            <w:tcW w:w="5120" w:type="dxa"/>
            <w:vAlign w:val="bottom"/>
            <w:gridSpan w:val="5"/>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148</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FF"/>
              </w:rPr>
              <w:t>A. Major Shareholders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149</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9"/>
                <w:szCs w:val="19"/>
                <w:color w:val="0000EE"/>
                <w:w w:val="96"/>
              </w:rPr>
              <w:t>B. Related Party Transactions</w:t>
            </w:r>
          </w:p>
        </w:tc>
        <w:tc>
          <w:tcPr>
            <w:tcW w:w="7060" w:type="dxa"/>
            <w:vAlign w:val="bottom"/>
            <w:gridSpan w:val="19"/>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151</w:t>
            </w:r>
          </w:p>
        </w:tc>
      </w:tr>
      <w:tr>
        <w:trPr>
          <w:trHeight w:val="279"/>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9"/>
                <w:szCs w:val="19"/>
                <w:color w:val="0000EE"/>
                <w:w w:val="97"/>
              </w:rPr>
              <w:t>C. Interests of Experts and Counsel</w:t>
            </w:r>
          </w:p>
        </w:tc>
        <w:tc>
          <w:tcPr>
            <w:tcW w:w="6640" w:type="dxa"/>
            <w:vAlign w:val="bottom"/>
            <w:gridSpan w:val="13"/>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153</w:t>
            </w:r>
          </w:p>
        </w:tc>
      </w:tr>
      <w:tr>
        <w:trPr>
          <w:trHeight w:val="23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8.</w:t>
            </w: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b w:val="1"/>
                <w:bCs w:val="1"/>
                <w:color w:val="0000EE"/>
              </w:rPr>
              <w:t>Financial Information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153</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480" w:type="dxa"/>
            <w:vAlign w:val="bottom"/>
            <w:gridSpan w:val="18"/>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A. Consolidated Statements and Other Financial Information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153</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52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9"/>
                <w:szCs w:val="19"/>
                <w:color w:val="0000FF"/>
              </w:rPr>
              <w:t>B. Significant Changes</w:t>
            </w:r>
          </w:p>
        </w:tc>
        <w:tc>
          <w:tcPr>
            <w:tcW w:w="4760" w:type="dxa"/>
            <w:vAlign w:val="bottom"/>
            <w:gridSpan w:val="2"/>
          </w:tcPr>
          <w:p>
            <w:pPr>
              <w:spacing w:after="0"/>
              <w:rPr>
                <w:sz w:val="22"/>
                <w:szCs w:val="22"/>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155</w:t>
            </w:r>
          </w:p>
        </w:tc>
      </w:tr>
      <w:tr>
        <w:trPr>
          <w:trHeight w:val="20"/>
        </w:trPr>
        <w:tc>
          <w:tcPr>
            <w:tcW w:w="1500" w:type="dxa"/>
            <w:vAlign w:val="bottom"/>
            <w:gridSpan w:val="2"/>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40" w:type="dxa"/>
            <w:vAlign w:val="bottom"/>
            <w:gridSpan w:val="2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15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Item 9.</w:t>
            </w: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b w:val="1"/>
                <w:bCs w:val="1"/>
                <w:color w:val="0000FF"/>
              </w:rPr>
              <w:t>The Offer and Listing</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155</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40" w:type="dxa"/>
            <w:vAlign w:val="bottom"/>
            <w:gridSpan w:val="2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80" w:type="dxa"/>
            <w:vAlign w:val="bottom"/>
            <w:gridSpan w:val="29"/>
          </w:tcPr>
          <w:p>
            <w:pPr>
              <w:spacing w:after="0"/>
              <w:rPr>
                <w:sz w:val="20"/>
                <w:szCs w:val="20"/>
                <w:color w:val="auto"/>
              </w:rPr>
            </w:pPr>
            <w:r>
              <w:rPr>
                <w:rFonts w:ascii="Times New Roman" w:cs="Times New Roman" w:eastAsia="Times New Roman" w:hAnsi="Times New Roman"/>
                <w:sz w:val="19"/>
                <w:szCs w:val="19"/>
                <w:color w:val="0000EE"/>
              </w:rPr>
              <w:t>A. Offer and Listing Details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155</w:t>
            </w:r>
          </w:p>
        </w:tc>
      </w:tr>
      <w:tr>
        <w:trPr>
          <w:trHeight w:val="259"/>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9"/>
                <w:szCs w:val="19"/>
                <w:color w:val="0000EE"/>
                <w:w w:val="95"/>
              </w:rPr>
              <w:t>B. Plan of Distribution</w:t>
            </w:r>
          </w:p>
        </w:tc>
        <w:tc>
          <w:tcPr>
            <w:tcW w:w="340" w:type="dxa"/>
            <w:vAlign w:val="bottom"/>
            <w:tcBorders>
              <w:top w:val="single" w:sz="8" w:color="0000EE"/>
            </w:tcBorders>
          </w:tcPr>
          <w:p>
            <w:pPr>
              <w:spacing w:after="0"/>
              <w:rPr>
                <w:sz w:val="22"/>
                <w:szCs w:val="22"/>
                <w:color w:val="auto"/>
              </w:rPr>
            </w:pPr>
          </w:p>
        </w:tc>
        <w:tc>
          <w:tcPr>
            <w:tcW w:w="7240" w:type="dxa"/>
            <w:vAlign w:val="bottom"/>
            <w:gridSpan w:val="20"/>
          </w:tcPr>
          <w:p>
            <w:pPr>
              <w:spacing w:after="0"/>
              <w:rPr>
                <w:sz w:val="22"/>
                <w:szCs w:val="22"/>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bl>
    <w:p>
      <w:pPr>
        <w:spacing w:after="0" w:line="200" w:lineRule="exact"/>
        <w:rPr>
          <w:sz w:val="20"/>
          <w:szCs w:val="20"/>
          <w:color w:val="auto"/>
        </w:rPr>
      </w:pPr>
    </w:p>
    <w:p>
      <w:pPr>
        <w:sectPr>
          <w:pgSz w:w="11900" w:h="16838" w:orient="portrait"/>
          <w:cols w:equalWidth="0" w:num="1">
            <w:col w:w="11060"/>
          </w:cols>
          <w:pgMar w:left="34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73660</wp:posOffset>
            </wp:positionV>
            <wp:extent cx="716597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9"/>
                <w:szCs w:val="19"/>
                <w:color w:val="0000EE"/>
              </w:rPr>
              <w:t>C. Markets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59"/>
        </w:trPr>
        <w:tc>
          <w:tcPr>
            <w:tcW w:w="1500" w:type="dxa"/>
            <w:vAlign w:val="bottom"/>
          </w:tcPr>
          <w:p>
            <w:pPr>
              <w:spacing w:after="0"/>
              <w:rPr>
                <w:sz w:val="22"/>
                <w:szCs w:val="22"/>
                <w:color w:val="auto"/>
              </w:rPr>
            </w:pP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7"/>
              </w:rPr>
              <w:t>D. Selling Shareholders</w:t>
            </w:r>
          </w:p>
        </w:tc>
        <w:tc>
          <w:tcPr>
            <w:tcW w:w="7500" w:type="dxa"/>
            <w:vAlign w:val="bottom"/>
            <w:gridSpan w:val="3"/>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59"/>
        </w:trPr>
        <w:tc>
          <w:tcPr>
            <w:tcW w:w="1500" w:type="dxa"/>
            <w:vAlign w:val="bottom"/>
          </w:tcPr>
          <w:p>
            <w:pPr>
              <w:spacing w:after="0"/>
              <w:rPr>
                <w:sz w:val="22"/>
                <w:szCs w:val="22"/>
                <w:color w:val="auto"/>
              </w:rPr>
            </w:pPr>
          </w:p>
        </w:tc>
        <w:tc>
          <w:tcPr>
            <w:tcW w:w="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9"/>
                <w:szCs w:val="19"/>
                <w:color w:val="0000EE"/>
                <w:w w:val="97"/>
              </w:rPr>
              <w:t>E. Dilution</w:t>
            </w:r>
          </w:p>
        </w:tc>
        <w:tc>
          <w:tcPr>
            <w:tcW w:w="8440" w:type="dxa"/>
            <w:vAlign w:val="bottom"/>
            <w:gridSpan w:val="6"/>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59"/>
        </w:trPr>
        <w:tc>
          <w:tcPr>
            <w:tcW w:w="1500" w:type="dxa"/>
            <w:vAlign w:val="bottom"/>
          </w:tcPr>
          <w:p>
            <w:pPr>
              <w:spacing w:after="0"/>
              <w:rPr>
                <w:sz w:val="22"/>
                <w:szCs w:val="22"/>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9"/>
                <w:szCs w:val="19"/>
                <w:color w:val="0000EE"/>
              </w:rPr>
              <w:t>F. Expenses of the Issue</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59"/>
        </w:trPr>
        <w:tc>
          <w:tcPr>
            <w:tcW w:w="1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10.</w:t>
            </w:r>
          </w:p>
        </w:tc>
        <w:tc>
          <w:tcPr>
            <w:tcW w:w="928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color w:val="0000FF"/>
              </w:rPr>
              <w:t>Additional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59"/>
        </w:trPr>
        <w:tc>
          <w:tcPr>
            <w:tcW w:w="1500" w:type="dxa"/>
            <w:vAlign w:val="bottom"/>
          </w:tcPr>
          <w:p>
            <w:pPr>
              <w:spacing w:after="0"/>
              <w:rPr>
                <w:sz w:val="22"/>
                <w:szCs w:val="22"/>
                <w:color w:val="auto"/>
              </w:rPr>
            </w:pPr>
          </w:p>
        </w:tc>
        <w:tc>
          <w:tcPr>
            <w:tcW w:w="1240" w:type="dxa"/>
            <w:vAlign w:val="bottom"/>
            <w:tcBorders>
              <w:top w:val="single" w:sz="8" w:color="0000FF"/>
              <w:bottom w:val="single" w:sz="8" w:color="0000EE"/>
            </w:tcBorders>
            <w:gridSpan w:val="3"/>
          </w:tcPr>
          <w:p>
            <w:pPr>
              <w:spacing w:after="0"/>
              <w:rPr>
                <w:sz w:val="20"/>
                <w:szCs w:val="20"/>
                <w:color w:val="auto"/>
              </w:rPr>
            </w:pPr>
            <w:r>
              <w:rPr>
                <w:rFonts w:ascii="Times New Roman" w:cs="Times New Roman" w:eastAsia="Times New Roman" w:hAnsi="Times New Roman"/>
                <w:sz w:val="19"/>
                <w:szCs w:val="19"/>
                <w:color w:val="0000EE"/>
                <w:w w:val="96"/>
              </w:rPr>
              <w:t>A. Share Capital</w:t>
            </w:r>
          </w:p>
        </w:tc>
        <w:tc>
          <w:tcPr>
            <w:tcW w:w="620" w:type="dxa"/>
            <w:vAlign w:val="bottom"/>
            <w:tcBorders>
              <w:top w:val="single" w:sz="8" w:color="0000FF"/>
            </w:tcBorders>
            <w:gridSpan w:val="3"/>
          </w:tcPr>
          <w:p>
            <w:pPr>
              <w:spacing w:after="0"/>
              <w:rPr>
                <w:sz w:val="22"/>
                <w:szCs w:val="22"/>
                <w:color w:val="auto"/>
              </w:rPr>
            </w:pPr>
          </w:p>
        </w:tc>
        <w:tc>
          <w:tcPr>
            <w:tcW w:w="74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59"/>
        </w:trPr>
        <w:tc>
          <w:tcPr>
            <w:tcW w:w="1500" w:type="dxa"/>
            <w:vAlign w:val="bottom"/>
          </w:tcPr>
          <w:p>
            <w:pPr>
              <w:spacing w:after="0"/>
              <w:rPr>
                <w:sz w:val="22"/>
                <w:szCs w:val="22"/>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9"/>
                <w:szCs w:val="19"/>
                <w:color w:val="0000EE"/>
              </w:rPr>
              <w:t>B. Memorandum and Articles of Association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59"/>
        </w:trPr>
        <w:tc>
          <w:tcPr>
            <w:tcW w:w="1500" w:type="dxa"/>
            <w:vAlign w:val="bottom"/>
          </w:tcPr>
          <w:p>
            <w:pPr>
              <w:spacing w:after="0"/>
              <w:rPr>
                <w:sz w:val="22"/>
                <w:szCs w:val="22"/>
                <w:color w:val="auto"/>
              </w:rPr>
            </w:pPr>
          </w:p>
        </w:tc>
        <w:tc>
          <w:tcPr>
            <w:tcW w:w="3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9"/>
                <w:szCs w:val="19"/>
                <w:color w:val="0000EE"/>
              </w:rPr>
              <w:t>C. Material Contracts</w:t>
            </w:r>
          </w:p>
        </w:tc>
        <w:tc>
          <w:tcPr>
            <w:tcW w:w="594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156</w:t>
            </w: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D. Exchange Controls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157</w:t>
            </w:r>
          </w:p>
        </w:tc>
      </w:tr>
      <w:tr>
        <w:trPr>
          <w:trHeight w:val="253"/>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9"/>
                <w:szCs w:val="19"/>
                <w:color w:val="0000EE"/>
                <w:w w:val="94"/>
              </w:rPr>
              <w:t>E. Taxation</w:t>
            </w:r>
          </w:p>
        </w:tc>
        <w:tc>
          <w:tcPr>
            <w:tcW w:w="940" w:type="dxa"/>
            <w:vAlign w:val="bottom"/>
            <w:tcBorders>
              <w:top w:val="single" w:sz="8" w:color="0000EE"/>
            </w:tcBorders>
            <w:gridSpan w:val="8"/>
          </w:tcPr>
          <w:p>
            <w:pPr>
              <w:spacing w:after="0"/>
              <w:rPr>
                <w:sz w:val="22"/>
                <w:szCs w:val="22"/>
                <w:color w:val="auto"/>
              </w:rPr>
            </w:pPr>
          </w:p>
        </w:tc>
        <w:tc>
          <w:tcPr>
            <w:tcW w:w="7480" w:type="dxa"/>
            <w:vAlign w:val="bottom"/>
            <w:gridSpan w:val="18"/>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157</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9"/>
                <w:szCs w:val="19"/>
                <w:color w:val="0000FF"/>
                <w:w w:val="96"/>
              </w:rPr>
              <w:t>F. Dividends and Paying Agents</w:t>
            </w:r>
          </w:p>
        </w:tc>
        <w:tc>
          <w:tcPr>
            <w:tcW w:w="6880" w:type="dxa"/>
            <w:vAlign w:val="bottom"/>
            <w:gridSpan w:val="11"/>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9"/>
                <w:szCs w:val="19"/>
                <w:color w:val="0000EE"/>
                <w:w w:val="96"/>
              </w:rPr>
              <w:t>G. Statement by Experts</w:t>
            </w:r>
          </w:p>
        </w:tc>
        <w:tc>
          <w:tcPr>
            <w:tcW w:w="7460" w:type="dxa"/>
            <w:vAlign w:val="bottom"/>
            <w:gridSpan w:val="17"/>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9"/>
                <w:szCs w:val="19"/>
                <w:color w:val="0000EE"/>
                <w:w w:val="97"/>
              </w:rPr>
              <w:t>H. Documents on Display</w:t>
            </w:r>
          </w:p>
        </w:tc>
        <w:tc>
          <w:tcPr>
            <w:tcW w:w="7340" w:type="dxa"/>
            <w:vAlign w:val="bottom"/>
            <w:gridSpan w:val="14"/>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color w:val="0000EE"/>
              </w:rPr>
              <w:t>I. Subsidiary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7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w w:val="97"/>
              </w:rPr>
              <w:t>J. Annual Report to Security Holders</w:t>
            </w:r>
          </w:p>
        </w:tc>
        <w:tc>
          <w:tcPr>
            <w:tcW w:w="6520" w:type="dxa"/>
            <w:vAlign w:val="bottom"/>
            <w:gridSpan w:val="10"/>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11.</w:t>
            </w:r>
          </w:p>
        </w:tc>
        <w:tc>
          <w:tcPr>
            <w:tcW w:w="48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9"/>
                <w:szCs w:val="19"/>
                <w:b w:val="1"/>
                <w:bCs w:val="1"/>
                <w:color w:val="0000FF"/>
                <w:w w:val="97"/>
              </w:rPr>
              <w:t>Quantitative and Qualitative Disclosures About Market Risk</w:t>
            </w:r>
          </w:p>
        </w:tc>
        <w:tc>
          <w:tcPr>
            <w:tcW w:w="4460" w:type="dxa"/>
            <w:vAlign w:val="bottom"/>
            <w:gridSpan w:val="4"/>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166</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12.</w:t>
            </w:r>
          </w:p>
        </w:tc>
        <w:tc>
          <w:tcPr>
            <w:tcW w:w="42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9"/>
                <w:szCs w:val="19"/>
                <w:b w:val="1"/>
                <w:bCs w:val="1"/>
                <w:color w:val="0000EE"/>
                <w:w w:val="97"/>
              </w:rPr>
              <w:t>Description of Securities Other than Equity Securities</w:t>
            </w:r>
          </w:p>
        </w:tc>
        <w:tc>
          <w:tcPr>
            <w:tcW w:w="5000" w:type="dxa"/>
            <w:vAlign w:val="bottom"/>
            <w:gridSpan w:val="6"/>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167</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9"/>
                <w:szCs w:val="19"/>
                <w:color w:val="0000EE"/>
                <w:w w:val="97"/>
              </w:rPr>
              <w:t>A. Debt Securities</w:t>
            </w:r>
          </w:p>
        </w:tc>
        <w:tc>
          <w:tcPr>
            <w:tcW w:w="7900" w:type="dxa"/>
            <w:vAlign w:val="bottom"/>
            <w:gridSpan w:val="23"/>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167</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9"/>
                <w:szCs w:val="19"/>
                <w:color w:val="0000EE"/>
                <w:w w:val="96"/>
              </w:rPr>
              <w:t>B. Warrants and Rights</w:t>
            </w:r>
          </w:p>
        </w:tc>
        <w:tc>
          <w:tcPr>
            <w:tcW w:w="7540" w:type="dxa"/>
            <w:vAlign w:val="bottom"/>
            <w:gridSpan w:val="19"/>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167</w:t>
            </w: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color w:val="0000EE"/>
              </w:rPr>
              <w:t>C. Other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167</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59"/>
        </w:trPr>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color w:val="0000EE"/>
              </w:rPr>
              <w:t>D. American Depositary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168</w:t>
            </w:r>
          </w:p>
        </w:tc>
      </w:tr>
      <w:tr>
        <w:trPr>
          <w:trHeight w:val="512"/>
        </w:trPr>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b w:val="1"/>
                <w:bCs w:val="1"/>
                <w:color w:val="0000FF"/>
                <w:w w:val="92"/>
              </w:rPr>
              <w:t>PART II</w:t>
            </w:r>
          </w:p>
        </w:tc>
        <w:tc>
          <w:tcPr>
            <w:tcW w:w="820" w:type="dxa"/>
            <w:vAlign w:val="bottom"/>
            <w:gridSpan w:val="2"/>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512"/>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13.</w:t>
            </w:r>
          </w:p>
        </w:tc>
        <w:tc>
          <w:tcPr>
            <w:tcW w:w="39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9"/>
                <w:szCs w:val="19"/>
                <w:b w:val="1"/>
                <w:bCs w:val="1"/>
                <w:color w:val="0000FF"/>
                <w:w w:val="97"/>
              </w:rPr>
              <w:t>Defaults, Dividend Arrearages and Delinquencies</w:t>
            </w:r>
          </w:p>
        </w:tc>
        <w:tc>
          <w:tcPr>
            <w:tcW w:w="5360" w:type="dxa"/>
            <w:vAlign w:val="bottom"/>
            <w:gridSpan w:val="7"/>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170</w:t>
            </w:r>
          </w:p>
        </w:tc>
      </w:tr>
      <w:tr>
        <w:trPr>
          <w:trHeight w:val="27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14.</w:t>
            </w:r>
          </w:p>
        </w:tc>
        <w:tc>
          <w:tcPr>
            <w:tcW w:w="4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9"/>
                <w:szCs w:val="19"/>
                <w:b w:val="1"/>
                <w:bCs w:val="1"/>
                <w:color w:val="0000EE"/>
                <w:w w:val="97"/>
              </w:rPr>
              <w:t>Material Modifications to the Rights of Security Holders</w:t>
            </w:r>
          </w:p>
        </w:tc>
        <w:tc>
          <w:tcPr>
            <w:tcW w:w="4800" w:type="dxa"/>
            <w:vAlign w:val="bottom"/>
            <w:gridSpan w:val="5"/>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170</w:t>
            </w:r>
          </w:p>
        </w:tc>
      </w:tr>
      <w:tr>
        <w:trPr>
          <w:trHeight w:val="23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15.</w:t>
            </w:r>
          </w:p>
        </w:tc>
        <w:tc>
          <w:tcPr>
            <w:tcW w:w="1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9"/>
                <w:szCs w:val="19"/>
                <w:b w:val="1"/>
                <w:bCs w:val="1"/>
                <w:color w:val="0000EE"/>
                <w:w w:val="96"/>
              </w:rPr>
              <w:t>Controls and Procedures</w:t>
            </w:r>
          </w:p>
        </w:tc>
        <w:tc>
          <w:tcPr>
            <w:tcW w:w="7300" w:type="dxa"/>
            <w:vAlign w:val="bottom"/>
            <w:gridSpan w:val="13"/>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170</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16A.</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FF"/>
              </w:rPr>
              <w:t>Audit Committee Financial Expert</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171</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16B.</w:t>
            </w:r>
          </w:p>
        </w:tc>
        <w:tc>
          <w:tcPr>
            <w:tcW w:w="1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b w:val="1"/>
                <w:bCs w:val="1"/>
                <w:color w:val="0000FF"/>
                <w:w w:val="96"/>
              </w:rPr>
              <w:t>Code of Ethics</w:t>
            </w:r>
          </w:p>
        </w:tc>
        <w:tc>
          <w:tcPr>
            <w:tcW w:w="1600" w:type="dxa"/>
            <w:vAlign w:val="bottom"/>
            <w:tcBorders>
              <w:top w:val="single" w:sz="8" w:color="0000FF"/>
            </w:tcBorders>
            <w:gridSpan w:val="14"/>
          </w:tcPr>
          <w:p>
            <w:pPr>
              <w:spacing w:after="0"/>
              <w:rPr>
                <w:sz w:val="22"/>
                <w:szCs w:val="22"/>
                <w:color w:val="auto"/>
              </w:rPr>
            </w:pPr>
          </w:p>
        </w:tc>
        <w:tc>
          <w:tcPr>
            <w:tcW w:w="6520" w:type="dxa"/>
            <w:vAlign w:val="bottom"/>
            <w:gridSpan w:val="10"/>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171</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16C.</w:t>
            </w:r>
          </w:p>
        </w:tc>
        <w:tc>
          <w:tcPr>
            <w:tcW w:w="31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9"/>
                <w:szCs w:val="19"/>
                <w:b w:val="1"/>
                <w:bCs w:val="1"/>
                <w:color w:val="0000EE"/>
                <w:w w:val="97"/>
              </w:rPr>
              <w:t>Principal Accountant Fees and Services</w:t>
            </w:r>
          </w:p>
        </w:tc>
        <w:tc>
          <w:tcPr>
            <w:tcW w:w="6140" w:type="dxa"/>
            <w:vAlign w:val="bottom"/>
            <w:gridSpan w:val="9"/>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171</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16D.</w:t>
            </w:r>
          </w:p>
        </w:tc>
        <w:tc>
          <w:tcPr>
            <w:tcW w:w="49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9"/>
                <w:szCs w:val="19"/>
                <w:b w:val="1"/>
                <w:bCs w:val="1"/>
                <w:color w:val="0000EE"/>
                <w:w w:val="97"/>
              </w:rPr>
              <w:t>Exemptions from the Listing Standards for Audit Committees</w:t>
            </w:r>
          </w:p>
        </w:tc>
        <w:tc>
          <w:tcPr>
            <w:tcW w:w="4360" w:type="dxa"/>
            <w:vAlign w:val="bottom"/>
            <w:gridSpan w:val="3"/>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172</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16E.</w:t>
            </w:r>
          </w:p>
        </w:tc>
        <w:tc>
          <w:tcPr>
            <w:tcW w:w="55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9"/>
                <w:szCs w:val="19"/>
                <w:b w:val="1"/>
                <w:bCs w:val="1"/>
                <w:color w:val="0000EE"/>
                <w:w w:val="97"/>
              </w:rPr>
              <w:t>Purchases of Equity Securities by the Issuer and Affiliated Purchasers</w:t>
            </w:r>
          </w:p>
        </w:tc>
        <w:tc>
          <w:tcPr>
            <w:tcW w:w="3720" w:type="dxa"/>
            <w:vAlign w:val="bottom"/>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172</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16F.</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FF"/>
              </w:rPr>
              <w:t>Change in Registrant’s Certifying Accountant</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172</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16G.</w:t>
            </w:r>
          </w:p>
        </w:tc>
        <w:tc>
          <w:tcPr>
            <w:tcW w:w="1880" w:type="dxa"/>
            <w:vAlign w:val="bottom"/>
            <w:tcBorders>
              <w:top w:val="single" w:sz="8" w:color="0000FF"/>
              <w:bottom w:val="single" w:sz="8" w:color="0000EE"/>
            </w:tcBorders>
            <w:gridSpan w:val="12"/>
          </w:tcPr>
          <w:p>
            <w:pPr>
              <w:spacing w:after="0"/>
              <w:rPr>
                <w:sz w:val="20"/>
                <w:szCs w:val="20"/>
                <w:color w:val="auto"/>
              </w:rPr>
            </w:pPr>
            <w:r>
              <w:rPr>
                <w:rFonts w:ascii="Times New Roman" w:cs="Times New Roman" w:eastAsia="Times New Roman" w:hAnsi="Times New Roman"/>
                <w:sz w:val="19"/>
                <w:szCs w:val="19"/>
                <w:b w:val="1"/>
                <w:bCs w:val="1"/>
                <w:color w:val="0000EE"/>
                <w:w w:val="98"/>
              </w:rPr>
              <w:t>Corporate Governance</w:t>
            </w:r>
          </w:p>
        </w:tc>
        <w:tc>
          <w:tcPr>
            <w:tcW w:w="1760" w:type="dxa"/>
            <w:vAlign w:val="bottom"/>
            <w:tcBorders>
              <w:top w:val="single" w:sz="8" w:color="0000FF"/>
            </w:tcBorders>
            <w:gridSpan w:val="8"/>
          </w:tcPr>
          <w:p>
            <w:pPr>
              <w:spacing w:after="0"/>
              <w:rPr>
                <w:sz w:val="22"/>
                <w:szCs w:val="22"/>
                <w:color w:val="auto"/>
              </w:rPr>
            </w:pPr>
          </w:p>
        </w:tc>
        <w:tc>
          <w:tcPr>
            <w:tcW w:w="5640" w:type="dxa"/>
            <w:vAlign w:val="bottom"/>
            <w:gridSpan w:val="8"/>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173</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16H.</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EE"/>
              </w:rPr>
              <w:t>Mine Safety 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173</w:t>
            </w:r>
          </w:p>
        </w:tc>
      </w:tr>
      <w:tr>
        <w:trPr>
          <w:trHeight w:val="20"/>
        </w:trPr>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00" w:type="dxa"/>
            <w:vAlign w:val="bottom"/>
            <w:gridSpan w:val="13"/>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16I.</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FF"/>
              </w:rPr>
              <w:t>Disclosure Regarding Foreign Jurisdictions that Prevent Inspections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173</w:t>
            </w:r>
          </w:p>
        </w:tc>
      </w:tr>
      <w:tr>
        <w:trPr>
          <w:trHeight w:val="27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16J.</w:t>
            </w:r>
          </w:p>
        </w:tc>
        <w:tc>
          <w:tcPr>
            <w:tcW w:w="19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9"/>
                <w:szCs w:val="19"/>
                <w:b w:val="1"/>
                <w:bCs w:val="1"/>
                <w:color w:val="0000FF"/>
                <w:w w:val="96"/>
              </w:rPr>
              <w:t>Insider Trading Policies</w:t>
            </w:r>
          </w:p>
        </w:tc>
        <w:tc>
          <w:tcPr>
            <w:tcW w:w="3500" w:type="dxa"/>
            <w:vAlign w:val="bottom"/>
            <w:tcBorders>
              <w:top w:val="single" w:sz="8" w:color="0000FF"/>
            </w:tcBorders>
            <w:gridSpan w:val="13"/>
          </w:tcPr>
          <w:p>
            <w:pPr>
              <w:spacing w:after="0"/>
              <w:rPr>
                <w:sz w:val="24"/>
                <w:szCs w:val="24"/>
                <w:color w:val="auto"/>
              </w:rPr>
            </w:pPr>
          </w:p>
        </w:tc>
        <w:tc>
          <w:tcPr>
            <w:tcW w:w="3880" w:type="dxa"/>
            <w:vAlign w:val="bottom"/>
            <w:gridSpan w:val="2"/>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173</w:t>
            </w:r>
          </w:p>
        </w:tc>
      </w:tr>
      <w:tr>
        <w:trPr>
          <w:trHeight w:val="23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16K.</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EE"/>
              </w:rPr>
              <w:t>Cybersecurity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174</w:t>
            </w:r>
          </w:p>
        </w:tc>
      </w:tr>
      <w:tr>
        <w:trPr>
          <w:trHeight w:val="512"/>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0000FF"/>
              </w:rPr>
              <w:t>PART III</w:t>
            </w: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512"/>
        </w:trPr>
        <w:tc>
          <w:tcPr>
            <w:tcW w:w="7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Item 17.</w:t>
            </w:r>
          </w:p>
        </w:tc>
        <w:tc>
          <w:tcPr>
            <w:tcW w:w="760" w:type="dxa"/>
            <w:vAlign w:val="bottom"/>
          </w:tcPr>
          <w:p>
            <w:pPr>
              <w:spacing w:after="0"/>
              <w:rPr>
                <w:sz w:val="24"/>
                <w:szCs w:val="24"/>
                <w:color w:val="auto"/>
              </w:rPr>
            </w:pPr>
          </w:p>
        </w:tc>
        <w:tc>
          <w:tcPr>
            <w:tcW w:w="1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b w:val="1"/>
                <w:bCs w:val="1"/>
                <w:color w:val="0000FF"/>
                <w:w w:val="98"/>
              </w:rPr>
              <w:t>Financial Statements</w:t>
            </w:r>
          </w:p>
        </w:tc>
        <w:tc>
          <w:tcPr>
            <w:tcW w:w="7580" w:type="dxa"/>
            <w:vAlign w:val="bottom"/>
            <w:gridSpan w:val="20"/>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176</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18.</w:t>
            </w:r>
          </w:p>
        </w:tc>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9"/>
                <w:szCs w:val="19"/>
                <w:b w:val="1"/>
                <w:bCs w:val="1"/>
                <w:color w:val="0000EE"/>
                <w:w w:val="97"/>
              </w:rPr>
              <w:t>Financial Statements</w:t>
            </w:r>
          </w:p>
        </w:tc>
        <w:tc>
          <w:tcPr>
            <w:tcW w:w="7600" w:type="dxa"/>
            <w:vAlign w:val="bottom"/>
            <w:gridSpan w:val="21"/>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1"/>
              </w:rPr>
              <w:t>176</w:t>
            </w:r>
          </w:p>
        </w:tc>
      </w:tr>
      <w:tr>
        <w:trPr>
          <w:trHeight w:val="259"/>
        </w:trPr>
        <w:tc>
          <w:tcPr>
            <w:tcW w:w="15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Item 19.</w:t>
            </w:r>
          </w:p>
        </w:tc>
        <w:tc>
          <w:tcPr>
            <w:tcW w:w="9280" w:type="dxa"/>
            <w:vAlign w:val="bottom"/>
            <w:gridSpan w:val="28"/>
          </w:tcPr>
          <w:p>
            <w:pPr>
              <w:spacing w:after="0"/>
              <w:rPr>
                <w:sz w:val="20"/>
                <w:szCs w:val="20"/>
                <w:color w:val="auto"/>
              </w:rPr>
            </w:pPr>
            <w:r>
              <w:rPr>
                <w:rFonts w:ascii="Times New Roman" w:cs="Times New Roman" w:eastAsia="Times New Roman" w:hAnsi="Times New Roman"/>
                <w:sz w:val="19"/>
                <w:szCs w:val="19"/>
                <w:b w:val="1"/>
                <w:bCs w:val="1"/>
                <w:color w:val="0000EE"/>
              </w:rPr>
              <w:t>Exhibits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177</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40" w:top="13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73660</wp:posOffset>
            </wp:positionV>
            <wp:extent cx="716597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060"/>
          </w:cols>
          <w:pgMar w:left="340" w:top="1365" w:right="499" w:bottom="1440" w:gutter="0" w:footer="0" w:header="0"/>
          <w:type w:val="continuous"/>
        </w:sectPr>
      </w:pPr>
    </w:p>
    <w:bookmarkStart w:id="5" w:name="page6"/>
    <w:bookmarkEnd w:id="5"/>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36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auto"/>
        </w:rPr>
        <w:t>Unless the context requires otherwise, references in this Annual Report on Form 20-F to the “Company,” “Molecular Partners,” “we,” “us” and “our” refer to Molecular Partners AG and its wholly-owned subsidiary.</w:t>
      </w:r>
    </w:p>
    <w:p>
      <w:pPr>
        <w:spacing w:after="0" w:line="8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9"/>
          <w:szCs w:val="19"/>
          <w:color w:val="auto"/>
        </w:rPr>
        <w:t>We own trademark registrations for “Molecular Partners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and “DARPin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in Switzerland, the European Union, the United States and Japan. All other trade names, trademarks and service marks of other companies appearing in this Annual Report on Form 20-F are the property of their respective holders. Solely for convenience, the trademarks and trade names in this Annual Report on Form 20-F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91"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19"/>
          <w:szCs w:val="19"/>
          <w:color w:val="auto"/>
        </w:rPr>
        <w:t xml:space="preserve">We present our consolidated financial statements in CHF and in accordance with </w:t>
      </w:r>
      <w:r>
        <w:rPr>
          <w:rFonts w:ascii="Times New Roman" w:cs="Times New Roman" w:eastAsia="Times New Roman" w:hAnsi="Times New Roman"/>
          <w:sz w:val="16"/>
          <w:szCs w:val="16"/>
          <w:color w:val="auto"/>
        </w:rPr>
        <w:t>IFRS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6"/>
          <w:szCs w:val="16"/>
          <w:color w:val="auto"/>
        </w:rPr>
        <w:t>Accounting Standards (</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IFRS</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 as issued by the International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6"/>
          <w:szCs w:val="16"/>
          <w:color w:val="auto"/>
        </w:rPr>
        <w:t>Accounting and Standards Board</w:t>
      </w:r>
      <w:r>
        <w:rPr>
          <w:rFonts w:ascii="Times New Roman" w:cs="Times New Roman" w:eastAsia="Times New Roman" w:hAnsi="Times New Roman"/>
          <w:sz w:val="18"/>
          <w:szCs w:val="18"/>
          <w:color w:val="auto"/>
        </w:rPr>
        <w:t>. None of the financial statements were prepared in accordance with generally accepted accounting principles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United States.</w:t>
      </w:r>
    </w:p>
    <w:p>
      <w:pPr>
        <w:spacing w:after="0" w:line="16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9"/>
          <w:szCs w:val="19"/>
          <w:color w:val="auto"/>
        </w:rPr>
        <w:t>The terms “dollar,” “USD” or “$” refer to U.S. dollars and the terms “Swiss Francs” or “CHF” refer to the legal currency of Switzerland. Unless otherwise indicated, all references to currency amounts in this Annual Report on Form 20-F are in U.S. dollars.</w:t>
      </w:r>
    </w:p>
    <w:p>
      <w:pPr>
        <w:spacing w:after="0" w:line="1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9"/>
          <w:szCs w:val="19"/>
          <w:color w:val="auto"/>
        </w:rPr>
        <w:t>We have made rounding adjustments to some of the figures included in this Annual Report on Form 20-F. Accordingly, numerical figures shown as totals in some tables may not be an arithmetic aggregation of the figures that preceded them.</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SPECIAL NOTE REGARDING FORWARD-LOOKING STATEMENTS</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All statements other than present and historical facts and conditions contained in this Annual Report on Form 20-F, including statements regarding our future results of operations and financial positions, business strategy, plans and our objectives for future operations, are forward-looking statements. When used in this Annual Report on Form 20-F, the words “anticipate,” “believe,” “can,” “could,” “estimate,” “expect,” “intend,” “designed,” “may,” “might,” “plan,” “potential,” “predict,” “objective,” “should,” or the negative of these and similar expressions identify forward-looking statements. Forward-looking statements include, but are not limited to, statements about:</w:t>
      </w:r>
    </w:p>
    <w:p>
      <w:pPr>
        <w:spacing w:after="0" w:line="91" w:lineRule="exact"/>
        <w:rPr>
          <w:sz w:val="20"/>
          <w:szCs w:val="20"/>
          <w:color w:val="auto"/>
        </w:rPr>
      </w:pPr>
    </w:p>
    <w:p>
      <w:pPr>
        <w:ind w:left="300" w:hanging="299"/>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initiation, timing, progress and results of our clinical trials and preclinical studies, and our research and development programs;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advance product candidates into, and successfully complete, clinical trials;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timing of regulatory filings and the likelihood of favorable regulatory outcomes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regulatory treatment of our product candidates;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regulatory developments in the European Union, United States and other countries;</w:t>
      </w:r>
    </w:p>
    <w:p>
      <w:pPr>
        <w:spacing w:after="0" w:line="14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commercialization of our product candidates, if and once approved;</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pricing and reimbursement of our product candidates, if and once approved;</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contract on commercially reasonable terms with third-party suppliers and manufacturers;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implementation of our business model and strategy and the development of our product candidates and platforms;</w:t>
      </w:r>
    </w:p>
    <w:p>
      <w:pPr>
        <w:spacing w:after="0" w:line="148" w:lineRule="exact"/>
        <w:rPr>
          <w:rFonts w:ascii="Times New Roman" w:cs="Times New Roman" w:eastAsia="Times New Roman" w:hAnsi="Times New Roman"/>
          <w:sz w:val="17"/>
          <w:szCs w:val="17"/>
          <w:color w:val="auto"/>
        </w:rPr>
      </w:pPr>
    </w:p>
    <w:p>
      <w:pPr>
        <w:ind w:left="300" w:hanging="299"/>
        <w:spacing w:after="0" w:line="261" w:lineRule="auto"/>
        <w:tabs>
          <w:tab w:leader="none" w:pos="2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scope of protection we are able to establish, obtain and maintain for intellectual property rights covering our product candidates and technology and our ability to protect and enforce such rights;</w:t>
      </w:r>
    </w:p>
    <w:p>
      <w:pPr>
        <w:spacing w:after="0" w:line="94"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operate our business without infringing on, misappropriating or otherwise violating the intellectual property rights of others;</w:t>
      </w:r>
    </w:p>
    <w:p>
      <w:pPr>
        <w:spacing w:after="0" w:line="14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ability of third parties with whom we contract to successfully conduct, supervise and monitor clinical trials for our product candidates;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estimates of our expenses, future revenues, earnings, capital requirements and our needs for additional financing;</w:t>
      </w:r>
    </w:p>
    <w:p>
      <w:pPr>
        <w:spacing w:after="0" w:line="14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8"/>
          <w:szCs w:val="18"/>
          <w:color w:val="auto"/>
        </w:rPr>
        <w:t>he timing and amount of milestone and royalty payments that we may receive under our strategic collaboration agreements;</w:t>
      </w:r>
    </w:p>
    <w:p>
      <w:pPr>
        <w:spacing w:after="0" w:line="124" w:lineRule="exact"/>
        <w:rPr>
          <w:rFonts w:ascii="Arial" w:cs="Arial" w:eastAsia="Arial" w:hAnsi="Arial"/>
          <w:sz w:val="20"/>
          <w:szCs w:val="20"/>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obtain additional funding for our operations;</w:t>
      </w:r>
    </w:p>
    <w:p>
      <w:pPr>
        <w:spacing w:after="0" w:line="123"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potential benefits of our strategic collaboration agreements and our ability to enter into future strategic arrangements;</w:t>
      </w:r>
    </w:p>
    <w:p>
      <w:pPr>
        <w:spacing w:after="0" w:line="14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maintain and establish collaborations or obtain additional funding;</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rate and degree of market acceptance of, and pricing for, our product candidates;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financial performance;</w:t>
      </w:r>
    </w:p>
    <w:p>
      <w:pPr>
        <w:spacing w:after="0" w:line="136" w:lineRule="exact"/>
        <w:rPr>
          <w:rFonts w:ascii="Times New Roman" w:cs="Times New Roman" w:eastAsia="Times New Roman" w:hAnsi="Times New Roman"/>
          <w:sz w:val="17"/>
          <w:szCs w:val="17"/>
          <w:color w:val="auto"/>
        </w:rPr>
      </w:pPr>
    </w:p>
    <w:p>
      <w:pPr>
        <w:jc w:val="both"/>
        <w:ind w:left="300" w:right="220" w:hanging="299"/>
        <w:spacing w:after="0" w:line="242" w:lineRule="auto"/>
        <w:tabs>
          <w:tab w:leader="none" w:pos="28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macro-economic factors, including inflation, the U.S Federal Reserve and other financial regulatory agencies raising interest rates, political conditions, changes in trade policies and geopolitical conflicts in Europe and the Middle East on our business, operations and prospects and on our clinical trials;</w:t>
      </w:r>
    </w:p>
    <w:p>
      <w:pPr>
        <w:spacing w:after="0" w:line="200"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attract and retain key scientific and management personnel;</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developments relating to our competitors and our industry, including competing therapies;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future trading price of the ADSs and impact of securities analysts reports on these prices; and</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other risks and uncertainties, including those listed under the caption “Risk Factors.”</w:t>
      </w:r>
    </w:p>
    <w:p>
      <w:pPr>
        <w:spacing w:after="0" w:line="21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9"/>
          <w:szCs w:val="19"/>
          <w:color w:val="auto"/>
        </w:rPr>
        <w:t>You should refer to the section of this Annual Report on Form 20-F titled “Item 3.D-Risk Factors” for a discussion of important factors that may cause our actual results to differ materially from those expressed or implied by our forward-looking statements. As a result of these factors, we cannot assure you that the forward-looking statements in this Annual Report on Form 20-F will prove to be accurate. Furthermore,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 w:name="page8"/>
    <w:bookmarkEnd w:id="7"/>
    <w:p>
      <w:pPr>
        <w:spacing w:after="0" w:line="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6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You should read this Annual Report on Form 20-F and the documents that we reference in this Annual Report on Form 20-F and have filed as exhibits to this Annual Report on Form 20-F completely and with the understanding that our actual future results may be materially different from what we expect. We qualify all of our forward-looking statements by these cautionary statements.</w:t>
      </w:r>
    </w:p>
    <w:p>
      <w:pPr>
        <w:spacing w:after="0" w:line="15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9"/>
          <w:szCs w:val="19"/>
          <w:color w:val="auto"/>
        </w:rPr>
        <w:t>In addition, statements that “we believe” and similar statements reflect our beliefs and opinions on the relevant subject. These statements are based upon information available to us as of the date of this Annual Report on Form 20-F,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5"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19"/>
          <w:szCs w:val="19"/>
          <w:color w:val="auto"/>
        </w:rPr>
        <w:t>This Annual Report on Form 20-F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on Form 20-F is generally reliable, such information is inherently imprecise.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SUMMARY OF RISK FACTORS</w:t>
      </w:r>
    </w:p>
    <w:p>
      <w:pPr>
        <w:spacing w:after="0" w:line="14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Our business faces significant risks. If any of the following risks are realized, our business, financial condition and results of operations could be materially and adversely affected. You should carefully review and consider the full discussion of our risk factors set forth under the caption “Risk Factors” in Item 3.D. in Part I of this Annual Report on Form 20-F. An investment in our ADSs involves a high degree of risk. Any of the factors set forth under “Risk Factors” may limit our ability to successfully execute our business strategy. You should carefully consider all of the information set forth in this Annual Report on Form 20-F and, in particular, should evaluate the specific factors set forth under “Risk Factors” in deciding whether to invest in our securities. Among these risks are the following:</w:t>
      </w:r>
    </w:p>
    <w:p>
      <w:pPr>
        <w:spacing w:after="0" w:line="134" w:lineRule="exact"/>
        <w:rPr>
          <w:sz w:val="20"/>
          <w:szCs w:val="20"/>
          <w:color w:val="auto"/>
        </w:rPr>
      </w:pPr>
    </w:p>
    <w:p>
      <w:pPr>
        <w:ind w:left="300" w:right="280" w:hanging="299"/>
        <w:spacing w:after="0" w:line="249" w:lineRule="auto"/>
        <w:tabs>
          <w:tab w:leader="none" w:pos="295" w:val="left"/>
        </w:tabs>
        <w:numPr>
          <w:ilvl w:val="0"/>
          <w:numId w:val="9"/>
        </w:numPr>
        <w:rPr>
          <w:rFonts w:ascii="Arial" w:cs="Arial" w:eastAsia="Arial" w:hAnsi="Arial"/>
          <w:sz w:val="20"/>
          <w:szCs w:val="20"/>
          <w:color w:val="auto"/>
        </w:rPr>
      </w:pPr>
      <w:r>
        <w:rPr>
          <w:rFonts w:ascii="Times New Roman" w:cs="Times New Roman" w:eastAsia="Times New Roman" w:hAnsi="Times New Roman"/>
          <w:sz w:val="19"/>
          <w:szCs w:val="19"/>
          <w:color w:val="auto"/>
        </w:rPr>
        <w:t>We have incurred significant losses since our inception, we expect to incur losses in future periods and may not achieve profitability in the upcoming years.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7" w:lineRule="exact"/>
        <w:rPr>
          <w:rFonts w:ascii="Arial" w:cs="Arial" w:eastAsia="Arial" w:hAnsi="Arial"/>
          <w:sz w:val="20"/>
          <w:szCs w:val="20"/>
          <w:color w:val="auto"/>
        </w:rPr>
      </w:pPr>
    </w:p>
    <w:p>
      <w:pPr>
        <w:jc w:val="both"/>
        <w:ind w:left="300" w:right="360" w:hanging="299"/>
        <w:spacing w:after="0" w:line="304" w:lineRule="auto"/>
        <w:tabs>
          <w:tab w:leader="none" w:pos="2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8" w:lineRule="exact"/>
        <w:rPr>
          <w:rFonts w:ascii="Times New Roman" w:cs="Times New Roman" w:eastAsia="Times New Roman" w:hAnsi="Times New Roman"/>
          <w:sz w:val="18"/>
          <w:szCs w:val="18"/>
          <w:color w:val="auto"/>
        </w:rPr>
      </w:pPr>
    </w:p>
    <w:p>
      <w:pPr>
        <w:ind w:left="300" w:hanging="299"/>
        <w:spacing w:after="0" w:line="246" w:lineRule="auto"/>
        <w:tabs>
          <w:tab w:leader="none" w:pos="289"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Raising additional capital may cause dilution to holders of our ordinary shares or ADSs, and an inability to raise capital may restrict our operations or require us to relinquish rights to our technologies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23" w:lineRule="exact"/>
        <w:rPr>
          <w:sz w:val="20"/>
          <w:szCs w:val="20"/>
          <w:color w:val="auto"/>
        </w:rPr>
      </w:pPr>
    </w:p>
    <w:p>
      <w:pPr>
        <w:ind w:left="299" w:right="40" w:hanging="299"/>
        <w:spacing w:after="0" w:line="242" w:lineRule="auto"/>
        <w:tabs>
          <w:tab w:leader="none" w:pos="28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heavily dependent on the success of our DARPin platform to identify and develop product candidates. If we or our collaborators are unable to successfully develop and commercialize product candidates based on our platform or experience significant delays in doing so, our business may be harmed.</w:t>
      </w:r>
    </w:p>
    <w:p>
      <w:pPr>
        <w:spacing w:after="0" w:line="98" w:lineRule="exact"/>
        <w:rPr>
          <w:rFonts w:ascii="Times New Roman" w:cs="Times New Roman" w:eastAsia="Times New Roman" w:hAnsi="Times New Roman"/>
          <w:sz w:val="19"/>
          <w:szCs w:val="19"/>
          <w:color w:val="auto"/>
        </w:rPr>
      </w:pPr>
    </w:p>
    <w:p>
      <w:pPr>
        <w:ind w:left="299" w:right="200" w:hanging="299"/>
        <w:spacing w:after="0" w:line="249" w:lineRule="auto"/>
        <w:tabs>
          <w:tab w:leader="none" w:pos="28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MP0533, MP0317 and MP0712 and product candidates that we have licensed to our partners,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209" w:lineRule="exact"/>
        <w:rPr>
          <w:rFonts w:ascii="Times New Roman" w:cs="Times New Roman" w:eastAsia="Times New Roman" w:hAnsi="Times New Roman"/>
          <w:sz w:val="19"/>
          <w:szCs w:val="19"/>
          <w:color w:val="auto"/>
        </w:rPr>
      </w:pPr>
    </w:p>
    <w:p>
      <w:pPr>
        <w:ind w:left="299" w:right="160" w:hanging="299"/>
        <w:spacing w:after="0" w:line="256"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98" w:lineRule="exact"/>
        <w:rPr>
          <w:rFonts w:ascii="Times New Roman" w:cs="Times New Roman" w:eastAsia="Times New Roman" w:hAnsi="Times New Roman"/>
          <w:sz w:val="17"/>
          <w:szCs w:val="17"/>
          <w:color w:val="auto"/>
        </w:rPr>
      </w:pPr>
    </w:p>
    <w:p>
      <w:pPr>
        <w:ind w:left="299" w:hanging="299"/>
        <w:spacing w:after="0" w:line="254"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and commercialize our product candidates.</w:t>
      </w:r>
    </w:p>
    <w:p>
      <w:pPr>
        <w:spacing w:after="0" w:line="100" w:lineRule="exact"/>
        <w:rPr>
          <w:rFonts w:ascii="Times New Roman" w:cs="Times New Roman" w:eastAsia="Times New Roman" w:hAnsi="Times New Roman"/>
          <w:sz w:val="17"/>
          <w:szCs w:val="17"/>
          <w:color w:val="auto"/>
        </w:rPr>
      </w:pPr>
    </w:p>
    <w:p>
      <w:pPr>
        <w:ind w:left="299" w:right="240" w:hanging="299"/>
        <w:spacing w:after="0" w:line="275" w:lineRule="auto"/>
        <w:tabs>
          <w:tab w:leader="none" w:pos="28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83" w:lineRule="exact"/>
        <w:rPr>
          <w:rFonts w:ascii="Times New Roman" w:cs="Times New Roman" w:eastAsia="Times New Roman" w:hAnsi="Times New Roman"/>
          <w:sz w:val="19"/>
          <w:szCs w:val="19"/>
          <w:color w:val="auto"/>
        </w:rPr>
      </w:pPr>
    </w:p>
    <w:p>
      <w:pPr>
        <w:ind w:left="299" w:right="60" w:hanging="299"/>
        <w:spacing w:after="0" w:line="261" w:lineRule="auto"/>
        <w:tabs>
          <w:tab w:leader="none" w:pos="28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the number of patients in certain of our clinical trials may be small, the results from such trials may be less reliable than results achieve in larger clinical trials.</w:t>
      </w:r>
    </w:p>
    <w:p>
      <w:pPr>
        <w:spacing w:after="0" w:line="195" w:lineRule="exact"/>
        <w:rPr>
          <w:rFonts w:ascii="Times New Roman" w:cs="Times New Roman" w:eastAsia="Times New Roman" w:hAnsi="Times New Roman"/>
          <w:sz w:val="19"/>
          <w:szCs w:val="19"/>
          <w:color w:val="auto"/>
        </w:rPr>
      </w:pPr>
    </w:p>
    <w:p>
      <w:pPr>
        <w:ind w:left="299" w:right="200" w:hanging="299"/>
        <w:spacing w:after="0" w:line="261"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If any of our product candidates has negative side effects, public perception of our DARPin platform and commercial opportunities for all of our current and future product candidates could be adversely affected.</w:t>
      </w:r>
    </w:p>
    <w:p>
      <w:pPr>
        <w:spacing w:after="0" w:line="107" w:lineRule="exact"/>
        <w:rPr>
          <w:rFonts w:ascii="Times New Roman" w:cs="Times New Roman" w:eastAsia="Times New Roman" w:hAnsi="Times New Roman"/>
          <w:sz w:val="17"/>
          <w:szCs w:val="17"/>
          <w:color w:val="auto"/>
        </w:rPr>
      </w:pPr>
    </w:p>
    <w:p>
      <w:pPr>
        <w:ind w:left="299" w:right="960" w:hanging="299"/>
        <w:spacing w:after="0" w:line="261"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We face significant competition for our drug discovery and development efforts, and if we do not compete effectively, our commercial opportunities will be reduced or eliminated.</w:t>
      </w:r>
    </w:p>
    <w:p>
      <w:pPr>
        <w:spacing w:after="0" w:line="94" w:lineRule="exact"/>
        <w:rPr>
          <w:rFonts w:ascii="Times New Roman" w:cs="Times New Roman" w:eastAsia="Times New Roman" w:hAnsi="Times New Roman"/>
          <w:sz w:val="17"/>
          <w:szCs w:val="17"/>
          <w:color w:val="auto"/>
        </w:rPr>
      </w:pPr>
    </w:p>
    <w:p>
      <w:pPr>
        <w:ind w:left="299" w:right="120" w:hanging="299"/>
        <w:spacing w:after="0" w:line="253" w:lineRule="auto"/>
        <w:tabs>
          <w:tab w:leader="none" w:pos="28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financial prospects are dependent upon the research, manufacture, development and marketing efforts of our licensees. Our licensees may act in their best interest rather than in our best interest, which could materially adversely affect our business, financial condition and results of operations.</w:t>
      </w:r>
    </w:p>
    <w:p>
      <w:pPr>
        <w:ind w:left="299" w:right="420" w:hanging="299"/>
        <w:spacing w:after="0" w:line="245"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121" w:lineRule="exact"/>
        <w:rPr>
          <w:rFonts w:ascii="Times New Roman" w:cs="Times New Roman" w:eastAsia="Times New Roman" w:hAnsi="Times New Roman"/>
          <w:sz w:val="17"/>
          <w:szCs w:val="17"/>
          <w:color w:val="auto"/>
        </w:rPr>
      </w:pPr>
    </w:p>
    <w:p>
      <w:pPr>
        <w:jc w:val="both"/>
        <w:ind w:left="299" w:right="400" w:hanging="299"/>
        <w:spacing w:after="0" w:line="256" w:lineRule="auto"/>
        <w:tabs>
          <w:tab w:leader="none" w:pos="29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659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39"/>
          </w:cols>
          <w:pgMar w:left="321" w:top="1440" w:right="339" w:bottom="1440" w:gutter="0" w:footer="0" w:header="0"/>
        </w:sectPr>
      </w:pPr>
    </w:p>
    <w:bookmarkStart w:id="9" w:name="page10"/>
    <w:bookmarkEnd w:id="9"/>
    <w:p>
      <w:pPr>
        <w:ind w:left="300" w:right="220"/>
        <w:spacing w:after="0" w:line="275" w:lineRule="auto"/>
        <w:rPr>
          <w:sz w:val="20"/>
          <w:szCs w:val="20"/>
          <w:color w:val="auto"/>
        </w:rPr>
      </w:pPr>
      <w:r>
        <w:rPr>
          <w:rFonts w:ascii="Times New Roman" w:cs="Times New Roman" w:eastAsia="Times New Roman" w:hAnsi="Times New Roman"/>
          <w:sz w:val="19"/>
          <w:szCs w:val="19"/>
          <w:color w:val="auto"/>
        </w:rPr>
        <w:t>could cause us to spend substantial resources and distract our personnel from their normal responsibilities and negative outcomes could result in adverse effects on our business.</w:t>
      </w:r>
    </w:p>
    <w:p>
      <w:pPr>
        <w:spacing w:after="0" w:line="82" w:lineRule="exact"/>
        <w:rPr>
          <w:sz w:val="20"/>
          <w:szCs w:val="20"/>
          <w:color w:val="auto"/>
        </w:rPr>
      </w:pPr>
    </w:p>
    <w:p>
      <w:pPr>
        <w:ind w:left="300" w:hanging="299"/>
        <w:spacing w:after="0" w:line="261" w:lineRule="auto"/>
        <w:tabs>
          <w:tab w:leader="none" w:pos="2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base patents relating to the DARPin base technology we use to generate our DARPin product candidates has expired, and our competitors may use the technology claimed in such patents, which may materially adversely affect our business and competitive position.</w:t>
      </w:r>
    </w:p>
    <w:p>
      <w:pPr>
        <w:spacing w:after="0" w:line="195" w:lineRule="exact"/>
        <w:rPr>
          <w:rFonts w:ascii="Times New Roman" w:cs="Times New Roman" w:eastAsia="Times New Roman" w:hAnsi="Times New Roman"/>
          <w:sz w:val="19"/>
          <w:szCs w:val="19"/>
          <w:color w:val="auto"/>
        </w:rPr>
      </w:pPr>
    </w:p>
    <w:p>
      <w:pPr>
        <w:ind w:left="300" w:right="220" w:hanging="299"/>
        <w:spacing w:after="0" w:line="275" w:lineRule="auto"/>
        <w:tabs>
          <w:tab w:leader="none" w:pos="28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significant shareholders own a substantial number of our securities and as a result, may be able to exercise significant influence over the outcome of shareholder votes. These shareholders may have different interests from us or your interests.</w:t>
      </w:r>
    </w:p>
    <w:p>
      <w:pPr>
        <w:spacing w:after="0" w:line="170" w:lineRule="exact"/>
        <w:rPr>
          <w:rFonts w:ascii="Times New Roman" w:cs="Times New Roman" w:eastAsia="Times New Roman" w:hAnsi="Times New Roman"/>
          <w:sz w:val="19"/>
          <w:szCs w:val="19"/>
          <w:color w:val="auto"/>
        </w:rPr>
      </w:pPr>
    </w:p>
    <w:p>
      <w:pPr>
        <w:ind w:left="300" w:right="340" w:hanging="299"/>
        <w:spacing w:after="0" w:line="276" w:lineRule="auto"/>
        <w:tabs>
          <w:tab w:leader="none" w:pos="2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those of certain third parties, and any failure of these systems could harm our business. Security incidents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Identity of Directors, Senior Management and Advisers.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Offer Statistics and Expected Timetable.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Key Information.</w:t>
      </w:r>
    </w:p>
    <w:p>
      <w:pPr>
        <w:spacing w:after="0" w:line="313" w:lineRule="exact"/>
        <w:rPr>
          <w:sz w:val="20"/>
          <w:szCs w:val="20"/>
          <w:color w:val="auto"/>
        </w:rPr>
      </w:pPr>
    </w:p>
    <w:p>
      <w:pPr>
        <w:ind w:left="220" w:hanging="219"/>
        <w:spacing w:after="0"/>
        <w:tabs>
          <w:tab w:leader="none" w:pos="22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[Reserved]</w:t>
      </w:r>
    </w:p>
    <w:p>
      <w:pPr>
        <w:spacing w:after="0" w:line="313" w:lineRule="exact"/>
        <w:rPr>
          <w:rFonts w:ascii="Times New Roman" w:cs="Times New Roman" w:eastAsia="Times New Roman" w:hAnsi="Times New Roman"/>
          <w:sz w:val="19"/>
          <w:szCs w:val="19"/>
          <w:b w:val="1"/>
          <w:bCs w:val="1"/>
          <w:color w:val="auto"/>
        </w:rPr>
      </w:pPr>
    </w:p>
    <w:p>
      <w:pPr>
        <w:ind w:left="220" w:hanging="219"/>
        <w:spacing w:after="0"/>
        <w:tabs>
          <w:tab w:leader="none" w:pos="22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Capitalization and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Reasons for the Offer and Use of Proceeds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Risk Factors</w:t>
      </w:r>
    </w:p>
    <w:p>
      <w:pPr>
        <w:spacing w:after="0" w:line="13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9"/>
          <w:szCs w:val="19"/>
          <w:i w:val="1"/>
          <w:iCs w:val="1"/>
          <w:color w:val="auto"/>
        </w:rPr>
        <w:t>Investing in the ADSs involves a high degree of risk. You should carefully consider the risks and uncertainties described below and the other information in this Annual Report on Form 20-F before making an investment decision. Our business, financial condition or results of operations could be adversely affected if any of these risks occurs, and as a result, the market price of the ADSs could decline and you could lose all or part of your investment. This report also contains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 w:name="page11"/>
    <w:bookmarkEnd w:id="10"/>
    <w:p>
      <w:pPr>
        <w:ind w:right="560"/>
        <w:spacing w:after="0" w:line="279" w:lineRule="auto"/>
        <w:rPr>
          <w:sz w:val="20"/>
          <w:szCs w:val="20"/>
          <w:color w:val="auto"/>
        </w:rPr>
      </w:pPr>
      <w:r>
        <w:rPr>
          <w:rFonts w:ascii="Times New Roman" w:cs="Times New Roman" w:eastAsia="Times New Roman" w:hAnsi="Times New Roman"/>
          <w:sz w:val="19"/>
          <w:szCs w:val="19"/>
          <w:i w:val="1"/>
          <w:iCs w:val="1"/>
          <w:color w:val="auto"/>
        </w:rPr>
        <w:t xml:space="preserve">that involve risks and uncertainties.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Special Note Regarding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Our actual results could differ materially and adversely from those anticipated in these forward-looking statements as a result of certain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Financial Position and Need for Additional Capital</w:t>
      </w:r>
    </w:p>
    <w:p>
      <w:pPr>
        <w:spacing w:after="0" w:line="13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have incurred significant losses since our inception, we expect to incur losses in future periods and may not maintain profitability in the upcoming years.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9"/>
          <w:szCs w:val="19"/>
          <w:color w:val="auto"/>
        </w:rPr>
        <w:t>Since our inception, we have incurred significant operating losses, including negative net results, attributable to shareholders. As of December 31, 2024, we had cumulative losses of CHF 246.3 million. For the year ended December 31, 2024, we recorded negative net result, attributable to shareholders of CHF 54.0 million and for the year ended December 31, 2023, we incurred positive net result, attributable to shareholders of CHF 62.0 million.</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Our historical losses resulted principally from costs incurred in research and development, preclinical testing, clinical development of our product candidates as well as costs incurred for research programs and from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may result in incurring losses in future periods. Our losses, among other things, will continue to cause our working capital and shareholders' equity to decrease. We anticipate that our expenses will increase substantially if and as we:</w:t>
      </w:r>
    </w:p>
    <w:p>
      <w:pPr>
        <w:spacing w:after="0" w:line="89" w:lineRule="exact"/>
        <w:rPr>
          <w:sz w:val="20"/>
          <w:szCs w:val="20"/>
          <w:color w:val="auto"/>
        </w:rPr>
      </w:pPr>
    </w:p>
    <w:p>
      <w:pPr>
        <w:ind w:left="300" w:hanging="299"/>
        <w:spacing w:after="0"/>
        <w:tabs>
          <w:tab w:leader="none" w:pos="3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initiate a new clinical trial of MP0317 (in combination with other therapies), one of our product candidates in our oncology program;</w:t>
      </w:r>
    </w:p>
    <w:p>
      <w:pPr>
        <w:spacing w:after="0" w:line="136" w:lineRule="exact"/>
        <w:rPr>
          <w:rFonts w:ascii="Times New Roman" w:cs="Times New Roman" w:eastAsia="Times New Roman" w:hAnsi="Times New Roman"/>
          <w:sz w:val="19"/>
          <w:szCs w:val="19"/>
          <w:color w:val="auto"/>
        </w:rPr>
      </w:pPr>
    </w:p>
    <w:p>
      <w:pPr>
        <w:ind w:left="300" w:hanging="299"/>
        <w:spacing w:after="0" w:line="275" w:lineRule="auto"/>
        <w:tabs>
          <w:tab w:leader="none" w:pos="2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prepare for and complete and potentially expand the Phase 1 clinical trial of MP0533, our CD3 T-cell engaging candidate against acute myeloid leukemia or AML;</w:t>
      </w:r>
    </w:p>
    <w:p>
      <w:pPr>
        <w:spacing w:after="0" w:line="81" w:lineRule="exact"/>
        <w:rPr>
          <w:rFonts w:ascii="Times New Roman" w:cs="Times New Roman" w:eastAsia="Times New Roman" w:hAnsi="Times New Roman"/>
          <w:sz w:val="19"/>
          <w:szCs w:val="19"/>
          <w:color w:val="auto"/>
        </w:rPr>
      </w:pPr>
    </w:p>
    <w:p>
      <w:pPr>
        <w:ind w:left="300" w:right="360" w:hanging="299"/>
        <w:spacing w:after="0" w:line="247" w:lineRule="auto"/>
        <w:tabs>
          <w:tab w:leader="none" w:pos="2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prepare for and potentially initiate a Phase 0 and Phase 1 clinical trial of MP0712, our DLL3 targeting Radio DARPin Therapy, or RDT against small cell lung cancer in collaboration with subsidiaries of Orano SA, or Orano Med.</w:t>
      </w:r>
    </w:p>
    <w:p>
      <w:pPr>
        <w:spacing w:after="0" w:line="120"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seek to enhance our Designed Ankyrin Repeat Protein, or DARPin, technology and build on our proprietary product pipeline;</w:t>
      </w:r>
    </w:p>
    <w:p>
      <w:pPr>
        <w:spacing w:after="0" w:line="137" w:lineRule="exact"/>
        <w:rPr>
          <w:rFonts w:ascii="Times New Roman" w:cs="Times New Roman" w:eastAsia="Times New Roman" w:hAnsi="Times New Roman"/>
          <w:sz w:val="20"/>
          <w:szCs w:val="20"/>
          <w:color w:val="auto"/>
        </w:rPr>
      </w:pPr>
    </w:p>
    <w:p>
      <w:pPr>
        <w:ind w:left="300" w:right="240" w:hanging="299"/>
        <w:spacing w:after="0" w:line="261" w:lineRule="auto"/>
        <w:tabs>
          <w:tab w:leader="none" w:pos="2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activities for MP0712 and other suitable candidates within the Radio DARPin Therapy, or RDT, space, such as the DLL3 program in collaboration with Orano Med;</w:t>
      </w:r>
    </w:p>
    <w:p>
      <w:pPr>
        <w:spacing w:after="0" w:line="94" w:lineRule="exact"/>
        <w:rPr>
          <w:rFonts w:ascii="Times New Roman" w:cs="Times New Roman" w:eastAsia="Times New Roman" w:hAnsi="Times New Roman"/>
          <w:sz w:val="19"/>
          <w:szCs w:val="19"/>
          <w:color w:val="auto"/>
        </w:rPr>
      </w:pPr>
    </w:p>
    <w:p>
      <w:pPr>
        <w:ind w:left="300" w:right="380" w:hanging="299"/>
        <w:spacing w:after="0" w:line="275" w:lineRule="auto"/>
        <w:tabs>
          <w:tab w:leader="none" w:pos="2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the research and development of our other clinical- and preclinical-stage product candidates and discovery stage programs including within the radioligand therapeutic space;</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the research and development of our other product candidates;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 regulatory approvals for any product candidates that successfully complete clinical trials;</w:t>
      </w:r>
    </w:p>
    <w:p>
      <w:pPr>
        <w:spacing w:after="0" w:line="136" w:lineRule="exact"/>
        <w:rPr>
          <w:rFonts w:ascii="Times New Roman" w:cs="Times New Roman" w:eastAsia="Times New Roman" w:hAnsi="Times New Roman"/>
          <w:sz w:val="19"/>
          <w:szCs w:val="19"/>
          <w:color w:val="auto"/>
        </w:rPr>
      </w:pPr>
    </w:p>
    <w:p>
      <w:pPr>
        <w:ind w:left="300" w:right="240" w:hanging="299"/>
        <w:spacing w:after="0" w:line="261" w:lineRule="auto"/>
        <w:tabs>
          <w:tab w:leader="none" w:pos="28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a sales, marketing and distribution infrastructure and scale-up manufacturing capabilities to commercialize any product candidates for which we may obtain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0" w:right="399" w:bottom="1440" w:gutter="0" w:footer="0" w:header="0"/>
        </w:sectPr>
      </w:pPr>
    </w:p>
    <w:bookmarkStart w:id="11" w:name="page12"/>
    <w:bookmarkEnd w:id="11"/>
    <w:p>
      <w:pPr>
        <w:ind w:left="300" w:right="260" w:hanging="299"/>
        <w:spacing w:after="0" w:line="275" w:lineRule="auto"/>
        <w:tabs>
          <w:tab w:leader="none" w:pos="28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maintain, expand, protect and enforce our intellectual property and other proprietary rights and obtain licenses to third-party intellectual property;</w:t>
      </w:r>
    </w:p>
    <w:p>
      <w:pPr>
        <w:spacing w:after="0" w:line="81" w:lineRule="exact"/>
        <w:rPr>
          <w:rFonts w:ascii="Times New Roman" w:cs="Times New Roman" w:eastAsia="Times New Roman" w:hAnsi="Times New Roman"/>
          <w:sz w:val="19"/>
          <w:szCs w:val="19"/>
          <w:color w:val="auto"/>
        </w:rPr>
      </w:pPr>
    </w:p>
    <w:p>
      <w:pPr>
        <w:ind w:left="300" w:right="600" w:hanging="299"/>
        <w:spacing w:after="0" w:line="261" w:lineRule="auto"/>
        <w:tabs>
          <w:tab w:leader="none" w:pos="28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 clinical, regulatory, scientific, operational, financial, legal, intellectual property, compliance and management information systems and personnel, including personnel to support our product development and potential future commercialization efforts; and</w:t>
      </w:r>
    </w:p>
    <w:p>
      <w:pPr>
        <w:spacing w:after="0" w:line="107" w:lineRule="exact"/>
        <w:rPr>
          <w:rFonts w:ascii="Times New Roman" w:cs="Times New Roman" w:eastAsia="Times New Roman" w:hAnsi="Times New Roman"/>
          <w:sz w:val="19"/>
          <w:szCs w:val="19"/>
          <w:color w:val="auto"/>
        </w:rPr>
      </w:pPr>
    </w:p>
    <w:p>
      <w:pPr>
        <w:ind w:left="300" w:right="300" w:hanging="299"/>
        <w:spacing w:after="0" w:line="261" w:lineRule="auto"/>
        <w:tabs>
          <w:tab w:leader="none" w:pos="28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experience any delays or encounter any issues relating to any of the above, including failed studies, ambiguous trial results, safety issues, other regulatory challenges or third party supply or manufacturing issues.</w:t>
      </w:r>
    </w:p>
    <w:p>
      <w:pPr>
        <w:spacing w:after="0" w:line="10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9"/>
          <w:szCs w:val="19"/>
          <w:color w:val="auto"/>
        </w:rPr>
        <w:t>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w:t>
      </w:r>
    </w:p>
    <w:p>
      <w:pPr>
        <w:spacing w:after="0" w:line="9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To become profitable, we must succeed in developing and eventually commercializing products that generate significant revenue. This will require us or our licensees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sustain or increase profitability on a quarterly or annual basis. Our failure to become profitable would decrease the value of our company and could impair our ability to raise capital, maintain our research and development efforts, expand our business or continue our operations.</w:t>
      </w:r>
    </w:p>
    <w:p>
      <w:pPr>
        <w:spacing w:after="0" w:line="1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w:t>
      </w:r>
    </w:p>
    <w:p>
      <w:pPr>
        <w:spacing w:after="0" w:line="92" w:lineRule="exact"/>
        <w:rPr>
          <w:sz w:val="20"/>
          <w:szCs w:val="20"/>
          <w:color w:val="auto"/>
        </w:rPr>
      </w:pPr>
    </w:p>
    <w:p>
      <w:pPr>
        <w:jc w:val="both"/>
        <w:ind w:right="440"/>
        <w:spacing w:after="0" w:line="276" w:lineRule="auto"/>
        <w:rPr>
          <w:sz w:val="20"/>
          <w:szCs w:val="20"/>
          <w:color w:val="auto"/>
        </w:rPr>
      </w:pPr>
      <w:r>
        <w:rPr>
          <w:rFonts w:ascii="Times New Roman" w:cs="Times New Roman" w:eastAsia="Times New Roman" w:hAnsi="Times New Roman"/>
          <w:sz w:val="18"/>
          <w:szCs w:val="18"/>
          <w:color w:val="auto"/>
        </w:rPr>
        <w:t>Even if we do generate product royalties or product sales, we may never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w:t>
      </w:r>
    </w:p>
    <w:p>
      <w:pPr>
        <w:spacing w:after="0" w:line="78" w:lineRule="exact"/>
        <w:rPr>
          <w:sz w:val="20"/>
          <w:szCs w:val="20"/>
          <w:color w:val="auto"/>
        </w:rPr>
      </w:pPr>
    </w:p>
    <w:p>
      <w:pPr>
        <w:jc w:val="both"/>
        <w:ind w:right="300"/>
        <w:spacing w:after="0" w:line="311" w:lineRule="auto"/>
        <w:rPr>
          <w:sz w:val="20"/>
          <w:szCs w:val="20"/>
          <w:color w:val="auto"/>
        </w:rPr>
      </w:pPr>
      <w:r>
        <w:rPr>
          <w:rFonts w:ascii="Times New Roman" w:cs="Times New Roman" w:eastAsia="Times New Roman" w:hAnsi="Times New Roman"/>
          <w:sz w:val="18"/>
          <w:szCs w:val="18"/>
          <w:b w:val="1"/>
          <w:bCs w:val="1"/>
          <w:i w:val="1"/>
          <w:iCs w:val="1"/>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To date, we have funded our operations through public and private placements of equity securities, upfront, milestone, option exercise, reservation fee, expense reimbursement,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 On July 1, 2022, we entered into a sales agreement with Leerink Partners LLC (previously known as SVB Securities LLC), or the Sales Agreement, to sell ordinary shares from time to time at our discretion under an “at the market” program, with aggregate gross sales proceeds of up to $100.0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2" w:name="page13"/>
    <w:bookmarkEnd w:id="12"/>
    <w:p>
      <w:pPr>
        <w:ind w:right="120"/>
        <w:spacing w:after="0" w:line="254" w:lineRule="auto"/>
        <w:rPr>
          <w:sz w:val="20"/>
          <w:szCs w:val="20"/>
          <w:color w:val="auto"/>
        </w:rPr>
      </w:pPr>
      <w:r>
        <w:rPr>
          <w:rFonts w:ascii="Times New Roman" w:cs="Times New Roman" w:eastAsia="Times New Roman" w:hAnsi="Times New Roman"/>
          <w:sz w:val="19"/>
          <w:szCs w:val="19"/>
          <w:color w:val="auto"/>
        </w:rPr>
        <w:t>We expect that our existing cash, cash equivalents, together with anticipated funding through collaborations, will enable us to fund our operating expenses and capital expenditure requirements wel into 2027. We have based this estimate on assumptions that may prove to be wrong, and we could use our capital resources sooner than we currently expect. Our future capital requirements for our product candidates will depend on many factors, including:</w:t>
      </w:r>
    </w:p>
    <w:p>
      <w:pPr>
        <w:spacing w:after="0" w:line="101" w:lineRule="exact"/>
        <w:rPr>
          <w:sz w:val="20"/>
          <w:szCs w:val="20"/>
          <w:color w:val="auto"/>
        </w:rPr>
      </w:pPr>
    </w:p>
    <w:p>
      <w:pPr>
        <w:ind w:left="600" w:hanging="295"/>
        <w:spacing w:after="0"/>
        <w:tabs>
          <w:tab w:leader="none" w:pos="6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progress, timing and completion of preclinical testing and clinical trials for our current or any future product candidates;</w:t>
      </w:r>
    </w:p>
    <w:p>
      <w:pPr>
        <w:spacing w:after="0" w:line="136"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potential new product candidates we identify and decide to develop;</w:t>
      </w:r>
    </w:p>
    <w:p>
      <w:pPr>
        <w:spacing w:after="0" w:line="148" w:lineRule="exact"/>
        <w:rPr>
          <w:rFonts w:ascii="Times New Roman" w:cs="Times New Roman" w:eastAsia="Times New Roman" w:hAnsi="Times New Roman"/>
          <w:sz w:val="19"/>
          <w:szCs w:val="19"/>
          <w:color w:val="auto"/>
        </w:rPr>
      </w:pPr>
    </w:p>
    <w:p>
      <w:pPr>
        <w:ind w:left="600" w:right="240" w:hanging="295"/>
        <w:spacing w:after="0" w:line="261" w:lineRule="auto"/>
        <w:tabs>
          <w:tab w:leader="none" w:pos="58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involved in growing our organization to the size needed to allow for the research, development and potential commercialization of our current or any future product candidates;</w:t>
      </w:r>
    </w:p>
    <w:p>
      <w:pPr>
        <w:spacing w:after="0" w:line="94" w:lineRule="exact"/>
        <w:rPr>
          <w:rFonts w:ascii="Times New Roman" w:cs="Times New Roman" w:eastAsia="Times New Roman" w:hAnsi="Times New Roman"/>
          <w:sz w:val="19"/>
          <w:szCs w:val="19"/>
          <w:color w:val="auto"/>
        </w:rPr>
      </w:pPr>
    </w:p>
    <w:p>
      <w:pPr>
        <w:ind w:left="600" w:hanging="295"/>
        <w:spacing w:after="0" w:line="275" w:lineRule="auto"/>
        <w:tabs>
          <w:tab w:leader="none" w:pos="58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involved in filing patent applications, maintaining and enforcing patents or defending against infringement, misappropriation or other claims raised by third parties;</w:t>
      </w:r>
    </w:p>
    <w:p>
      <w:pPr>
        <w:spacing w:after="0" w:line="81"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maintenance of our existing license and collaboration agreements and the entry into new license and collaboration agreements;</w:t>
      </w:r>
    </w:p>
    <w:p>
      <w:pPr>
        <w:spacing w:after="0" w:line="136" w:lineRule="exact"/>
        <w:rPr>
          <w:rFonts w:ascii="Times New Roman" w:cs="Times New Roman" w:eastAsia="Times New Roman" w:hAnsi="Times New Roman"/>
          <w:sz w:val="19"/>
          <w:szCs w:val="19"/>
          <w:color w:val="auto"/>
        </w:rPr>
      </w:pPr>
    </w:p>
    <w:p>
      <w:pPr>
        <w:ind w:left="600" w:right="580" w:hanging="295"/>
        <w:spacing w:after="0" w:line="275" w:lineRule="auto"/>
        <w:tabs>
          <w:tab w:leader="none" w:pos="58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1" w:lineRule="exact"/>
        <w:rPr>
          <w:rFonts w:ascii="Times New Roman" w:cs="Times New Roman" w:eastAsia="Times New Roman" w:hAnsi="Times New Roman"/>
          <w:sz w:val="19"/>
          <w:szCs w:val="19"/>
          <w:color w:val="auto"/>
        </w:rPr>
      </w:pPr>
    </w:p>
    <w:p>
      <w:pPr>
        <w:ind w:left="600" w:right="20" w:hanging="295"/>
        <w:spacing w:after="0" w:line="275" w:lineRule="auto"/>
        <w:tabs>
          <w:tab w:leader="none" w:pos="58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and marketing activities undertaken in connection with the potential commercialization of our current or any future product candidates, if approved, and costs involved in the creation of an effective sales and marketing organization; and</w:t>
      </w:r>
    </w:p>
    <w:p>
      <w:pPr>
        <w:spacing w:after="0" w:line="81" w:lineRule="exact"/>
        <w:rPr>
          <w:rFonts w:ascii="Times New Roman" w:cs="Times New Roman" w:eastAsia="Times New Roman" w:hAnsi="Times New Roman"/>
          <w:sz w:val="19"/>
          <w:szCs w:val="19"/>
          <w:color w:val="auto"/>
        </w:rPr>
      </w:pPr>
    </w:p>
    <w:p>
      <w:pPr>
        <w:ind w:left="600" w:hanging="295"/>
        <w:spacing w:after="0" w:line="275" w:lineRule="auto"/>
        <w:tabs>
          <w:tab w:leader="none" w:pos="58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revenues, if any, we may derive either directly or in the form of milestone and royalty payments from future sales of our product candidates, if approved.</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w:t>
      </w:r>
    </w:p>
    <w:p>
      <w:pPr>
        <w:spacing w:after="0" w:line="8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b w:val="1"/>
          <w:bCs w:val="1"/>
          <w:i w:val="1"/>
          <w:iCs w:val="1"/>
          <w:color w:val="auto"/>
        </w:rPr>
        <w:t>The effects of health epidemics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7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Our business could be adversely affected by health epidemics in regions where we have concentrations of clinical trial sites or other business operations, and could cause significant disruption in the operations of third party manufacturers and contract research organizations, or CROs, upon whom we rely.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result of a pandemic, we may experience disruptions that could impact our business, preclinical studies and clinical trials, including:</w:t>
      </w:r>
    </w:p>
    <w:p>
      <w:pPr>
        <w:spacing w:after="0" w:line="136" w:lineRule="exact"/>
        <w:rPr>
          <w:sz w:val="20"/>
          <w:szCs w:val="20"/>
          <w:color w:val="auto"/>
        </w:rPr>
      </w:pPr>
    </w:p>
    <w:p>
      <w:pPr>
        <w:ind w:left="300" w:hanging="299"/>
        <w:spacing w:after="0"/>
        <w:tabs>
          <w:tab w:leader="none" w:pos="3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 of submissions to, and approvals of,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3" w:name="page14"/>
    <w:bookmarkEnd w:id="13"/>
    <w:p>
      <w:pPr>
        <w:ind w:left="300" w:right="240" w:hanging="299"/>
        <w:spacing w:after="0" w:line="275" w:lineRule="auto"/>
        <w:tabs>
          <w:tab w:leader="none" w:pos="28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 or delays in the operations of regulatory authorities, which may impact review and approval timelines, including delays in receiving approval from local regulatory authorities to initiate our planned clinical trials;</w:t>
      </w:r>
    </w:p>
    <w:p>
      <w:pPr>
        <w:spacing w:after="0" w:line="81" w:lineRule="exact"/>
        <w:rPr>
          <w:rFonts w:ascii="Times New Roman" w:cs="Times New Roman" w:eastAsia="Times New Roman" w:hAnsi="Times New Roman"/>
          <w:sz w:val="19"/>
          <w:szCs w:val="19"/>
          <w:color w:val="auto"/>
        </w:rPr>
      </w:pPr>
    </w:p>
    <w:p>
      <w:pPr>
        <w:ind w:left="300" w:right="440" w:hanging="299"/>
        <w:spacing w:after="0" w:line="256" w:lineRule="auto"/>
        <w:tabs>
          <w:tab w:leader="none" w:pos="28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 of, or delays in receiving, supplies of our product candidates or target material from our contract manufacturing organizations, or CMOs, and other suppliers due to staffing shortages, shortages in supply of production materials, production slowdowns or stoppages and disruptions in delivery systems;</w:t>
      </w:r>
    </w:p>
    <w:p>
      <w:pPr>
        <w:spacing w:after="0" w:line="98" w:lineRule="exact"/>
        <w:rPr>
          <w:rFonts w:ascii="Times New Roman" w:cs="Times New Roman" w:eastAsia="Times New Roman" w:hAnsi="Times New Roman"/>
          <w:sz w:val="19"/>
          <w:szCs w:val="19"/>
          <w:color w:val="auto"/>
        </w:rPr>
      </w:pPr>
    </w:p>
    <w:p>
      <w:pPr>
        <w:ind w:left="300" w:right="60" w:hanging="299"/>
        <w:spacing w:after="0" w:line="256" w:lineRule="auto"/>
        <w:tabs>
          <w:tab w:leader="none" w:pos="28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1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interruption or delays to our sourced discovery and clinical activities.</w:t>
      </w:r>
    </w:p>
    <w:p>
      <w:pPr>
        <w:spacing w:after="0" w:line="13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extent to which any future health epidemic outbreaks of contagious disease ultimately impacts our business, preclinical studies and clinical trials will depend on future developments, which are highly uncertain and cannot be predicted with confidence, such as the ultimate geographic spread of the disease, the duration of the pandemic, the emergence of variants, the transition to endemic status, travel restrictions and social distancing in Switzerland, the United States and other countries, business closures or business disruptions and the effectiveness of actions taken in countries around the world to contain and treat the disease.</w:t>
      </w:r>
    </w:p>
    <w:p>
      <w:pPr>
        <w:spacing w:after="0" w:line="114"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Raising additional capital may cause dilution to holders of our ordinary shares or ADSs, and an inability to raise capital may restrict our operations or require us to relinquish rights to our technologies or product candidates.</w:t>
      </w:r>
    </w:p>
    <w:p>
      <w:pPr>
        <w:spacing w:after="0" w:line="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Until such time, if ever, as we can generate substantial product revenues, we expect to finance our operations with our existing cash, cash equivalents and current financial assets, proceeds from debt or equity offerings, revenue from our collaborations and interest income from the investment of our cash, cash equivalents and financial assets. In order to further advance the development of our product candidates, discover additional product candidates and pursue our other business objectives, however, we will need to seek additional funds.</w:t>
      </w:r>
    </w:p>
    <w:p>
      <w:pPr>
        <w:spacing w:after="0" w:line="10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if at all. Moreover, the terms of any financing may adversely affect the holdings or the rights of holders of our ordinary shares or ADSs and the issuance of additional securities, whether equity or debt, by us, or the possibility of such issuance, may cause the market price of our ADSs and our ordinary shares to decline. The sale of additional equity or convertible securities would dilute all of our existing shareholders and the terms of these securities may include liquidation or other preferences that adversely affect the rights of our shareholders.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9"/>
          <w:szCs w:val="19"/>
          <w:color w:val="auto"/>
        </w:rPr>
        <w:t>If we are unable to obtain funding on a timely basis, we may be required to significantly curtail, delay or discontinue one or more of our research or development programs or the commercialization of any of our product candidates, or be unable to expand our operations or otherwise capitalize on our business opportunities, as desired, which could materially affect our business,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Development and Clinical Testing of Our Product Candidates</w:t>
      </w:r>
    </w:p>
    <w:p>
      <w:pPr>
        <w:spacing w:after="0" w:line="14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w:t>
      </w:r>
    </w:p>
    <w:p>
      <w:pPr>
        <w:spacing w:after="0" w:line="9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We are heavily dependent on the success of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w:t>
      </w:r>
    </w:p>
    <w:p>
      <w:pPr>
        <w:spacing w:after="0" w:line="10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9"/>
          <w:szCs w:val="19"/>
          <w:color w:val="auto"/>
        </w:rPr>
        <w:t>We may not be successful in our efforts to further develop our DARPin platform technology and current product candidates. We are not permitted to market or promote any of our product candidates before we receive regulatory approval from the FDA, European Commission (granted on the basis of a positive opinion from the Committee for Medicinal Products for Human Use of the European Medicines Agency, or EMA and commonly referred to as EMA approval)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9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MP0533, MP0317, and MP0712 and product candidates that we have licensed to our partners,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1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in other countries,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5" w:name="page16"/>
    <w:bookmarkEnd w:id="15"/>
    <w:p>
      <w:pPr>
        <w:ind w:right="100"/>
        <w:spacing w:after="0" w:line="275" w:lineRule="auto"/>
        <w:rPr>
          <w:sz w:val="20"/>
          <w:szCs w:val="20"/>
          <w:color w:val="auto"/>
        </w:rPr>
      </w:pPr>
      <w:r>
        <w:rPr>
          <w:rFonts w:ascii="Times New Roman" w:cs="Times New Roman" w:eastAsia="Times New Roman" w:hAnsi="Times New Roman"/>
          <w:sz w:val="19"/>
          <w:szCs w:val="19"/>
          <w:color w:val="auto"/>
        </w:rPr>
        <w:t>We may experience delays in our ongoing clinical trials and we do not know whether planned clinical trials will begin on time, need to be redesigned, enroll patients on time or be completed on schedule, if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Clinical trials can be delayed, suspended, or terminated for a variety of reasons, including the following:</w:t>
      </w:r>
    </w:p>
    <w:p>
      <w:pPr>
        <w:spacing w:after="0" w:line="136" w:lineRule="exact"/>
        <w:rPr>
          <w:sz w:val="20"/>
          <w:szCs w:val="20"/>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or failure to obtain regulatory approval to commence a trial;</w:t>
      </w:r>
    </w:p>
    <w:p>
      <w:pPr>
        <w:spacing w:after="0" w:line="136" w:lineRule="exact"/>
        <w:rPr>
          <w:rFonts w:ascii="Times New Roman" w:cs="Times New Roman" w:eastAsia="Times New Roman" w:hAnsi="Times New Roman"/>
          <w:sz w:val="19"/>
          <w:szCs w:val="19"/>
          <w:color w:val="auto"/>
        </w:rPr>
      </w:pPr>
    </w:p>
    <w:p>
      <w:pPr>
        <w:ind w:left="300" w:right="380" w:hanging="299"/>
        <w:spacing w:after="0" w:line="275" w:lineRule="auto"/>
        <w:tabs>
          <w:tab w:leader="none" w:pos="28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or failure to obtain institutional review board, or IRB, or ethics committee approval at each site;</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or failure to recruit suitable patients to participate in a trial;</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have patients complete a trial or return for post-treatment follow-up;</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clinical sites deviating from trial protocol or dropping out of a trial;</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adding new clinical trial sites;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manufacturing sufficient quantities of product candidate for use in clinical trials;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third-party actions claiming infringement by our product candidates in clinical trials and obtaining injunctions interfering with our progress;</w:t>
      </w:r>
    </w:p>
    <w:p>
      <w:pPr>
        <w:spacing w:after="0" w:line="136" w:lineRule="exact"/>
        <w:rPr>
          <w:rFonts w:ascii="Times New Roman" w:cs="Times New Roman" w:eastAsia="Times New Roman" w:hAnsi="Times New Roman"/>
          <w:sz w:val="19"/>
          <w:szCs w:val="19"/>
          <w:color w:val="auto"/>
        </w:rPr>
      </w:pPr>
    </w:p>
    <w:p>
      <w:pPr>
        <w:ind w:left="300" w:right="120" w:hanging="299"/>
        <w:spacing w:after="0" w:line="275" w:lineRule="auto"/>
        <w:tabs>
          <w:tab w:leader="none" w:pos="28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safety or tolerability concerns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requirements, policies and guidelines;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lower than anticipated retention rates of patients and volunteers in clinical trials;</w:t>
      </w:r>
    </w:p>
    <w:p>
      <w:pPr>
        <w:spacing w:after="0" w:line="136" w:lineRule="exact"/>
        <w:rPr>
          <w:rFonts w:ascii="Times New Roman" w:cs="Times New Roman" w:eastAsia="Times New Roman" w:hAnsi="Times New Roman"/>
          <w:sz w:val="19"/>
          <w:szCs w:val="19"/>
          <w:color w:val="auto"/>
        </w:rPr>
      </w:pPr>
    </w:p>
    <w:p>
      <w:pPr>
        <w:ind w:left="300" w:right="160" w:hanging="299"/>
        <w:spacing w:after="0" w:line="275" w:lineRule="auto"/>
        <w:tabs>
          <w:tab w:leader="none" w:pos="28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third-party research contractors failing to comply with regulatory requirements or meet their contractual obligations to us in a timely manner, or at all;</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establishing the appropriate dosage levels in clinical trials;</w:t>
      </w:r>
    </w:p>
    <w:p>
      <w:pPr>
        <w:spacing w:after="0" w:line="136" w:lineRule="exact"/>
        <w:rPr>
          <w:rFonts w:ascii="Times New Roman" w:cs="Times New Roman" w:eastAsia="Times New Roman" w:hAnsi="Times New Roman"/>
          <w:sz w:val="19"/>
          <w:szCs w:val="19"/>
          <w:color w:val="auto"/>
        </w:rPr>
      </w:pPr>
    </w:p>
    <w:p>
      <w:pPr>
        <w:ind w:left="300" w:right="80" w:hanging="299"/>
        <w:spacing w:after="0" w:line="275" w:lineRule="auto"/>
        <w:tabs>
          <w:tab w:leader="none" w:pos="28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difficulty in certain countries in identifying the sub-populations that we are trying to treat in a particular trial, which may delay enrollment and reduce the power of a clinical trial to detect statistically significant results; and</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quality or stability of the product candidate falling below acceptable standards.</w:t>
      </w:r>
    </w:p>
    <w:p>
      <w:pPr>
        <w:spacing w:after="0" w:line="13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could encounter delays if a clinical trial is suspended or terminated by us, by the IRBs of the institutions in which such trials are being conducted or ethics committees, by the Data Review Committee, or DRC, or Data Safety Monitoring Board, or DSMB, for such trial or by the EMA,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the FDA or other regulatory authorities resulting in the imposition of a clinical hold, unforeseen safety issues or adverse side effects, including those relating to the class to which our product candidates belong, failure to demonstrate a benefit from using a drug, changes in governmental regulations or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6" w:name="page17"/>
    <w:bookmarkEnd w:id="16"/>
    <w:p>
      <w:pPr>
        <w:ind w:right="40"/>
        <w:spacing w:after="0" w:line="249" w:lineRule="auto"/>
        <w:rPr>
          <w:sz w:val="20"/>
          <w:szCs w:val="20"/>
          <w:color w:val="auto"/>
        </w:rPr>
      </w:pPr>
      <w:r>
        <w:rPr>
          <w:rFonts w:ascii="Times New Roman" w:cs="Times New Roman" w:eastAsia="Times New Roman" w:hAnsi="Times New Roman"/>
          <w:sz w:val="19"/>
          <w:szCs w:val="19"/>
          <w:color w:val="auto"/>
        </w:rPr>
        <w:t>actions or lack of adequate funding to continue the clinical trial. For example, we have faced and may face in the future bioburden during drug substance production campaigns or particles in drug product preparations at our CMOs which led or may lead to regulatory actions, including from the FDA. While we and our partners endeavor to maintain appropriate backup supply with respect to our product candidates, and not all such bioburden or particles result in regulatory action or delays, we cannot assure that any such issues would not result in delays in our clinical trials or product development or other adverse impacts on our business.</w:t>
      </w:r>
    </w:p>
    <w:p>
      <w:pPr>
        <w:spacing w:after="0" w:line="1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1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the EMA and other applicable regulatory authorities' legal requirements and regulations, and are subject to oversight by these governmental agencies, IRBs at the medical institutions where the clinical trials are conducted or ethics committees. In addition, clinical trials must be conducted with supplies of our product candidates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w:t>
      </w:r>
    </w:p>
    <w:p>
      <w:pPr>
        <w:spacing w:after="0" w:line="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Further, conducting clinical trials in multiple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GCP, regulations and other foreign regulatory schemes, as well as political and economic risks relevant to such foreign countries.</w:t>
      </w:r>
    </w:p>
    <w:p>
      <w:pPr>
        <w:spacing w:after="0" w:line="1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be successful in our efforts to use and expand our platform to build a pipeline of product candidates with commercial value.</w:t>
      </w:r>
    </w:p>
    <w:p>
      <w:pPr>
        <w:spacing w:after="0" w:line="14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A key element of our strategy is to use and expand our platform to build a pipeline of product candidates and progress these product candidates through clinical development. So far none of the product candidates originating from our platform has received marketing approval from the FDA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7" w:name="page18"/>
    <w:bookmarkEnd w:id="17"/>
    <w:p>
      <w:pPr>
        <w:spacing w:after="0" w:line="249" w:lineRule="auto"/>
        <w:rPr>
          <w:sz w:val="20"/>
          <w:szCs w:val="20"/>
          <w:color w:val="auto"/>
        </w:rPr>
      </w:pPr>
      <w:r>
        <w:rPr>
          <w:rFonts w:ascii="Times New Roman" w:cs="Times New Roman" w:eastAsia="Times New Roman" w:hAnsi="Times New Roman"/>
          <w:sz w:val="19"/>
          <w:szCs w:val="19"/>
          <w:color w:val="auto"/>
        </w:rPr>
        <w:t>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spacing w:after="0" w:line="1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9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Europe. We cannot be certain of the timely completion or outcome of our preclinical testing and studies and cannot predict if the FDA or EMA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allowing clinical trials to begin.</w:t>
      </w:r>
    </w:p>
    <w:p>
      <w:pPr>
        <w:spacing w:after="0" w:line="10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spacing w:after="0" w:line="110" w:lineRule="exact"/>
        <w:rPr>
          <w:sz w:val="20"/>
          <w:szCs w:val="20"/>
          <w:color w:val="auto"/>
        </w:rPr>
      </w:pPr>
    </w:p>
    <w:p>
      <w:pPr>
        <w:ind w:left="300" w:hanging="299"/>
        <w:spacing w:after="0"/>
        <w:tabs>
          <w:tab w:leader="none" w:pos="3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to generate sufficient preclinical or other in vivo or in vitro data to support the initiation of clinical studies;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reaching a consensus with regulatory agencies on study design; and</w:t>
      </w:r>
    </w:p>
    <w:p>
      <w:pPr>
        <w:spacing w:after="0" w:line="136" w:lineRule="exact"/>
        <w:rPr>
          <w:rFonts w:ascii="Times New Roman" w:cs="Times New Roman" w:eastAsia="Times New Roman" w:hAnsi="Times New Roman"/>
          <w:sz w:val="19"/>
          <w:szCs w:val="19"/>
          <w:color w:val="auto"/>
        </w:rPr>
      </w:pPr>
    </w:p>
    <w:p>
      <w:pPr>
        <w:ind w:left="300" w:right="660" w:hanging="299"/>
        <w:spacing w:after="0" w:line="275" w:lineRule="auto"/>
        <w:tabs>
          <w:tab w:leader="none" w:pos="28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or EMA not allowing us to rely on previous findings of safety and efficacy for other similar but approved products and published scientific literature.</w:t>
      </w:r>
    </w:p>
    <w:p>
      <w:pPr>
        <w:spacing w:after="0" w:line="82"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19"/>
          <w:szCs w:val="19"/>
          <w:color w:val="auto"/>
        </w:rPr>
        <w:t>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8" w:name="page19"/>
    <w:bookmarkEnd w:id="18"/>
    <w:p>
      <w:pPr>
        <w:jc w:val="both"/>
        <w:ind w:right="2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w:t>
      </w:r>
    </w:p>
    <w:p>
      <w:pPr>
        <w:spacing w:after="0" w:line="1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Any positive results from our preclinical studies of our product candidates may not necessarily be predictive of the results from required later preclinical studies and clinical trials, and there can be no assurance that any of our clinical trials will ultimately be successful or support further clinical development of any of our product candidates. For example, even if biological activity in patient samples following administration of initial doses is observed in our clinical trials, there can be no assurance that such biological activity will be similarly observed and maintained following administration of additional doses or any drop in biological activity could be overcome with additional development regarding more frequent dosing regimens.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In addition, positive results in later stage clinical trials of one of our product candidates in an indication may not be predictive of the safety or efficacy of our other product candidates in other indications, even if they employ a similar mechanism of action.</w:t>
      </w:r>
    </w:p>
    <w:p>
      <w:pPr>
        <w:spacing w:after="0" w:line="12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9"/>
          <w:szCs w:val="19"/>
          <w:color w:val="auto"/>
        </w:rPr>
        <w:t>Many companies in the pharmaceutical and biotechnology industries have suffered significant setbacks in late-stage clinical trials after achieving positive results in early-stage development and we cannot be certain that we will not face similar setbacks. For example, our therapeutics in oncology and ophthalmology has in the past and may in the future result in the creation of anti-drug antibodies that can neutralize the effects of the therapeutic, require that higher doses be used to obtain a therapeutic effect or cause adverse events. 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11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Some of our product candidates utilize a novel mechanism of action which may result in greater research and development expenses, regulatory issues that could delay or prevent approval, or discovery of unknown or unanticipated adverse effects.</w:t>
      </w:r>
    </w:p>
    <w:p>
      <w:pPr>
        <w:spacing w:after="0" w:line="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Some of our product candidates, such as MP0533 and MP0317, the lead product candidates from our oncology program, and also MP0712 and other potential future RDT product candidates, utilize novel mechanisms of action which may result in greater research and development expenses, regulatory and development or CMC and supply chain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 novel mechanisms of action. The novelty of our mechanism of action may lengthen the regulatory review process, require us to conduct additional studies or clinical trials, increase our development costs, lead to changes in regulatory positions and interpretations, delay or prevent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9" w:name="page20"/>
    <w:bookmarkEnd w:id="19"/>
    <w:p>
      <w:pPr>
        <w:ind w:right="80"/>
        <w:spacing w:after="0" w:line="254" w:lineRule="auto"/>
        <w:rPr>
          <w:sz w:val="20"/>
          <w:szCs w:val="20"/>
          <w:color w:val="auto"/>
        </w:rPr>
      </w:pPr>
      <w:r>
        <w:rPr>
          <w:rFonts w:ascii="Times New Roman" w:cs="Times New Roman" w:eastAsia="Times New Roman" w:hAnsi="Times New Roman"/>
          <w:sz w:val="19"/>
          <w:szCs w:val="19"/>
          <w:color w:val="auto"/>
        </w:rPr>
        <w:t>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spacing w:after="0" w:line="95"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Failure to successfully validate, develop and obtain regulatory approval for companion diagnostics, if needed, could harm our product development strategy.</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spacing w:after="0" w:line="10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9"/>
          <w:szCs w:val="19"/>
          <w:color w:val="auto"/>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spacing w:after="0" w:line="1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products. In addition, the diagnostic company with whom 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spacing w:after="0" w:line="9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8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0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9"/>
          <w:szCs w:val="19"/>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0" w:name="page21"/>
    <w:bookmarkEnd w:id="20"/>
    <w:p>
      <w:pPr>
        <w:ind w:right="380"/>
        <w:spacing w:after="0" w:line="275" w:lineRule="auto"/>
        <w:rPr>
          <w:sz w:val="20"/>
          <w:szCs w:val="20"/>
          <w:color w:val="auto"/>
        </w:rPr>
      </w:pPr>
      <w:r>
        <w:rPr>
          <w:rFonts w:ascii="Times New Roman" w:cs="Times New Roman" w:eastAsia="Times New Roman" w:hAnsi="Times New Roman"/>
          <w:sz w:val="19"/>
          <w:szCs w:val="19"/>
          <w:color w:val="auto"/>
        </w:rPr>
        <w:t>final data are available. Adverse changes in the final data compared to the interim data could significantly harm our business prospects. Moreover, caution should be exercised in drawing any conclusions from a comparison of data that does not come from head-to-head analysis.</w:t>
      </w:r>
    </w:p>
    <w:p>
      <w:pPr>
        <w:spacing w:after="0" w:line="8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0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Because the number of patients in certain of our clinical trials may be small, the results from such trials may be less reliable than results achieved in larger clinical trials.</w:t>
      </w:r>
    </w:p>
    <w:p>
      <w:pPr>
        <w:spacing w:after="0" w:line="101"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9"/>
          <w:szCs w:val="19"/>
          <w:color w:val="auto"/>
        </w:rPr>
        <w:t>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w:t>
      </w:r>
    </w:p>
    <w:p>
      <w:pPr>
        <w:spacing w:after="0" w:line="1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 While our preclinical studies and clinical trials for our product candidates to date have generally been well tolerated from a risk-benefit perspective, the results from ongoing and future trials may not support this conclusion.</w:t>
      </w:r>
    </w:p>
    <w:p>
      <w:pPr>
        <w:spacing w:after="0" w:line="1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The results of future clinical studies may show that our product candidates cause undesirable or unacceptable side effects or even death. In such an event, our trials could be suspended or terminated and the FDA, the EMA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1" w:name="page22"/>
    <w:bookmarkEnd w:id="21"/>
    <w:p>
      <w:pPr>
        <w:ind w:right="400"/>
        <w:spacing w:after="0" w:line="275" w:lineRule="auto"/>
        <w:rPr>
          <w:sz w:val="20"/>
          <w:szCs w:val="20"/>
          <w:color w:val="auto"/>
        </w:rPr>
      </w:pPr>
      <w:r>
        <w:rPr>
          <w:rFonts w:ascii="Times New Roman" w:cs="Times New Roman" w:eastAsia="Times New Roman" w:hAnsi="Times New Roman"/>
          <w:sz w:val="19"/>
          <w:szCs w:val="19"/>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82" w:lineRule="exact"/>
        <w:rPr>
          <w:sz w:val="20"/>
          <w:szCs w:val="20"/>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may withdraw approvals of such products and require us to take our approved product off the market;</w:t>
      </w:r>
    </w:p>
    <w:p>
      <w:pPr>
        <w:spacing w:after="0" w:line="136" w:lineRule="exact"/>
        <w:rPr>
          <w:rFonts w:ascii="Times New Roman" w:cs="Times New Roman" w:eastAsia="Times New Roman" w:hAnsi="Times New Roman"/>
          <w:sz w:val="19"/>
          <w:szCs w:val="19"/>
          <w:color w:val="auto"/>
        </w:rPr>
      </w:pPr>
    </w:p>
    <w:p>
      <w:pPr>
        <w:ind w:left="300" w:right="600" w:hanging="299"/>
        <w:spacing w:after="0" w:line="275" w:lineRule="auto"/>
        <w:tabs>
          <w:tab w:leader="none" w:pos="28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may require the addition of labeling statements, specific warnings, a contraindication or field alerts to physicians and pharmacies;</w:t>
      </w:r>
    </w:p>
    <w:p>
      <w:pPr>
        <w:spacing w:after="0" w:line="81" w:lineRule="exact"/>
        <w:rPr>
          <w:rFonts w:ascii="Times New Roman" w:cs="Times New Roman" w:eastAsia="Times New Roman" w:hAnsi="Times New Roman"/>
          <w:sz w:val="19"/>
          <w:szCs w:val="19"/>
          <w:color w:val="auto"/>
        </w:rPr>
      </w:pPr>
    </w:p>
    <w:p>
      <w:pPr>
        <w:ind w:left="300" w:right="300" w:hanging="299"/>
        <w:spacing w:after="0" w:line="275" w:lineRule="auto"/>
        <w:tabs>
          <w:tab w:leader="none" w:pos="28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may require additional clinical trials;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required to change the way the product is administered, conduct additional clinical trials or change the labeling of the product;</w:t>
      </w:r>
    </w:p>
    <w:p>
      <w:pPr>
        <w:spacing w:after="0" w:line="22"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the product may decrease significantly;</w:t>
      </w:r>
    </w:p>
    <w:p>
      <w:pPr>
        <w:spacing w:after="0" w:line="122"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subject to litigation or product liability claims;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reputation may suffer.</w:t>
      </w:r>
    </w:p>
    <w:p>
      <w:pPr>
        <w:spacing w:after="0" w:line="136" w:lineRule="exact"/>
        <w:rPr>
          <w:sz w:val="20"/>
          <w:szCs w:val="20"/>
          <w:color w:val="auto"/>
        </w:rPr>
      </w:pPr>
    </w:p>
    <w:p>
      <w:pPr>
        <w:jc w:val="both"/>
        <w:ind w:right="600"/>
        <w:spacing w:after="0" w:line="263" w:lineRule="auto"/>
        <w:rPr>
          <w:sz w:val="20"/>
          <w:szCs w:val="20"/>
          <w:color w:val="auto"/>
        </w:rPr>
      </w:pPr>
      <w:r>
        <w:rPr>
          <w:rFonts w:ascii="Times New Roman" w:cs="Times New Roman" w:eastAsia="Times New Roman" w:hAnsi="Times New Roman"/>
          <w:sz w:val="19"/>
          <w:szCs w:val="19"/>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8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If any of our product candidates has negative side effects, public perception of our DARPin platform and commercial opportunities for all of our current and future product candidates could be adversely affected.</w:t>
      </w:r>
    </w:p>
    <w:p>
      <w:pPr>
        <w:spacing w:after="0" w:line="1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adversely affected because the negative side effect may be perceived to be a likely side effect of all of our product candidates. Infusion-related reactions have been seen in MP0533 and MP0317, and, while manageable, such reactions may limit the tolerability profile of a product candidate or its potential for combination with other medication. These adverse events may negatively affect the perception of the DARPin platform, the commercial opportunity for our product candidates or cause us to suspend clinical trials. In addition, if public perception is influenced by claims that radioligands or specific therapies within radioligands are unsafe or less safe than available alternatives, our product candidates may not be accepted by the general public or the medical community.</w:t>
      </w:r>
    </w:p>
    <w:p>
      <w:pPr>
        <w:spacing w:after="0" w:line="1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face significant competition for our drug discovery and development efforts, and if we do not compete effectively, our commercial opportunities will be reduced or eliminated.</w:t>
      </w:r>
    </w:p>
    <w:p>
      <w:pPr>
        <w:spacing w:after="0" w:line="101"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8"/>
          <w:szCs w:val="18"/>
          <w:color w:val="auto"/>
        </w:rPr>
        <w:t>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2" w:name="page23"/>
    <w:bookmarkEnd w:id="22"/>
    <w:p>
      <w:pPr>
        <w:ind w:right="40"/>
        <w:spacing w:after="0" w:line="246" w:lineRule="auto"/>
        <w:rPr>
          <w:sz w:val="20"/>
          <w:szCs w:val="20"/>
          <w:color w:val="auto"/>
        </w:rPr>
      </w:pPr>
      <w:r>
        <w:rPr>
          <w:rFonts w:ascii="Times New Roman" w:cs="Times New Roman" w:eastAsia="Times New Roman" w:hAnsi="Times New Roman"/>
          <w:sz w:val="19"/>
          <w:szCs w:val="19"/>
          <w:color w:val="auto"/>
        </w:rPr>
        <w:t>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platforms may gain faster or greater market acceptance than our products or platform and medical advances or rapid technological development by competitors may result in our product candidates or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platforms do not compete effectively, it may have an adverse effect on our business and results of operation.</w:t>
      </w:r>
    </w:p>
    <w:p>
      <w:pPr>
        <w:spacing w:after="0" w:line="11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depend on enrollment of patients in our clinical trials for our product candidates. If we are unable to enroll patients in our clinical trials, our research and development efforts and business could be adversely affected.</w:t>
      </w:r>
    </w:p>
    <w:p>
      <w:pPr>
        <w:spacing w:after="0" w:line="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drug candidates. Even once enrolled we may be unable to retain a sufficient number of patients to complete any of our trials.</w:t>
      </w:r>
    </w:p>
    <w:p>
      <w:pPr>
        <w:spacing w:after="0" w:line="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 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11"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9"/>
          <w:szCs w:val="19"/>
          <w:color w:val="auto"/>
        </w:rPr>
        <w:t>Additionally, our ability to successfully initiate, enroll and complete clinical trials in foreign countries is subject to numerous risks unique to conducting business in foreign countries, including:</w:t>
      </w:r>
    </w:p>
    <w:p>
      <w:pPr>
        <w:spacing w:after="0" w:line="82" w:lineRule="exact"/>
        <w:rPr>
          <w:sz w:val="20"/>
          <w:szCs w:val="20"/>
          <w:color w:val="auto"/>
        </w:rPr>
      </w:pPr>
    </w:p>
    <w:p>
      <w:pPr>
        <w:ind w:left="300" w:hanging="299"/>
        <w:spacing w:after="0"/>
        <w:tabs>
          <w:tab w:leader="none" w:pos="3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different standards for the conduct of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3" w:name="page24"/>
    <w:bookmarkEnd w:id="23"/>
    <w:p>
      <w:pPr>
        <w:ind w:left="300" w:hanging="299"/>
        <w:spacing w:after="0"/>
        <w:tabs>
          <w:tab w:leader="none" w:pos="3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difficulty in identifying and partnering with qualified local consultants, physicians and partners; and</w:t>
      </w:r>
    </w:p>
    <w:p>
      <w:pPr>
        <w:spacing w:after="0" w:line="136" w:lineRule="exact"/>
        <w:rPr>
          <w:rFonts w:ascii="Times New Roman" w:cs="Times New Roman" w:eastAsia="Times New Roman" w:hAnsi="Times New Roman"/>
          <w:sz w:val="19"/>
          <w:szCs w:val="19"/>
          <w:color w:val="auto"/>
        </w:rPr>
      </w:pPr>
    </w:p>
    <w:p>
      <w:pPr>
        <w:ind w:left="300" w:right="540" w:hanging="299"/>
        <w:spacing w:after="0" w:line="275" w:lineRule="auto"/>
        <w:tabs>
          <w:tab w:leader="none" w:pos="28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potential burden of complying with a variety of foreign laws, medical standards and regulatory requirements, including the regulation of pharmaceutical and biotechnology research and products.</w:t>
      </w:r>
    </w:p>
    <w:p>
      <w:pPr>
        <w:spacing w:after="0" w:line="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109" w:lineRule="exact"/>
        <w:rPr>
          <w:sz w:val="20"/>
          <w:szCs w:val="20"/>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decreased demand for our products due to negative public perception and injury to our reputation;</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withdrawal of clinical trial participants or difficulties in recruiting new trial participants;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initiation of investigations by regulators;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costs to defend or settle the related litigation;</w:t>
      </w:r>
    </w:p>
    <w:p>
      <w:pPr>
        <w:spacing w:after="0" w:line="16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19"/>
          <w:szCs w:val="19"/>
          <w:color w:val="auto"/>
        </w:rPr>
        <w:t>a diversion of management's time and our resources;</w:t>
      </w:r>
    </w:p>
    <w:p>
      <w:pPr>
        <w:spacing w:after="0" w:line="213" w:lineRule="exact"/>
        <w:rPr>
          <w:rFonts w:ascii="Arial" w:cs="Arial" w:eastAsia="Arial" w:hAnsi="Arial"/>
          <w:sz w:val="20"/>
          <w:szCs w:val="20"/>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 monetary awards to trial participants or patients;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recalls, withdrawals or labeling, marketing or promotional restrictions;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revenues from product sales; and</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inability to commercialize any of our product candidates, if approved.</w:t>
      </w:r>
    </w:p>
    <w:p>
      <w:pPr>
        <w:spacing w:after="0" w:line="1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4" w:name="page25"/>
    <w:bookmarkEnd w:id="24"/>
    <w:p>
      <w:pPr>
        <w:ind w:right="2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conduct clinical trials for our product candidates outside the United States, and the FDA and similar foreign regulatory authorities may not accept data from such trials.</w:t>
      </w:r>
    </w:p>
    <w:p>
      <w:pPr>
        <w:spacing w:after="0" w:line="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9"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product candidates could fail to receive regulatory approval for many reasons, including the following:</w:t>
      </w:r>
    </w:p>
    <w:p>
      <w:pPr>
        <w:spacing w:after="0" w:line="149" w:lineRule="exact"/>
        <w:rPr>
          <w:sz w:val="20"/>
          <w:szCs w:val="20"/>
          <w:color w:val="auto"/>
        </w:rPr>
      </w:pPr>
    </w:p>
    <w:p>
      <w:pPr>
        <w:ind w:left="300" w:right="240" w:hanging="299"/>
        <w:spacing w:after="0" w:line="261" w:lineRule="auto"/>
        <w:tabs>
          <w:tab w:leader="none" w:pos="28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the EMA or comparable foreign regulatory authorities may disagree with the design or implementation of our clinical trials, including the size of our clinical trials or the doses tested;</w:t>
      </w:r>
    </w:p>
    <w:p>
      <w:pPr>
        <w:spacing w:after="0" w:line="94" w:lineRule="exact"/>
        <w:rPr>
          <w:rFonts w:ascii="Times New Roman" w:cs="Times New Roman" w:eastAsia="Times New Roman" w:hAnsi="Times New Roman"/>
          <w:sz w:val="19"/>
          <w:szCs w:val="19"/>
          <w:color w:val="auto"/>
        </w:rPr>
      </w:pPr>
    </w:p>
    <w:p>
      <w:pPr>
        <w:ind w:left="300" w:right="80" w:hanging="299"/>
        <w:spacing w:after="0" w:line="275" w:lineRule="auto"/>
        <w:tabs>
          <w:tab w:leader="none" w:pos="28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unable to demonstrate to the satisfaction of the FDA, the EMA or comparable foreign regulatory authorities that a product candidate is safe, pure and potent or effective for its proposed indication;</w:t>
      </w:r>
    </w:p>
    <w:p>
      <w:pPr>
        <w:spacing w:after="0" w:line="81" w:lineRule="exact"/>
        <w:rPr>
          <w:rFonts w:ascii="Times New Roman" w:cs="Times New Roman" w:eastAsia="Times New Roman" w:hAnsi="Times New Roman"/>
          <w:sz w:val="19"/>
          <w:szCs w:val="19"/>
          <w:color w:val="auto"/>
        </w:rPr>
      </w:pPr>
    </w:p>
    <w:p>
      <w:pPr>
        <w:ind w:left="300" w:right="460" w:hanging="299"/>
        <w:spacing w:after="0" w:line="275" w:lineRule="auto"/>
        <w:tabs>
          <w:tab w:leader="none" w:pos="28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results of clinical trials may not meet the level of statistical significance required by the FDA, the EMA or comparable foreign regulatory authorities for approval;</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9"/>
          <w:szCs w:val="19"/>
          <w:color w:val="auto"/>
        </w:rPr>
        <w:t>we may be unable to demonstrate that a product candidate’s clinical and other benefits outweigh its safety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25" w:name="page26"/>
    <w:bookmarkEnd w:id="25"/>
    <w:p>
      <w:pPr>
        <w:ind w:left="300" w:right="300" w:hanging="299"/>
        <w:spacing w:after="0" w:line="275" w:lineRule="auto"/>
        <w:tabs>
          <w:tab w:leader="none" w:pos="28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the EMA or comparable foreign regulatory authorities may disagree with our interpretation of data from preclinical studies or clinical trials or may require us to test additional dose regimens of our product candidates;</w:t>
      </w:r>
    </w:p>
    <w:p>
      <w:pPr>
        <w:spacing w:after="0" w:line="81" w:lineRule="exact"/>
        <w:rPr>
          <w:rFonts w:ascii="Times New Roman" w:cs="Times New Roman" w:eastAsia="Times New Roman" w:hAnsi="Times New Roman"/>
          <w:sz w:val="19"/>
          <w:szCs w:val="19"/>
          <w:color w:val="auto"/>
        </w:rPr>
      </w:pPr>
    </w:p>
    <w:p>
      <w:pPr>
        <w:ind w:left="300" w:right="40" w:hanging="299"/>
        <w:spacing w:after="0" w:line="261" w:lineRule="auto"/>
        <w:tabs>
          <w:tab w:leader="none" w:pos="28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spacing w:after="0" w:line="107" w:lineRule="exact"/>
        <w:rPr>
          <w:rFonts w:ascii="Times New Roman" w:cs="Times New Roman" w:eastAsia="Times New Roman" w:hAnsi="Times New Roman"/>
          <w:sz w:val="19"/>
          <w:szCs w:val="19"/>
          <w:color w:val="auto"/>
        </w:rPr>
      </w:pPr>
    </w:p>
    <w:p>
      <w:pPr>
        <w:ind w:left="300" w:right="480" w:hanging="299"/>
        <w:spacing w:after="0" w:line="261" w:lineRule="auto"/>
        <w:tabs>
          <w:tab w:leader="none" w:pos="28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7" w:lineRule="exact"/>
        <w:rPr>
          <w:rFonts w:ascii="Times New Roman" w:cs="Times New Roman" w:eastAsia="Times New Roman" w:hAnsi="Times New Roman"/>
          <w:sz w:val="19"/>
          <w:szCs w:val="19"/>
          <w:color w:val="auto"/>
        </w:rPr>
      </w:pPr>
    </w:p>
    <w:p>
      <w:pPr>
        <w:ind w:left="300" w:right="480" w:hanging="299"/>
        <w:spacing w:after="0" w:line="261" w:lineRule="auto"/>
        <w:tabs>
          <w:tab w:leader="none" w:pos="28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approval policies or regulations of the FDA, the EMA or comparable foreign regulatory authorities may significantly change in a manner rendering our clinical data insufficient for approval.</w:t>
      </w:r>
    </w:p>
    <w:p>
      <w:pPr>
        <w:spacing w:after="0" w:line="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lengthy approval process as well as the unpredictability of future clinical trial results may result in our failing to obtain regulatory approval to market any of our product candidates, which would significantly harm our business. The FDA,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or our partners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w:t>
      </w:r>
    </w:p>
    <w:p>
      <w:pPr>
        <w:spacing w:after="0" w:line="9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or our partners may seek fast-track designation and review for some or all of our product candidates.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such as we received for ensovibep in June 2021,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the clinical development program.</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6" w:name="page27"/>
    <w:bookmarkEnd w:id="26"/>
    <w:p>
      <w:pPr>
        <w:jc w:val="both"/>
        <w:ind w:right="200"/>
        <w:spacing w:after="0" w:line="256" w:lineRule="auto"/>
        <w:rPr>
          <w:sz w:val="20"/>
          <w:szCs w:val="20"/>
          <w:color w:val="auto"/>
        </w:rPr>
      </w:pPr>
      <w:r>
        <w:rPr>
          <w:rFonts w:ascii="Times New Roman" w:cs="Times New Roman" w:eastAsia="Times New Roman" w:hAnsi="Times New Roman"/>
          <w:sz w:val="19"/>
          <w:szCs w:val="19"/>
          <w:color w:val="auto"/>
        </w:rPr>
        <w:t>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w:t>
      </w:r>
    </w:p>
    <w:p>
      <w:pPr>
        <w:spacing w:after="0" w:line="99"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58" w:lineRule="exact"/>
        <w:rPr>
          <w:sz w:val="20"/>
          <w:szCs w:val="20"/>
          <w:color w:val="auto"/>
        </w:rPr>
      </w:pPr>
    </w:p>
    <w:p>
      <w:pPr>
        <w:ind w:left="300" w:right="300" w:hanging="299"/>
        <w:spacing w:after="0" w:line="275" w:lineRule="auto"/>
        <w:tabs>
          <w:tab w:leader="none" w:pos="28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marketing or manufacturing of our product candidates, withdrawal of the product from the market or voluntary or mandatory product recalls;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product distribution or use, or requirements to conduct post-marketing studies or clinical trials;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fines, restitutions, disgorgement of profits or revenues, warning letters, untitled letters or holds on clinical trials;</w:t>
      </w:r>
    </w:p>
    <w:p>
      <w:pPr>
        <w:spacing w:after="0" w:line="148" w:lineRule="exact"/>
        <w:rPr>
          <w:rFonts w:ascii="Times New Roman" w:cs="Times New Roman" w:eastAsia="Times New Roman" w:hAnsi="Times New Roman"/>
          <w:sz w:val="19"/>
          <w:szCs w:val="19"/>
          <w:color w:val="auto"/>
        </w:rPr>
      </w:pPr>
    </w:p>
    <w:p>
      <w:pPr>
        <w:ind w:left="300" w:right="880" w:hanging="299"/>
        <w:spacing w:after="0" w:line="261" w:lineRule="auto"/>
        <w:tabs>
          <w:tab w:leader="none" w:pos="28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refusal by the FDA, the EMA or comparable foreign regulatory authorities to approve pending applications or supplements to approved applications filed by us or suspension or revocation of approvals;</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seizure or detention, or refusal to permit the import or export of our product candidates;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negative impact to our reputation;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injunctions or the imposition of civil or criminal penalties.</w:t>
      </w:r>
    </w:p>
    <w:p>
      <w:pPr>
        <w:spacing w:after="0" w:line="13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9"/>
          <w:szCs w:val="19"/>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8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medical judgement.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9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7" w:name="page28"/>
    <w:bookmarkEnd w:id="27"/>
    <w:p>
      <w:pPr>
        <w:ind w:right="100"/>
        <w:spacing w:after="0" w:line="248" w:lineRule="auto"/>
        <w:rPr>
          <w:sz w:val="20"/>
          <w:szCs w:val="20"/>
          <w:color w:val="auto"/>
        </w:rPr>
      </w:pPr>
      <w:r>
        <w:rPr>
          <w:rFonts w:ascii="Times New Roman" w:cs="Times New Roman" w:eastAsia="Times New Roman" w:hAnsi="Times New Roman"/>
          <w:sz w:val="19"/>
          <w:szCs w:val="19"/>
          <w:color w:val="auto"/>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in other countries. For example, the policies and executive actions of the Biden administration may impact our business and industry.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spacing w:after="0" w:line="1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7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Commercialization of Our Product Candidates</w:t>
      </w:r>
    </w:p>
    <w:p>
      <w:pPr>
        <w:spacing w:after="0" w:line="13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75"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9"/>
          <w:szCs w:val="19"/>
          <w:color w:val="auto"/>
        </w:rPr>
        <w:t>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There have been executive, judicial and Congressional challenges and amendments to certain aspects of the ACA.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8" w:name="page29"/>
    <w:bookmarkEnd w:id="28"/>
    <w:p>
      <w:pPr>
        <w:ind w:right="720"/>
        <w:spacing w:after="0" w:line="247" w:lineRule="auto"/>
        <w:rPr>
          <w:sz w:val="20"/>
          <w:szCs w:val="20"/>
          <w:color w:val="auto"/>
        </w:rPr>
      </w:pPr>
      <w:r>
        <w:rPr>
          <w:rFonts w:ascii="Times New Roman" w:cs="Times New Roman" w:eastAsia="Times New Roman" w:hAnsi="Times New Roman"/>
          <w:sz w:val="19"/>
          <w:szCs w:val="19"/>
          <w:color w:val="auto"/>
        </w:rPr>
        <w:t>subject to judicial or Congressional challenges in the future. It is unclear how such challenges, and the healthcare reform measures of the new administration will impact the ACA and our business.</w:t>
      </w:r>
    </w:p>
    <w:p>
      <w:pPr>
        <w:spacing w:after="0" w:line="108"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ACA was enacted. For example, on August 2, 2011, the Budget Control Act of 2011, among other things, includes aggregate reductions of Medicare payments to providers of 2% per fiscal year. These reductions went into effect on April 1, 2013 and, due to subsequent legislative amendments to the statute will remain in effect until 2032 unless additional U.S.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w:t>
      </w:r>
    </w:p>
    <w:p>
      <w:pPr>
        <w:spacing w:after="0" w:line="1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Recently there has also been heightened governmental scrutiny over the manner in which manufacturers set prices for their marketed products.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IRA, among other things (i) directs the U.S. Department of Health and Human Services ("HHS") to negotiate the price of certain high-expenditure, single-source biologics that have been on the market for 11 years covered under Medicare (the “Medicare Drug Price Negotiation Program") and (ii)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these or similar policy initiatives will be implemented in the future. In addition, Congress is considering additional health reform measures.</w:t>
      </w:r>
    </w:p>
    <w:p>
      <w:pPr>
        <w:spacing w:after="0" w:line="19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9"/>
          <w:szCs w:val="19"/>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We expect that additional U.S. federal healthcare reform measures will be adopted in the future, particularly in light of the recent U.S. Presidential and Congressional elections, any of which could limit the amounts that the U.S. federal government will pay for healthcare products and services, which could result in reduced demand for our product candidates or additional pricing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9" w:name="page30"/>
    <w:bookmarkEnd w:id="29"/>
    <w:p>
      <w:pPr>
        <w:ind w:right="120"/>
        <w:spacing w:after="0" w:line="262"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cannot predict the likelihood, nature or extent of government regulation that may arise from future legislation or administrative action, either in the United States or in other countries.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healthcare laws, regulation and enforcement. Our failure to comply with these laws could harm our results of operations and financial conditions.</w:t>
      </w:r>
    </w:p>
    <w:p>
      <w:pPr>
        <w:spacing w:after="0" w:line="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 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 regulatory authorities in jurisdictions in which we conduct our business. The laws that may affect our ability to operate include:</w:t>
      </w:r>
    </w:p>
    <w:p>
      <w:pPr>
        <w:spacing w:after="0" w:line="110" w:lineRule="exact"/>
        <w:rPr>
          <w:sz w:val="20"/>
          <w:szCs w:val="20"/>
          <w:color w:val="auto"/>
        </w:rPr>
      </w:pPr>
    </w:p>
    <w:p>
      <w:pPr>
        <w:ind w:left="300" w:right="240" w:hanging="299"/>
        <w:spacing w:after="0" w:line="272" w:lineRule="auto"/>
        <w:tabs>
          <w:tab w:leader="none" w:pos="2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30" w:name="page31"/>
    <w:bookmarkEnd w:id="30"/>
    <w:p>
      <w:pPr>
        <w:ind w:left="299" w:right="140" w:hanging="299"/>
        <w:spacing w:after="0" w:line="249" w:lineRule="auto"/>
        <w:tabs>
          <w:tab w:leader="none" w:pos="28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w:t>
      </w:r>
    </w:p>
    <w:p>
      <w:pPr>
        <w:spacing w:after="0" w:line="120" w:lineRule="exact"/>
        <w:rPr>
          <w:rFonts w:ascii="Times New Roman" w:cs="Times New Roman" w:eastAsia="Times New Roman" w:hAnsi="Times New Roman"/>
          <w:sz w:val="19"/>
          <w:szCs w:val="19"/>
          <w:color w:val="auto"/>
        </w:rPr>
      </w:pPr>
    </w:p>
    <w:p>
      <w:pPr>
        <w:ind w:left="299" w:right="180" w:hanging="299"/>
        <w:spacing w:after="0" w:line="249" w:lineRule="auto"/>
        <w:tabs>
          <w:tab w:leader="none" w:pos="28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119" w:lineRule="exact"/>
        <w:rPr>
          <w:rFonts w:ascii="Times New Roman" w:cs="Times New Roman" w:eastAsia="Times New Roman" w:hAnsi="Times New Roman"/>
          <w:sz w:val="19"/>
          <w:szCs w:val="19"/>
          <w:color w:val="auto"/>
        </w:rPr>
      </w:pPr>
    </w:p>
    <w:p>
      <w:pPr>
        <w:ind w:left="299" w:right="20" w:hanging="299"/>
        <w:spacing w:after="0" w:line="249" w:lineRule="auto"/>
        <w:tabs>
          <w:tab w:leader="none" w:pos="28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08" w:lineRule="exact"/>
        <w:rPr>
          <w:rFonts w:ascii="Times New Roman" w:cs="Times New Roman" w:eastAsia="Times New Roman" w:hAnsi="Times New Roman"/>
          <w:sz w:val="19"/>
          <w:szCs w:val="19"/>
          <w:color w:val="auto"/>
        </w:rPr>
      </w:pPr>
    </w:p>
    <w:p>
      <w:pPr>
        <w:ind w:left="299" w:right="720" w:hanging="299"/>
        <w:spacing w:after="0" w:line="261" w:lineRule="auto"/>
        <w:tabs>
          <w:tab w:leader="none" w:pos="28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Federal Food, Drug, and Cosmetic Act, or FDCA, which prohibits, among other things, the adulteration or misbranding of drugs, biologics and medical devices;</w:t>
      </w:r>
    </w:p>
    <w:p>
      <w:pPr>
        <w:spacing w:after="0" w:line="120" w:lineRule="exact"/>
        <w:rPr>
          <w:rFonts w:ascii="Times New Roman" w:cs="Times New Roman" w:eastAsia="Times New Roman" w:hAnsi="Times New Roman"/>
          <w:sz w:val="19"/>
          <w:szCs w:val="19"/>
          <w:color w:val="auto"/>
        </w:rPr>
      </w:pPr>
    </w:p>
    <w:p>
      <w:pPr>
        <w:ind w:left="299" w:right="200" w:hanging="299"/>
        <w:spacing w:after="0" w:line="239" w:lineRule="auto"/>
        <w:tabs>
          <w:tab w:leader="none" w:pos="293"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9"/>
          <w:szCs w:val="19"/>
          <w:color w:val="auto"/>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the Centers for Medicare &amp; Medicaid Services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215" w:lineRule="exact"/>
        <w:rPr>
          <w:rFonts w:ascii="Arial" w:cs="Arial" w:eastAsia="Arial" w:hAnsi="Arial"/>
          <w:sz w:val="20"/>
          <w:szCs w:val="20"/>
          <w:color w:val="auto"/>
        </w:rPr>
      </w:pPr>
    </w:p>
    <w:p>
      <w:pPr>
        <w:ind w:left="299" w:hanging="299"/>
        <w:spacing w:after="0" w:line="246" w:lineRule="auto"/>
        <w:tabs>
          <w:tab w:leader="none" w:pos="2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659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39"/>
          </w:cols>
          <w:pgMar w:left="321" w:top="1334" w:right="339" w:bottom="1440" w:gutter="0" w:footer="0" w:header="0"/>
        </w:sectPr>
      </w:pPr>
    </w:p>
    <w:bookmarkStart w:id="31" w:name="page32"/>
    <w:bookmarkEnd w:id="31"/>
    <w:p>
      <w:pPr>
        <w:ind w:left="300" w:right="180" w:hanging="299"/>
        <w:spacing w:after="0" w:line="275" w:lineRule="auto"/>
        <w:tabs>
          <w:tab w:leader="none" w:pos="28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European and other foreign law equivalents of each of the above laws, including reporting requirements detailing interactions with and payments to healthcare providers.</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or comparable foreign programs, additional reporting requirements and oversight if we become subject to a corporate integrity agreement or similar agreement to resolve allegations of non-compliance with these laws, reputational harm and the curtailment or restructuring of our operations.</w:t>
      </w:r>
    </w:p>
    <w:p>
      <w:pPr>
        <w:spacing w:after="0" w:line="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w:t>
      </w:r>
    </w:p>
    <w:p>
      <w:pPr>
        <w:spacing w:after="0" w:line="10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w:t>
      </w:r>
    </w:p>
    <w:p>
      <w:pPr>
        <w:spacing w:after="0" w:line="11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9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 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2" w:name="page33"/>
    <w:bookmarkEnd w:id="32"/>
    <w:p>
      <w:pPr>
        <w:ind w:right="240"/>
        <w:spacing w:after="0" w:line="275" w:lineRule="auto"/>
        <w:rPr>
          <w:sz w:val="20"/>
          <w:szCs w:val="20"/>
          <w:color w:val="auto"/>
        </w:rPr>
      </w:pPr>
      <w:r>
        <w:rPr>
          <w:rFonts w:ascii="Times New Roman" w:cs="Times New Roman" w:eastAsia="Times New Roman" w:hAnsi="Times New Roman"/>
          <w:sz w:val="19"/>
          <w:szCs w:val="19"/>
          <w:color w:val="auto"/>
        </w:rPr>
        <w:t>that coverage and reimbursement in the United States, the European Union or elsewhere will be available for any product that we may develop, and any reimbursement that may become available may be decreased or eliminated in the future.</w:t>
      </w:r>
    </w:p>
    <w:p>
      <w:pPr>
        <w:spacing w:after="0" w:line="8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0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Additionally, coverage policies and third-party reimbursement rates may change at any time. Even if favorable coverage and reimbursement status is attained for one or more of our tests, less favorable coverage policies and reimbursement rates may be implemented in the future. Furthermore, rules and regulations regarding reimbursement change frequently, in some cases at short notice, and we believe that changes in these rules and regulations are likely.</w:t>
      </w:r>
    </w:p>
    <w:p>
      <w:pPr>
        <w:spacing w:after="0" w:line="10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33" w:name="page34"/>
    <w:bookmarkEnd w:id="33"/>
    <w:p>
      <w:pPr>
        <w:ind w:right="60"/>
        <w:spacing w:after="0" w:line="256" w:lineRule="auto"/>
        <w:rPr>
          <w:sz w:val="20"/>
          <w:szCs w:val="20"/>
          <w:color w:val="auto"/>
        </w:rPr>
      </w:pPr>
      <w:r>
        <w:rPr>
          <w:rFonts w:ascii="Times New Roman" w:cs="Times New Roman" w:eastAsia="Times New Roman" w:hAnsi="Times New Roman"/>
          <w:sz w:val="19"/>
          <w:szCs w:val="19"/>
          <w:color w:val="auto"/>
        </w:rPr>
        <w:t>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Moreover, increasing efforts by governmental and third-party payors in the European Union,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The future commercial success of our product candidates will depend on the degree of market acceptance of our potential products among physicians, patients, healthcare payors and the medical community.</w:t>
      </w:r>
    </w:p>
    <w:p>
      <w:pPr>
        <w:spacing w:after="0" w:line="7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if and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spacing w:after="0" w:line="119" w:lineRule="exact"/>
        <w:rPr>
          <w:sz w:val="20"/>
          <w:szCs w:val="20"/>
          <w:color w:val="auto"/>
        </w:rPr>
      </w:pPr>
    </w:p>
    <w:p>
      <w:pPr>
        <w:ind w:left="300" w:hanging="299"/>
        <w:spacing w:after="0"/>
        <w:tabs>
          <w:tab w:leader="none" w:pos="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wording of the product label;</w:t>
      </w:r>
    </w:p>
    <w:p>
      <w:pPr>
        <w:spacing w:after="0" w:line="136" w:lineRule="exact"/>
        <w:rPr>
          <w:rFonts w:ascii="Times New Roman" w:cs="Times New Roman" w:eastAsia="Times New Roman" w:hAnsi="Times New Roman"/>
          <w:sz w:val="19"/>
          <w:szCs w:val="19"/>
          <w:color w:val="auto"/>
        </w:rPr>
      </w:pPr>
    </w:p>
    <w:p>
      <w:pPr>
        <w:ind w:left="300" w:right="60" w:hanging="299"/>
        <w:spacing w:after="0" w:line="275" w:lineRule="auto"/>
        <w:tabs>
          <w:tab w:leader="none" w:pos="28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standard of care as well as recommendations from relevant national and/or international associations for the targeted indications for any product candidate;</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marketing and distribution support;</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product liability claims;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acceptance by physicians, patients and healthcare payors of each product as safe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34" w:name="page35"/>
    <w:bookmarkEnd w:id="34"/>
    <w:p>
      <w:pPr>
        <w:ind w:left="300" w:hanging="299"/>
        <w:spacing w:after="0"/>
        <w:tabs>
          <w:tab w:leader="none" w:pos="3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relative convenience, ease of use, ease of administration and other perceived advantages over alternative products;</w:t>
      </w:r>
    </w:p>
    <w:p>
      <w:pPr>
        <w:spacing w:after="0" w:line="136" w:lineRule="exact"/>
        <w:rPr>
          <w:rFonts w:ascii="Times New Roman" w:cs="Times New Roman" w:eastAsia="Times New Roman" w:hAnsi="Times New Roman"/>
          <w:sz w:val="19"/>
          <w:szCs w:val="19"/>
          <w:color w:val="auto"/>
        </w:rPr>
      </w:pPr>
    </w:p>
    <w:p>
      <w:pPr>
        <w:ind w:left="300" w:right="40" w:hanging="299"/>
        <w:spacing w:after="0" w:line="275" w:lineRule="auto"/>
        <w:tabs>
          <w:tab w:leader="none" w:pos="28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availability of coverage and adequate reimbursement from third-party payors and the willingness of patients to pay out-of-pocket in the absence of adequate reimbursement;</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prevalence and severity of adverse events or publicity;</w:t>
      </w:r>
    </w:p>
    <w:p>
      <w:pPr>
        <w:spacing w:after="0" w:line="136" w:lineRule="exact"/>
        <w:rPr>
          <w:rFonts w:ascii="Times New Roman" w:cs="Times New Roman" w:eastAsia="Times New Roman" w:hAnsi="Times New Roman"/>
          <w:sz w:val="19"/>
          <w:szCs w:val="19"/>
          <w:color w:val="auto"/>
        </w:rPr>
      </w:pPr>
    </w:p>
    <w:p>
      <w:pPr>
        <w:ind w:left="300" w:right="200" w:hanging="299"/>
        <w:spacing w:after="0" w:line="275" w:lineRule="auto"/>
        <w:tabs>
          <w:tab w:leader="none" w:pos="28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limitations, precautions or warnings listed in the summary of product characteristics, patient information leaflet, package labeling or instructions for use;</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of treatment with our products in relation to alternative treatments;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to which products are approved for inclusion and reimbursed on formularies of hospitals and managed care organizations; and</w:t>
      </w:r>
    </w:p>
    <w:p>
      <w:pPr>
        <w:spacing w:after="0" w:line="148" w:lineRule="exact"/>
        <w:rPr>
          <w:rFonts w:ascii="Times New Roman" w:cs="Times New Roman" w:eastAsia="Times New Roman" w:hAnsi="Times New Roman"/>
          <w:sz w:val="19"/>
          <w:szCs w:val="19"/>
          <w:color w:val="auto"/>
        </w:rPr>
      </w:pPr>
    </w:p>
    <w:p>
      <w:pPr>
        <w:ind w:left="300" w:right="220" w:hanging="299"/>
        <w:spacing w:after="0" w:line="261" w:lineRule="auto"/>
        <w:tabs>
          <w:tab w:leader="none" w:pos="28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our products are designated in the label, under physician treatment guidelines or under reimbursement guidelines as a first-line, second-line, third-line or last-line therapy.</w:t>
      </w:r>
    </w:p>
    <w:p>
      <w:pPr>
        <w:spacing w:after="0" w:line="10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9"/>
          <w:szCs w:val="19"/>
          <w:color w:val="auto"/>
        </w:rPr>
        <w:t>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w:t>
      </w:r>
    </w:p>
    <w:p>
      <w:pPr>
        <w:spacing w:after="0" w:line="113"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have never commercialized a product candidate before and may lack the necessary expertise, personnel and resources to successfully commercialize our products on our own or together with suitable collaboration partners.</w:t>
      </w:r>
    </w:p>
    <w:p>
      <w:pPr>
        <w:spacing w:after="0" w:line="8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w:t>
      </w:r>
    </w:p>
    <w:p>
      <w:pPr>
        <w:spacing w:after="0" w:line="9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06" w:lineRule="exact"/>
        <w:rPr>
          <w:sz w:val="20"/>
          <w:szCs w:val="20"/>
          <w:color w:val="auto"/>
        </w:rPr>
      </w:pPr>
    </w:p>
    <w:p>
      <w:pPr>
        <w:ind w:left="300" w:hanging="299"/>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build a supply chain with sufficient coverage and capacity to fully support the sales and marketing efforts of any future products;</w:t>
      </w:r>
    </w:p>
    <w:p>
      <w:pPr>
        <w:spacing w:after="0" w:line="160"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inability to recruit, train and retain adequate numbers of effective sales and marketing personnel;</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our failure to educate adequate numbers of physicians on the benefits of any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35" w:name="page36"/>
    <w:bookmarkEnd w:id="35"/>
    <w:p>
      <w:pPr>
        <w:ind w:left="300" w:right="220" w:hanging="299"/>
        <w:spacing w:after="0" w:line="275" w:lineRule="auto"/>
        <w:tabs>
          <w:tab w:leader="none" w:pos="28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lack of complementary products to be offered by sales personnel, which may put us at a competitive disadvantage relative to companies with more extensive product lines;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unforeseen costs and expenses associated with creating an independent sales and marketing organization;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costs of marketing and promotion above those anticipated by us.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9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product candidates for which we intend to seek approval as biologic products may face competition sooner than anticipated.</w:t>
      </w:r>
    </w:p>
    <w:p>
      <w:pPr>
        <w:spacing w:after="0" w:line="14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w:t>
      </w:r>
    </w:p>
    <w:p>
      <w:pPr>
        <w:spacing w:after="0" w:line="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9"/>
          <w:szCs w:val="19"/>
          <w:color w:val="auto"/>
        </w:rPr>
        <w:t>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1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The European Union provides opportunities for data and market exclusivity related to marketing authorizations. Upon receiving a marketing authorization, innovative medicinal products are generally entitled to receive eight years of data exclusivity and 10 years of market exclusivity. Data exclusivity,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6" w:name="page37"/>
    <w:bookmarkEnd w:id="36"/>
    <w:p>
      <w:pPr>
        <w:spacing w:after="0" w:line="248" w:lineRule="auto"/>
        <w:rPr>
          <w:sz w:val="20"/>
          <w:szCs w:val="20"/>
          <w:color w:val="auto"/>
        </w:rPr>
      </w:pPr>
      <w:r>
        <w:rPr>
          <w:rFonts w:ascii="Times New Roman" w:cs="Times New Roman" w:eastAsia="Times New Roman" w:hAnsi="Times New Roman"/>
          <w:sz w:val="19"/>
          <w:szCs w:val="19"/>
          <w:color w:val="auto"/>
        </w:rPr>
        <w:t>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European Union.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chemical/biological entity, and products may not qualify for data exclusivity.</w:t>
      </w:r>
    </w:p>
    <w:p>
      <w:pPr>
        <w:spacing w:after="0" w:line="10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9"/>
          <w:szCs w:val="19"/>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0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We also believe that our product candidates in the EEA should benefit from this data and market exclusivity. As with the U.S., however, if competitors obtain marketing authorization for their biosimilar products, our products may become subject to competition from these biosimilars, with the attendant competitive pressure and consequences.</w:t>
      </w:r>
    </w:p>
    <w:p>
      <w:pPr>
        <w:spacing w:after="0" w:line="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If we do not achieve our projected development and commercialization goals in the timeframes we announce and expect, the commercialization of our product candidates or any future product candidates may be delayed, and our business will be harmed.</w:t>
      </w:r>
    </w:p>
    <w:p>
      <w:pPr>
        <w:spacing w:after="0" w:line="8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which may cause the timing of achieving the milestones to vary considerably from our estimates, including:</w:t>
      </w:r>
    </w:p>
    <w:p>
      <w:pPr>
        <w:spacing w:after="0" w:line="122" w:lineRule="exact"/>
        <w:rPr>
          <w:sz w:val="20"/>
          <w:szCs w:val="20"/>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available capital resources or capital constraints we experience;</w:t>
      </w:r>
    </w:p>
    <w:p>
      <w:pPr>
        <w:spacing w:after="0" w:line="136" w:lineRule="exact"/>
        <w:rPr>
          <w:rFonts w:ascii="Times New Roman" w:cs="Times New Roman" w:eastAsia="Times New Roman" w:hAnsi="Times New Roman"/>
          <w:sz w:val="17"/>
          <w:szCs w:val="17"/>
          <w:color w:val="auto"/>
        </w:rPr>
      </w:pPr>
    </w:p>
    <w:p>
      <w:pPr>
        <w:ind w:left="300" w:right="320" w:hanging="299"/>
        <w:spacing w:after="0" w:line="275" w:lineRule="auto"/>
        <w:tabs>
          <w:tab w:leader="none" w:pos="2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rate of progress, costs, and results of our clinical trials and research and development activities, including the extent of scheduling conflicts with participating clinicians and collaborators;</w:t>
      </w:r>
    </w:p>
    <w:p>
      <w:pPr>
        <w:spacing w:after="0" w:line="8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identify and enroll patients who meet clinical trial eligibility criteria;</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receipt of approvals by the FDA, EMA and comparable foreign regulatory authorities, and the timing thereof;</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other actions, decisions, or rules issued by regulators;</w:t>
      </w:r>
    </w:p>
    <w:p>
      <w:pPr>
        <w:spacing w:after="0" w:line="14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access sufficient, reliable, and affordable supplies of materials used in the manufacture of our product candidates;</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manufacture and supply clinical trial materials to our clinical sites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37" w:name="page38"/>
    <w:bookmarkEnd w:id="37"/>
    <w:p>
      <w:pPr>
        <w:ind w:left="300" w:hanging="299"/>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efforts of our collaborators with respect to the commercialization of our approved products, if any; and</w:t>
      </w:r>
    </w:p>
    <w:p>
      <w:pPr>
        <w:spacing w:after="0" w:line="13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securing of, costs related to, and timing issues associated with, commercial product manufacturing, as well as sales and marketing activities.</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Business and Industry</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w:t>
      </w:r>
    </w:p>
    <w:p>
      <w:pPr>
        <w:spacing w:after="0" w:line="9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The international biopharmaceutical and medical technology industry is highly regulated by the FDA, the EMA and other comparable foreign authorities and by other national or supra-national regulatory authorities that impose 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w:t>
      </w:r>
    </w:p>
    <w:p>
      <w:pPr>
        <w:spacing w:after="0" w:line="11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Compliance with requirements laid down by local regulatory authorities is necessary in each country where we, or any of our partners or licensees, conduct said activities in whole or in part. Local regulatory authorities notably include the EMA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EMA does not ensure approval by the comparable foreign authorities in other countries, and approval by one or more foreign regulatory authorities does not ensure approval by regulatory authorities in other foreign countries or by the FDA or EMA.</w:t>
      </w:r>
    </w:p>
    <w:p>
      <w:pPr>
        <w:spacing w:after="0" w:line="11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 candidates. Each of the FDA,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8" w:name="page39"/>
    <w:bookmarkEnd w:id="38"/>
    <w:p>
      <w:pPr>
        <w:ind w:right="20"/>
        <w:spacing w:after="0" w:line="248" w:lineRule="auto"/>
        <w:rPr>
          <w:sz w:val="20"/>
          <w:szCs w:val="20"/>
          <w:color w:val="auto"/>
        </w:rPr>
      </w:pPr>
      <w:r>
        <w:rPr>
          <w:rFonts w:ascii="Times New Roman" w:cs="Times New Roman" w:eastAsia="Times New Roman" w:hAnsi="Times New Roman"/>
          <w:sz w:val="19"/>
          <w:szCs w:val="19"/>
          <w:color w:val="auto"/>
        </w:rPr>
        <w:t>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other comparable foreign authorities or that products will be approved for marketing by such regulatory authorities in any pre-determined indication or intended use. Any of the FDA, the EMA and other comparable foreign authorities may disagree with our interpretation of data submitted for their review.</w:t>
      </w:r>
    </w:p>
    <w:p>
      <w:pPr>
        <w:spacing w:after="0" w:line="1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and our collaborative partners are, or may become subject to, numerous ongoing other regulatory obligations, such as data protection, environmental, health and safety laws and restrictions on the experimental use of animals. 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w:t>
      </w:r>
    </w:p>
    <w:p>
      <w:pPr>
        <w:spacing w:after="0" w:line="116"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Changes in funding for the FDA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our business may rely, which could negatively impact our business.</w:t>
      </w:r>
    </w:p>
    <w:p>
      <w:pPr>
        <w:spacing w:after="0" w:line="9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research and development activities could be affected or delayed as a result of possible restrictions on animal testing.</w:t>
      </w:r>
    </w:p>
    <w:p>
      <w:pPr>
        <w:spacing w:after="0" w:line="15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9" w:name="page40"/>
    <w:bookmarkEnd w:id="39"/>
    <w:p>
      <w:pPr>
        <w:jc w:val="both"/>
        <w:ind w:right="280"/>
        <w:spacing w:after="0" w:line="304" w:lineRule="auto"/>
        <w:rPr>
          <w:sz w:val="20"/>
          <w:szCs w:val="20"/>
          <w:color w:val="auto"/>
        </w:rPr>
      </w:pPr>
      <w:r>
        <w:rPr>
          <w:rFonts w:ascii="Times New Roman" w:cs="Times New Roman" w:eastAsia="Times New Roman" w:hAnsi="Times New Roman"/>
          <w:sz w:val="18"/>
          <w:szCs w:val="18"/>
          <w:color w:val="auto"/>
        </w:rPr>
        <w:t>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5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Because we are subject to environmental, health and safety laws and regulations, we may become exposed to liability and substantial expenses in connection with environmental compliance or remediation activities which may adversely affect our business.</w:t>
      </w:r>
    </w:p>
    <w:p>
      <w:pPr>
        <w:spacing w:after="0" w:line="10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radioactive compounds and byproducts, chemical solvents, human cells, carcinogenic compounds, mutagenic compounds and compounds that have a toxic effect on reproduction, laboratory procedures and exposure to blood-borne pathogens. We cannot eliminate, and we cannot guarantee that our third-party partners would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w:t>
      </w:r>
    </w:p>
    <w:p>
      <w:pPr>
        <w:spacing w:after="0" w:line="10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w:t>
      </w:r>
    </w:p>
    <w:p>
      <w:pPr>
        <w:spacing w:after="0" w:line="11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w:t>
      </w:r>
    </w:p>
    <w:p>
      <w:pPr>
        <w:spacing w:after="0" w:line="108"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9"/>
          <w:szCs w:val="19"/>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if approved.</w:t>
      </w:r>
    </w:p>
    <w:p>
      <w:pPr>
        <w:spacing w:after="0" w:line="95" w:lineRule="exact"/>
        <w:rPr>
          <w:sz w:val="20"/>
          <w:szCs w:val="20"/>
          <w:color w:val="auto"/>
        </w:rPr>
      </w:pPr>
    </w:p>
    <w:p>
      <w:pPr>
        <w:ind w:right="840"/>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The use of hazardous materials, including radioactive and biological materials, in our research and development efforts imposes certain compliance costs on us and may subject us to liability for claims arising from the use or misuse of these materials.</w:t>
      </w:r>
    </w:p>
    <w:p>
      <w:pPr>
        <w:spacing w:after="0" w:line="1" w:lineRule="exact"/>
        <w:rPr>
          <w:sz w:val="20"/>
          <w:szCs w:val="20"/>
          <w:color w:val="auto"/>
        </w:rPr>
      </w:pPr>
    </w:p>
    <w:p>
      <w:pPr>
        <w:ind w:firstLine="228"/>
        <w:spacing w:after="0" w:line="246" w:lineRule="auto"/>
        <w:rPr>
          <w:sz w:val="20"/>
          <w:szCs w:val="20"/>
          <w:color w:val="auto"/>
        </w:rPr>
      </w:pPr>
      <w:r>
        <w:rPr>
          <w:rFonts w:ascii="Times New Roman" w:cs="Times New Roman" w:eastAsia="Times New Roman" w:hAnsi="Times New Roman"/>
          <w:sz w:val="19"/>
          <w:szCs w:val="19"/>
          <w:color w:val="auto"/>
        </w:rPr>
        <w:t>Our research, development and manufacturing activities involve the controlled use of hazardous materials, including chemicals, radioactive and biological materials, such as radioisotopes. We are subject to federal, state, local and foreign environmental laws and regulations governing, among other matters, the handling, storage, use and disposal of these materials and some waste products. In addition, we are required to obtain and maintain a hazardous materials license, pursuant to which we are required to perform annual self-audits, and that may result in random inspections by regulators. If such audit or inspection were to result in adverse findings, it may impact our ability to maintain our license, which would in turn adversely affect our ability to conduct our business. Additionally, we cannot completely eliminate the risk of contamination or injury from these materials and we could be held liable for any damages that result, which could exceed our financial resources. We currently maintain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0" w:name="page41"/>
    <w:bookmarkEnd w:id="40"/>
    <w:p>
      <w:pPr>
        <w:ind w:right="80"/>
        <w:spacing w:after="0" w:line="254" w:lineRule="auto"/>
        <w:rPr>
          <w:sz w:val="20"/>
          <w:szCs w:val="20"/>
          <w:color w:val="auto"/>
        </w:rPr>
      </w:pPr>
      <w:r>
        <w:rPr>
          <w:rFonts w:ascii="Times New Roman" w:cs="Times New Roman" w:eastAsia="Times New Roman" w:hAnsi="Times New Roman"/>
          <w:sz w:val="19"/>
          <w:szCs w:val="19"/>
          <w:color w:val="auto"/>
        </w:rPr>
        <w:t>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8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9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EMA and other comparable foreign authorities, including those laws that require the reporting of true, complete and accurate information to such authorities; manufacturing standards; federal and state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high dependency on public perception of our products may negatively influence the success of these products.</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1" w:name="page42"/>
    <w:bookmarkEnd w:id="41"/>
    <w:p>
      <w:pPr>
        <w:jc w:val="both"/>
        <w:ind w:right="280"/>
        <w:spacing w:after="0" w:line="256" w:lineRule="auto"/>
        <w:rPr>
          <w:sz w:val="20"/>
          <w:szCs w:val="20"/>
          <w:color w:val="auto"/>
        </w:rPr>
      </w:pPr>
      <w:r>
        <w:rPr>
          <w:rFonts w:ascii="Times New Roman" w:cs="Times New Roman" w:eastAsia="Times New Roman" w:hAnsi="Times New Roman"/>
          <w:sz w:val="19"/>
          <w:szCs w:val="19"/>
          <w:color w:val="auto"/>
        </w:rPr>
        <w:t>Future adverse events in research into the oncology fields that we focus our research efforts on, or the biopharmaceutical industry more generally,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Failure to successfully identify, develop and commercialize additional products or product candidates could impair our ability to grow.</w:t>
      </w:r>
    </w:p>
    <w:p>
      <w:pPr>
        <w:spacing w:after="0" w:line="15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Although a substantial amount of our efforts will focus on the continued preclinical and clinical testing and potential approval of our product candidates in our current pipeline, a key element of our long-term growth strategy is to develop and market additional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 partly upon our ability to identify, select and develop promising product candidates and products. Our DARPin platform and future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w:t>
      </w:r>
    </w:p>
    <w:p>
      <w:pPr>
        <w:spacing w:after="0" w:line="10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may expend our limited resources to pursue a particular DARPin product candidate or indication and fail to capitalize on DARPin product candidates or indications that may be more profitable or for which there is a greater likelihood of success.</w:t>
      </w:r>
    </w:p>
    <w:p>
      <w:pPr>
        <w:spacing w:after="0" w:line="10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w:t>
      </w:r>
    </w:p>
    <w:p>
      <w:pPr>
        <w:spacing w:after="0" w:line="10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w:t>
      </w:r>
    </w:p>
    <w:p>
      <w:pPr>
        <w:spacing w:after="0" w:line="86"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Service or supply failures, or other failures, business interruptions or other disasters affecting the manufacturing facilities of any party participating in the supply chain would adversely affect our ability to supply our products, if approved.</w:t>
      </w:r>
    </w:p>
    <w:p>
      <w:pPr>
        <w:spacing w:after="0" w:line="10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42" w:name="page43"/>
    <w:bookmarkEnd w:id="42"/>
    <w:p>
      <w:pPr>
        <w:ind w:right="60"/>
        <w:spacing w:after="0" w:line="247" w:lineRule="auto"/>
        <w:rPr>
          <w:sz w:val="20"/>
          <w:szCs w:val="20"/>
          <w:color w:val="auto"/>
        </w:rPr>
      </w:pPr>
      <w:r>
        <w:rPr>
          <w:rFonts w:ascii="Times New Roman" w:cs="Times New Roman" w:eastAsia="Times New Roman" w:hAnsi="Times New Roman"/>
          <w:sz w:val="19"/>
          <w:szCs w:val="19"/>
          <w:color w:val="auto"/>
        </w:rPr>
        <w:t>Also, certain raw materials or other products necessary for the manufacture and formulation of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product candidates, and to supply various raw materials and other products, including for the RDT where we will rely on isotope providers and third-parties capabilities in radio-labelling and product supply.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w:t>
      </w:r>
    </w:p>
    <w:p>
      <w:pPr>
        <w:spacing w:after="0" w:line="11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may develop our DARPin platform and other current or future product candidates, in combination with other therapies, which exposes us to additional risks.</w:t>
      </w:r>
    </w:p>
    <w:p>
      <w:pPr>
        <w:spacing w:after="0" w:line="8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spacing w:after="0" w:line="12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We may also evaluate our DARPin platform or any other current or future product candidates in combination with one or more other therapies that have not yet been approved for marketing by the FDA or comparable foreign regulatory authorities.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spacing w:after="0" w:line="1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We and the third parties with whom we work are subject to stringent and changing U.S. and foreign laws, regulations and rules, contractual obligations, industry standards, policies and other obligations related to privacy, data protection, and security. Our actual or perceived failure to comply with such obligations could lead to government enforcement actions (which could include civil or criminal penalties), regulatory investigations or actions, litigation (including class claims), fines and penalties, disruption of our business operations, and/or adverse publicity and could negatively affect our operating results and business.</w:t>
      </w:r>
    </w:p>
    <w:p>
      <w:pPr>
        <w:spacing w:after="0" w:line="98"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19"/>
          <w:szCs w:val="19"/>
          <w:color w:val="auto"/>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3" w:name="page44"/>
    <w:bookmarkEnd w:id="43"/>
    <w:p>
      <w:pPr>
        <w:jc w:val="both"/>
        <w:ind w:right="820"/>
        <w:spacing w:after="0" w:line="249" w:lineRule="auto"/>
        <w:rPr>
          <w:sz w:val="20"/>
          <w:szCs w:val="20"/>
          <w:color w:val="auto"/>
        </w:rPr>
      </w:pPr>
      <w:r>
        <w:rPr>
          <w:rFonts w:ascii="Times New Roman" w:cs="Times New Roman" w:eastAsia="Times New Roman" w:hAnsi="Times New Roman"/>
          <w:sz w:val="19"/>
          <w:szCs w:val="19"/>
          <w:color w:val="auto"/>
        </w:rPr>
        <w:t>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third parties on our behalf.</w:t>
      </w:r>
    </w:p>
    <w:p>
      <w:pPr>
        <w:spacing w:after="0" w:line="9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9"/>
          <w:szCs w:val="19"/>
          <w:color w:val="auto"/>
        </w:rPr>
        <w:t>In the United States, numerous federal and state laws, rules and regulations, including federal health information privacy laws, state data breach notification laws, state health information privacy laws, and federal and state consumer protection laws (e.g., Section 5 of the Federal Trade Commissions Act) that govern the collection, processing of personal information, including health-related personal information, apply to our operations and the operations of our collaborators. For example, HIPAA, as amended by HITECH, imposes specific requirements relating to the privacy, security, and transmission of individually identifiable health information. We obtain health information from third parties (including research institutions from which we obtain clinical trial data) that are subject to privacy and security requirements under HIPAA. Depending on the facts and circumstances, we may be subject to civil, criminal, and administrative penalties if we knowingly obtain, use, or disclose individually identifiable health information in a manner that is not authorized or permitted by HIPAA.</w:t>
      </w:r>
    </w:p>
    <w:p>
      <w:pPr>
        <w:spacing w:after="0" w:line="20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9"/>
          <w:szCs w:val="19"/>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or CCPA, applies to personal data of consumers, business representatives, and employees who are California residents, and requires businesses to provide specific disclosures in privacy notices and honor requests of such individuals to exercise certain privacy rights. The CCPA allows for statutory fines for noncompliance and includes a private right of action for certain data breaches. Although the CCPA and other state privacy laws exempt some data processed in the context of clinical trials, if we were to become subject to these laws, they may increase legal risk and compliance costs for us and the third parties with whom we work. Data privacy and security laws have been proposed at the federal, state, and local levels in recent years, which could further complicate compliance efforts.</w:t>
      </w:r>
    </w:p>
    <w:p>
      <w:pPr>
        <w:spacing w:after="0" w:line="19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Swiss Federal Act on Data Protection, or FADP, applies to the collection and processing of personal data, including health-related information, by companies located in Switzerland, or in certain circumstances, by companies located outside of Switzerland. The Swiss Information Security Act also applies to certain companies and sets forth reporting obligations for certain cybersecurity incidents. The European Union’s General Data Protection Regulation, or EU GDPR, and the United Kingdom’s GDPR, or UK GDPR, impose strict requirements for processing personal data. For example, under the EU GDPR, government regulators may impose temporary or definitive bans on data processing, as well as fines of up to 20 million euros or 4% of annual global revenue, whichever is greater. Further, companies may face private litigation related to processing of personal data brought not only by individuals but also by classes of data subjects or consumer protection organizations authorized at law to represent their interests. Additionally, EU member states are also able to legislate separately on health and genetic data, and we must comply with applicable local laws where we operate.</w:t>
      </w:r>
    </w:p>
    <w:p>
      <w:pPr>
        <w:spacing w:after="0" w:line="112" w:lineRule="exact"/>
        <w:rPr>
          <w:sz w:val="20"/>
          <w:szCs w:val="20"/>
          <w:color w:val="auto"/>
        </w:rPr>
      </w:pPr>
    </w:p>
    <w:p>
      <w:pPr>
        <w:jc w:val="both"/>
        <w:ind w:right="260"/>
        <w:spacing w:after="0" w:line="236" w:lineRule="auto"/>
        <w:rPr>
          <w:sz w:val="20"/>
          <w:szCs w:val="20"/>
          <w:color w:val="auto"/>
        </w:rPr>
      </w:pPr>
      <w:r>
        <w:rPr>
          <w:rFonts w:ascii="Times New Roman" w:cs="Times New Roman" w:eastAsia="Times New Roman" w:hAnsi="Times New Roman"/>
          <w:sz w:val="19"/>
          <w:szCs w:val="19"/>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4" w:name="page45"/>
    <w:bookmarkEnd w:id="44"/>
    <w:p>
      <w:pPr>
        <w:ind w:right="40"/>
        <w:spacing w:after="0" w:line="244" w:lineRule="auto"/>
        <w:rPr>
          <w:sz w:val="20"/>
          <w:szCs w:val="20"/>
          <w:color w:val="auto"/>
        </w:rPr>
      </w:pPr>
      <w:r>
        <w:rPr>
          <w:rFonts w:ascii="Times New Roman" w:cs="Times New Roman" w:eastAsia="Times New Roman" w:hAnsi="Times New Roman"/>
          <w:sz w:val="18"/>
          <w:szCs w:val="18"/>
          <w:color w:val="auto"/>
        </w:rPr>
        <w:t>that facilitate cross-border personal data transfers may change or be invalidated. For example, Switzerland and the EU and UK GDPR impose strict rules on the transfer of personal data outside of Switzerland, the European Economic Area (EEA) or the United Kingdom respectively, to countries which are deemed to have inadequate levels of data protection safeguards in place, such as the United States. There are currently various mechanisms that may be used to transfer personal data from the EEA, UK, and Switzerland to other countries, including the United States, in compliance with law, such as the EEA Standard Contractual Clauses, or SCCs, the UK’s International Data Transfer Agreement/Addendum and the EU-U.S. Data Privacy Framework and the UK and Swiss extensions thereto (which allows for transfers to relevant U.S.-based organizations who self-certify compliance and participate in the Framework). Currently, these mechanisms are subject to legal challenges, and there is no assurance that we can satisfy or rely on these or other mechanisms to lawfully transfer personal data to the United States. If we cannot implement a valid compliance mechanism for cross-border data transfers, we may face increased exposure to regulatory actions, substantial fines, and injunctions against processing or transferring personal data from Switzerland, Europe or other foreign jurisdictions. The inability to import personal data to the United States could significantly and negatively impact our business operations, including by limiting our ability to conduct clinical trial activities in Switzerland,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19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auto"/>
        </w:rPr>
        <w:t>We are also bound by contractual obligations related to data privacy and security, and our efforts to comply with such obligations may not be successful. For example, certain privacy laws, such as the GDPR and the CCPA, require our collaborators to impose specific contractual restrictions on their service providers. We publish privacy policies,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0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30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has in the past and may in the future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5" w:name="page46"/>
    <w:bookmarkEnd w:id="45"/>
    <w:p>
      <w:pPr>
        <w:spacing w:after="0" w:line="248" w:lineRule="auto"/>
        <w:rPr>
          <w:sz w:val="20"/>
          <w:szCs w:val="20"/>
          <w:color w:val="auto"/>
        </w:rPr>
      </w:pPr>
      <w:r>
        <w:rPr>
          <w:rFonts w:ascii="Times New Roman" w:cs="Times New Roman" w:eastAsia="Times New Roman" w:hAnsi="Times New Roman"/>
          <w:sz w:val="19"/>
          <w:szCs w:val="19"/>
          <w:color w:val="auto"/>
        </w:rPr>
        <w:t>If we fail, or are perceived to have failed, to address or comply with data privacy and security obligations, we could face significant consequences. These consequences may include, but are not limited to government enforcement actions (which could include civil, criminal and administrative penalties), private litigation, and/or adverse publicity, additional reporting requirements and/or oversight, bans on processing personal data, orders to destroy or not use personal data, imprisonment of company officials. Moreover, clinical trial subjects, employees and other individuals about whom we or our potential collaborators obtain personal information, as well as the providers who share this information with us, may limit our ability to collect, use and disclose the information.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9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9"/>
          <w:szCs w:val="19"/>
          <w:color w:val="auto"/>
        </w:rPr>
        <w:t>We are subject to other laws and regulations governing our international operations, including regulations administered by the governments of the United States, and authorities in the European Union, including applicable export control regulations, economic sanctions on countries and persons, customs requirements and currency exchange regulations, collectively referred to as the trade control laws.</w:t>
      </w:r>
    </w:p>
    <w:p>
      <w:pPr>
        <w:spacing w:after="0" w:line="10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9"/>
          <w:szCs w:val="19"/>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is no assurance that we will be effective in ensuring our compliance with all applicable anti-corruption laws, including the FCPA, the Swiss anti-corruption laws or other legal requirements, including trade control laws. If we are not in compliance with the FCPA, the Swiss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Swiss anti-corruption laws, other anti-corruption laws or trade control laws by U.S. or other authorities could also have an adverse impact on our reputation, our business, results of operations and financial condition.</w:t>
      </w:r>
    </w:p>
    <w:p>
      <w:pPr>
        <w:spacing w:after="0" w:line="9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9"/>
          <w:szCs w:val="19"/>
          <w:color w:val="auto"/>
        </w:rPr>
        <w:t>In addition, changes in our products and product candidates or changes in applicable export or import laws and regulations may create delays in the introduction or provision of our products and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6" w:name="page47"/>
    <w:bookmarkEnd w:id="46"/>
    <w:p>
      <w:pPr>
        <w:spacing w:after="0" w:line="249" w:lineRule="auto"/>
        <w:rPr>
          <w:sz w:val="20"/>
          <w:szCs w:val="20"/>
          <w:color w:val="auto"/>
        </w:rPr>
      </w:pPr>
      <w:r>
        <w:rPr>
          <w:rFonts w:ascii="Times New Roman" w:cs="Times New Roman" w:eastAsia="Times New Roman" w:hAnsi="Times New Roman"/>
          <w:sz w:val="19"/>
          <w:szCs w:val="19"/>
          <w:color w:val="auto"/>
        </w:rPr>
        <w:t>candidates in other jurisdictions, prevent others from using our products and product candidates or, in some cases, prevent the export or import of our products and product candidates to certain countries, governments or persons altogether. Any limitation on our ability to export or provide our products and product candidates could adversely affect our business, financial condition and results of operations.</w:t>
      </w:r>
    </w:p>
    <w:p>
      <w:pPr>
        <w:spacing w:after="0" w:line="9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Moreover, a growing number of investors, regulators, self-regulatory organizations and other stakeholders have expressed an interest in Environmental, Social and Corporate Governance, or ESG, matters, and are requiring more robust ESG disclosures. The related legislative landscape in Switzerland and in the EU has been evolving accordingly. According to new provisions in the Swiss Code of Obligations that became effective on 1 January 2022, publicly listed companies exceeding, together with the Swiss and foreign undertakings they control, certain thresholds must each year, as of the financial year beginning on 1 January 2023, prepare a report on non-financial matters. The report must cover environmental matters, in particular the CO2 goals, social issues, employee-related issues, respect for human rights and combating corruption. The report must contain the information required to understand the state of the company, the performance and results of its business, and the effects of its activity on these non-financial matters. The relevant thresholds are: At least 500 full-time equivalent positions on annual average in two successive financial years and exceeding one of the following thresholds in two successive financial years (ii) balance sheet total of CHF 20 million or sales revenue of CHF 40 million. In addition, under Switzerland’s legislation regarding the due diligence and transparency in relation to conflict minerals and metals and child labor in the supply chain, we may in the future be required to establish (1) a supply chain policy on conflict minerals and metals and child labor, (2) a supply chain traceability system, (3) as an early warning mechanism for risk identification, a reporting procedure that allows interested parties to raise reasonable concerns about the existence of a potential or actual adverse impact related to conflict minerals and metals and child labor, and (4) a risk management plan which identifies and assesses the risks in the supply chain according to the likelihood of occurrence and severity of adverse impacts and eliminates, prevents or minimizes such risks on that basis. If the new due diligence obligations will apply to us in the future, we will be required to publish an annual report regarding compliance with our conflict minerals and metals and child labor due diligence obligations.</w:t>
      </w:r>
    </w:p>
    <w:p>
      <w:pPr>
        <w:spacing w:after="0" w:line="19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In the EU, for example, EU Directive No 2464/2022 on Corporate Sustainability Reporting, or CSRD, was adopted and entered into force on 5 January 2023, amending the current EU Accounting Directive No 2013/34. The CSRD introduces new mandatory reporting obligations that will require in-scope companies to publish audited sustainability information. The CSRD is supplemented by EU Delegated Regulation No 2023/2772 which establishes the first set of European Sustainability Reporting Standards, or ESRS, which are applicable to in-scope EU entities. Further reporting standards are due to be adopted by June 2026, including for in-scope non-EU entities.</w:t>
      </w:r>
    </w:p>
    <w:p>
      <w:pPr>
        <w:spacing w:after="0" w:line="235" w:lineRule="auto"/>
        <w:rPr>
          <w:sz w:val="20"/>
          <w:szCs w:val="20"/>
          <w:color w:val="auto"/>
        </w:rPr>
      </w:pPr>
      <w:r>
        <w:rPr>
          <w:rFonts w:ascii="Times New Roman" w:cs="Times New Roman" w:eastAsia="Times New Roman" w:hAnsi="Times New Roman"/>
          <w:sz w:val="19"/>
          <w:szCs w:val="19"/>
          <w:color w:val="auto"/>
        </w:rPr>
        <w:t>The CSRD and ESRS require certain mandatory disclosures, as well as disclosures of certain "material" sustainability matters in the company's own operations, those of their subsidiaries and those of their value chain. Like the Swiss legislation the identification of material sustainability matters in the CSRD also requires a "double materiality" assessment. This means that in-scope entities will have to assess both financial materiality (i.e., sustainability matters which generate risks or opportunities that affect, or could reasonably be expected to affect, the company's financial position, financial performance, cash flows, access to finance or cost of capital over the short-, medium- or long-term) and impact materiality (i.e., the company's material actual or potential, positive or negative impacts on people or the environment over the short-medium and long-term). Sustainability matters are material if they satisfy one or both of these materiality tests.</w:t>
      </w:r>
    </w:p>
    <w:p>
      <w:pPr>
        <w:spacing w:after="0" w:line="11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9"/>
          <w:szCs w:val="19"/>
          <w:color w:val="auto"/>
        </w:rPr>
        <w:t>The CSRD applies to entities with securities admitted to trading on an EU-regulated market, as well as large EU companies, EU parents of a "large group", and to listed EU small or medium-sized enterprises, amongst others. It will also apply to non-EU companies that have a certain threshold of EU-generated turnover and an in-scope EU subsidiary or EU branch meeting the turnover thresholds. Companies subject to the CSRD are required to fulfil their reporting obligations in accordance with a staggered timeline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7" w:name="page48"/>
    <w:bookmarkEnd w:id="47"/>
    <w:p>
      <w:pPr>
        <w:jc w:val="both"/>
        <w:ind w:right="240"/>
        <w:spacing w:after="0" w:line="249" w:lineRule="auto"/>
        <w:rPr>
          <w:sz w:val="20"/>
          <w:szCs w:val="20"/>
          <w:color w:val="auto"/>
        </w:rPr>
      </w:pPr>
      <w:r>
        <w:rPr>
          <w:rFonts w:ascii="Times New Roman" w:cs="Times New Roman" w:eastAsia="Times New Roman" w:hAnsi="Times New Roman"/>
          <w:sz w:val="19"/>
          <w:szCs w:val="19"/>
          <w:color w:val="auto"/>
        </w:rPr>
        <w:t>depending on the category of company. The first reports are expected in 2025 for the 2024 financial year, predominantly for entities with securities admitted to trading on an EU-regulated market, and in 2026 for the 2025 financial year for many other EU companies (including EU subsidiaries of non-EU parents) that are not listed on an EU-regulated market but meet the relevant threshold tests.</w:t>
      </w:r>
    </w:p>
    <w:p>
      <w:pPr>
        <w:spacing w:after="0" w:line="9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In response to new ESG initiatives and regulations we may voluntarily elect, or be required, to adopt strategies, policies, or procedures related to ESG matters and report on these. Reporting on ESG goals and objectives may cause us to expend significant capital and human resources, and could divert management’s attention from central operational matters. Reports could also lead to the disclosure of information that which may have a negative impact on our operations and reputation which may lead to additional exposure. Failure to accurately comply with any ESG reporting obligations may result in enforcement actions, sanctions, reputational harm or private litigation.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Dependence on Third Parties</w:t>
      </w:r>
    </w:p>
    <w:p>
      <w:pPr>
        <w:spacing w:after="0" w:line="1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harmed.</w:t>
      </w:r>
    </w:p>
    <w:p>
      <w:pPr>
        <w:spacing w:after="0" w:line="9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48" w:name="page49"/>
    <w:bookmarkEnd w:id="48"/>
    <w:p>
      <w:pPr>
        <w:spacing w:after="0" w:line="249" w:lineRule="auto"/>
        <w:rPr>
          <w:sz w:val="20"/>
          <w:szCs w:val="20"/>
          <w:color w:val="auto"/>
        </w:rPr>
      </w:pPr>
      <w:r>
        <w:rPr>
          <w:rFonts w:ascii="Times New Roman" w:cs="Times New Roman" w:eastAsia="Times New Roman" w:hAnsi="Times New Roman"/>
          <w:sz w:val="19"/>
          <w:szCs w:val="19"/>
          <w:color w:val="auto"/>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 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spacing w:after="0" w:line="12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w:t>
      </w:r>
    </w:p>
    <w:p>
      <w:pPr>
        <w:spacing w:after="0" w:line="9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We are, and expect to continue to be, dependent on partnerships with partners relating to the development and commercialization of our existing and future research programs and product candidates.</w:t>
      </w:r>
    </w:p>
    <w:p>
      <w:pPr>
        <w:spacing w:after="0" w:line="1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We currently have collaborative research relationships with the University of Bern for MP0533, Orano Med for Radio-DARPin therapies, University of Freiburg and Paul Scherrer Institute for Radio-DARPin therapies and with Novartis, primarily for Radio-DARPin therapies. We have had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dependence on collaborative partners subjects us to a number of risks, including, but not limited to, the following:</w:t>
      </w:r>
    </w:p>
    <w:p>
      <w:pPr>
        <w:spacing w:after="0" w:line="136" w:lineRule="exact"/>
        <w:rPr>
          <w:sz w:val="20"/>
          <w:szCs w:val="20"/>
          <w:color w:val="auto"/>
        </w:rPr>
      </w:pPr>
    </w:p>
    <w:p>
      <w:pPr>
        <w:ind w:left="300" w:right="440" w:hanging="299"/>
        <w:spacing w:after="0" w:line="261" w:lineRule="auto"/>
        <w:tabs>
          <w:tab w:leader="none" w:pos="28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control the amount and timing of resources that the collaboration partner devotes to our research programs and product candidates;</w:t>
      </w:r>
    </w:p>
    <w:p>
      <w:pPr>
        <w:spacing w:after="0" w:line="107" w:lineRule="exact"/>
        <w:rPr>
          <w:rFonts w:ascii="Times New Roman" w:cs="Times New Roman" w:eastAsia="Times New Roman" w:hAnsi="Times New Roman"/>
          <w:sz w:val="19"/>
          <w:szCs w:val="19"/>
          <w:color w:val="auto"/>
        </w:rPr>
      </w:pPr>
    </w:p>
    <w:p>
      <w:pPr>
        <w:jc w:val="both"/>
        <w:ind w:left="300" w:right="20" w:hanging="299"/>
        <w:spacing w:after="0" w:line="256" w:lineRule="auto"/>
        <w:tabs>
          <w:tab w:leader="none" w:pos="28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spacing w:after="0" w:line="9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required to relinquish significant rights, including intellectual property or other proprietary rights, marketing and distribution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49" w:name="page50"/>
    <w:bookmarkEnd w:id="49"/>
    <w:p>
      <w:pPr>
        <w:ind w:left="300" w:hanging="299"/>
        <w:spacing w:after="0"/>
        <w:tabs>
          <w:tab w:leader="none" w:pos="3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anticipated payments under any partnership agreement (e.g., royalty payments for licensed products) may not materialize;</w:t>
      </w:r>
    </w:p>
    <w:p>
      <w:pPr>
        <w:spacing w:after="0" w:line="136" w:lineRule="exact"/>
        <w:rPr>
          <w:rFonts w:ascii="Times New Roman" w:cs="Times New Roman" w:eastAsia="Times New Roman" w:hAnsi="Times New Roman"/>
          <w:sz w:val="19"/>
          <w:szCs w:val="19"/>
          <w:color w:val="auto"/>
        </w:rPr>
      </w:pPr>
    </w:p>
    <w:p>
      <w:pPr>
        <w:ind w:left="300" w:right="40" w:hanging="299"/>
        <w:spacing w:after="0" w:line="275"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rely on the information and data received from third parties regarding their research programs and product candidates and will not have control of the process conducted by the third party in gathering and composing such data and information.</w:t>
      </w:r>
    </w:p>
    <w:p>
      <w:pPr>
        <w:spacing w:after="0" w:line="81" w:lineRule="exact"/>
        <w:rPr>
          <w:rFonts w:ascii="Times New Roman" w:cs="Times New Roman" w:eastAsia="Times New Roman" w:hAnsi="Times New Roman"/>
          <w:sz w:val="19"/>
          <w:szCs w:val="19"/>
          <w:color w:val="auto"/>
        </w:rPr>
      </w:pPr>
    </w:p>
    <w:p>
      <w:pPr>
        <w:ind w:left="300" w:right="40" w:hanging="299"/>
        <w:spacing w:after="0" w:line="256"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rights to develop and commercialize our product candidates subject to collaborations revert to us for any reason (for example MP0310 and abicipar), we may not have sufficient financial resources to develop such product candidates, which may result in us failing to recognize any value from our investments in developing such product candidates and/or requiring us to divert our resources elsewhere;</w:t>
      </w:r>
    </w:p>
    <w:p>
      <w:pPr>
        <w:spacing w:after="0" w:line="11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collaborative partner may decide not to pursue, or discontinue the collaborative development of, our product candidates;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collaborative partner may develop a competing product either by itself or in collaboration with others, including one or more of our competitors;</w:t>
      </w:r>
    </w:p>
    <w:p>
      <w:pPr>
        <w:spacing w:after="0" w:line="147" w:lineRule="exact"/>
        <w:rPr>
          <w:rFonts w:ascii="Times New Roman" w:cs="Times New Roman" w:eastAsia="Times New Roman" w:hAnsi="Times New Roman"/>
          <w:sz w:val="18"/>
          <w:szCs w:val="18"/>
          <w:color w:val="auto"/>
        </w:rPr>
      </w:pPr>
    </w:p>
    <w:p>
      <w:pPr>
        <w:ind w:left="300" w:right="280" w:hanging="299"/>
        <w:spacing w:after="0" w:line="275"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collaborative partners' willingness or ability to complete their obligations under our partnership arrangements may be adversely affected by business combinations or significant changes in a collaborative partner's business strategy;</w:t>
      </w:r>
    </w:p>
    <w:p>
      <w:pPr>
        <w:spacing w:after="0" w:line="81" w:lineRule="exact"/>
        <w:rPr>
          <w:rFonts w:ascii="Times New Roman" w:cs="Times New Roman" w:eastAsia="Times New Roman" w:hAnsi="Times New Roman"/>
          <w:sz w:val="19"/>
          <w:szCs w:val="19"/>
          <w:color w:val="auto"/>
        </w:rPr>
      </w:pPr>
    </w:p>
    <w:p>
      <w:pPr>
        <w:ind w:left="300" w:right="60" w:hanging="299"/>
        <w:spacing w:after="0" w:line="261"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delays in, or increases in the costs of, the development of our research programs and product candidates due to the termination or expiration of collaborative research and development arrangements;</w:t>
      </w:r>
    </w:p>
    <w:p>
      <w:pPr>
        <w:spacing w:after="0" w:line="107" w:lineRule="exact"/>
        <w:rPr>
          <w:rFonts w:ascii="Times New Roman" w:cs="Times New Roman" w:eastAsia="Times New Roman" w:hAnsi="Times New Roman"/>
          <w:sz w:val="19"/>
          <w:szCs w:val="19"/>
          <w:color w:val="auto"/>
        </w:rPr>
      </w:pPr>
    </w:p>
    <w:p>
      <w:pPr>
        <w:ind w:left="300" w:right="60" w:hanging="299"/>
        <w:spacing w:after="0" w:line="254"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0" w:lineRule="exact"/>
        <w:rPr>
          <w:rFonts w:ascii="Times New Roman" w:cs="Times New Roman" w:eastAsia="Times New Roman" w:hAnsi="Times New Roman"/>
          <w:sz w:val="19"/>
          <w:szCs w:val="19"/>
          <w:color w:val="auto"/>
        </w:rPr>
      </w:pPr>
    </w:p>
    <w:p>
      <w:pPr>
        <w:ind w:left="300" w:right="200" w:hanging="299"/>
        <w:spacing w:after="0" w:line="256" w:lineRule="auto"/>
        <w:tabs>
          <w:tab w:leader="none" w:pos="28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w:t>
      </w:r>
    </w:p>
    <w:p>
      <w:pPr>
        <w:spacing w:after="0" w:line="98" w:lineRule="exact"/>
        <w:rPr>
          <w:rFonts w:ascii="Times New Roman" w:cs="Times New Roman" w:eastAsia="Times New Roman" w:hAnsi="Times New Roman"/>
          <w:sz w:val="19"/>
          <w:szCs w:val="19"/>
          <w:color w:val="auto"/>
        </w:rPr>
      </w:pPr>
    </w:p>
    <w:p>
      <w:pPr>
        <w:jc w:val="both"/>
        <w:ind w:left="300" w:right="80" w:hanging="299"/>
        <w:spacing w:after="0" w:line="276" w:lineRule="auto"/>
        <w:tabs>
          <w:tab w:leader="none" w:pos="2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spacing w:after="0" w:line="9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50" w:name="page51"/>
    <w:bookmarkEnd w:id="50"/>
    <w:p>
      <w:pPr>
        <w:ind w:right="580"/>
        <w:spacing w:after="0" w:line="275" w:lineRule="auto"/>
        <w:rPr>
          <w:sz w:val="20"/>
          <w:szCs w:val="20"/>
          <w:color w:val="auto"/>
        </w:rPr>
      </w:pPr>
      <w:r>
        <w:rPr>
          <w:rFonts w:ascii="Times New Roman" w:cs="Times New Roman" w:eastAsia="Times New Roman" w:hAnsi="Times New Roman"/>
          <w:sz w:val="19"/>
          <w:szCs w:val="19"/>
          <w:color w:val="auto"/>
        </w:rPr>
        <w:t>product candidates or technologies for similar indications that may be available to collaborate on and whether such a partnership could be more attractive than the one with us.</w:t>
      </w:r>
    </w:p>
    <w:p>
      <w:pPr>
        <w:spacing w:after="0" w:line="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7"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rely completely on third parties to manufacture our preclinical and clinical drug supplies and we intend to rely on third parties to provide us with required target material for developing and selecting product candidates as well as to produce commercial supplies of any approved product candidate.</w:t>
      </w:r>
    </w:p>
    <w:p>
      <w:pPr>
        <w:spacing w:after="0" w:line="10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We do not currently have the infrastructure or capability internally to manufacture our product candidates for use in the conduct of our clinical studies or for commercial supply, if our products are approved. Instead, we rely on, and expect to continue to rely on CMOs. We currently rely mainly on a few 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9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If we were to experience an unexpected delay in receiving required target material or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w:t>
      </w:r>
    </w:p>
    <w:p>
      <w:pPr>
        <w:spacing w:after="0" w:line="10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In complying with the manufacturing regulations of the FDA, the EMA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EMA or other comparable foreign authorities. If any of our third-party suppliers fails to comply with cGMP or other applicable manufacturing regulations, our ability to develop and commercialize the products could suffer significant interruptions. For example, we have faced and may face in the future bioburden during drug substance production campaigns or particles in drug product preparations at our CMOs which led or may lead to regulatory actions,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1" w:name="page52"/>
    <w:bookmarkEnd w:id="51"/>
    <w:p>
      <w:pPr>
        <w:ind w:right="20"/>
        <w:spacing w:after="0" w:line="248" w:lineRule="auto"/>
        <w:rPr>
          <w:sz w:val="20"/>
          <w:szCs w:val="20"/>
          <w:color w:val="auto"/>
        </w:rPr>
      </w:pPr>
      <w:r>
        <w:rPr>
          <w:rFonts w:ascii="Times New Roman" w:cs="Times New Roman" w:eastAsia="Times New Roman" w:hAnsi="Times New Roman"/>
          <w:sz w:val="19"/>
          <w:szCs w:val="19"/>
          <w:color w:val="auto"/>
        </w:rPr>
        <w:t>from the FDA. While we and our partners endeavor to maintain appropriate backup supply with respect to our product candidates, and not all such bioburden or particles result in regulatory action or delays, we cannot assure that any such issues would not result in delays in our clinical trials or product development or other adverse impacts on our business. We face risks inherent in relying on our CMOs, as any 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spacing w:after="0" w:line="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do not and will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spacing w:after="0" w:line="9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We do not and will not have access to all information regarding the product candidates being developed and potentially commercialized by Novartis under our collaboration,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Novartis. In addition, we have confidentiality obligations under our agreement with Novartis. Thus, our ability to keep our shareholders informed about the status of product candidates under our collaboration will be limited by the degree to which Novartis keeps us informed and allows us to disclose such information to the public.</w:t>
      </w:r>
    </w:p>
    <w:p>
      <w:pPr>
        <w:spacing w:after="0" w:line="103"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18"/>
          <w:szCs w:val="18"/>
          <w:b w:val="1"/>
          <w:bCs w:val="1"/>
          <w:i w:val="1"/>
          <w:iCs w:val="1"/>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5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52" w:name="page53"/>
    <w:bookmarkEnd w:id="52"/>
    <w:p>
      <w:pPr>
        <w:ind w:right="60"/>
        <w:spacing w:after="0" w:line="231" w:lineRule="auto"/>
        <w:rPr>
          <w:sz w:val="20"/>
          <w:szCs w:val="20"/>
          <w:color w:val="auto"/>
        </w:rPr>
      </w:pPr>
      <w:r>
        <w:rPr>
          <w:rFonts w:ascii="Times New Roman" w:cs="Times New Roman" w:eastAsia="Times New Roman" w:hAnsi="Times New Roman"/>
          <w:sz w:val="19"/>
          <w:szCs w:val="19"/>
          <w:color w:val="auto"/>
        </w:rPr>
        <w:t>In addition, our licensees have the right to make decisions regarding the development and commercialization of product candidates under the collaborations without consulting us and may make decisions with which we do not agree. For example in January 2024, Novartis, our collaboration partner for ensovibep, informed us of its decision to return the global rights for ensovibep to us following the end of COVID-19 pandemic. Conflicts between our licensees and us may arise if there is a dispute about the progress of the clinical development of a product candidate, the achievement and payment of a milestone 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Intellectual Property</w:t>
      </w:r>
    </w:p>
    <w:p>
      <w:pPr>
        <w:spacing w:after="0" w:line="147"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9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w:t>
      </w:r>
    </w:p>
    <w:p>
      <w:pPr>
        <w:spacing w:after="0" w:line="10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 building blocks. As a result, upon receipt of EMA or FDA approval, competitors may be free to market other products almost identical to ours, thereby decreasing our market share.</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3" w:name="page54"/>
    <w:bookmarkEnd w:id="53"/>
    <w:p>
      <w:pPr>
        <w:ind w:right="260"/>
        <w:spacing w:after="0" w:line="275" w:lineRule="auto"/>
        <w:rPr>
          <w:sz w:val="20"/>
          <w:szCs w:val="20"/>
          <w:color w:val="auto"/>
        </w:rPr>
      </w:pPr>
      <w:r>
        <w:rPr>
          <w:rFonts w:ascii="Times New Roman" w:cs="Times New Roman" w:eastAsia="Times New Roman" w:hAnsi="Times New Roman"/>
          <w:sz w:val="19"/>
          <w:szCs w:val="19"/>
          <w:color w:val="auto"/>
        </w:rPr>
        <w:t>other third parties, any of these parties may breach the agreements and disclose such output before a patent application is filed, thereby jeopardizing our ability to seek patent protection.</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spacing w:after="0" w:line="32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 our competitors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color w:val="auto"/>
        </w:rPr>
        <w:t>third parties may be able to circumvent our patents by developing similar or alternative technologies or products in a non-infringing manner.</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w:t>
      </w:r>
    </w:p>
    <w:p>
      <w:pPr>
        <w:spacing w:after="0" w:line="1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may fail in enforcing our intellectual property rights and issued patents covering one or more of our product candidates or DARPin technology or our intellectual property rights and issued patents could be found invalid or unenforceable if challenged in court.</w:t>
      </w:r>
    </w:p>
    <w:p>
      <w:pPr>
        <w:spacing w:after="0" w:line="1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To protect our competitive position, we or our licensors or collaboration partners may from time to time need to resort to litigation in order to enforce or defend any patents or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55" w:name="page56"/>
    <w:bookmarkEnd w:id="55"/>
    <w:p>
      <w:pPr>
        <w:ind w:right="60"/>
        <w:spacing w:after="0" w:line="247" w:lineRule="auto"/>
        <w:rPr>
          <w:sz w:val="20"/>
          <w:szCs w:val="20"/>
          <w:color w:val="auto"/>
        </w:rPr>
      </w:pPr>
      <w:r>
        <w:rPr>
          <w:rFonts w:ascii="Times New Roman" w:cs="Times New Roman" w:eastAsia="Times New Roman" w:hAnsi="Times New Roman"/>
          <w:sz w:val="19"/>
          <w:szCs w:val="19"/>
          <w:color w:val="auto"/>
        </w:rPr>
        <w:t>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 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w:t>
      </w:r>
    </w:p>
    <w:p>
      <w:pPr>
        <w:spacing w:after="0" w:line="1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w:t>
      </w:r>
    </w:p>
    <w:p>
      <w:pPr>
        <w:spacing w:after="0" w:line="1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fields have employed intellectual property litigation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6" w:name="page57"/>
    <w:bookmarkEnd w:id="56"/>
    <w:p>
      <w:pPr>
        <w:jc w:val="both"/>
        <w:ind w:right="280"/>
        <w:spacing w:after="0" w:line="256" w:lineRule="auto"/>
        <w:rPr>
          <w:sz w:val="20"/>
          <w:szCs w:val="20"/>
          <w:color w:val="auto"/>
        </w:rPr>
      </w:pPr>
      <w:r>
        <w:rPr>
          <w:rFonts w:ascii="Times New Roman" w:cs="Times New Roman" w:eastAsia="Times New Roman" w:hAnsi="Times New Roman"/>
          <w:sz w:val="19"/>
          <w:szCs w:val="19"/>
          <w:color w:val="auto"/>
        </w:rPr>
        <w:t>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spacing w:after="0" w:line="9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 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w:t>
      </w:r>
    </w:p>
    <w:p>
      <w:pPr>
        <w:spacing w:after="0" w:line="1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w:t>
      </w:r>
    </w:p>
    <w:p>
      <w:pPr>
        <w:spacing w:after="0" w:line="10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7" w:name="page58"/>
    <w:bookmarkEnd w:id="57"/>
    <w:p>
      <w:pPr>
        <w:ind w:right="240"/>
        <w:spacing w:after="0" w:line="248" w:lineRule="auto"/>
        <w:rPr>
          <w:sz w:val="20"/>
          <w:szCs w:val="20"/>
          <w:color w:val="auto"/>
        </w:rPr>
      </w:pPr>
      <w:r>
        <w:rPr>
          <w:rFonts w:ascii="Times New Roman" w:cs="Times New Roman" w:eastAsia="Times New Roman" w:hAnsi="Times New Roman"/>
          <w:sz w:val="19"/>
          <w:szCs w:val="19"/>
          <w:color w:val="auto"/>
        </w:rPr>
        <w:t>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w:t>
      </w:r>
    </w:p>
    <w:p>
      <w:pPr>
        <w:spacing w:after="0" w:line="1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Our involvement in litigation, and in any interference, derivation, reexamination, inter partes review, post grant review, opposition or other post-grant proceedings or other intellectual property proceedings inside and outside of 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our share price.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11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In addition, if the breadth or strength of protection provided by our or our licensors’ or collaboration partners’ patents and patent applications is challenged or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spacing w:after="0" w:line="9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We rely upon licenses to certain patent rights and other intellectual property from third parties that are important or necessary to the development of our product candidates.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58" w:name="page59"/>
    <w:bookmarkEnd w:id="58"/>
    <w:p>
      <w:pPr>
        <w:spacing w:after="0" w:line="247" w:lineRule="auto"/>
        <w:rPr>
          <w:sz w:val="20"/>
          <w:szCs w:val="20"/>
          <w:color w:val="auto"/>
        </w:rPr>
      </w:pPr>
      <w:r>
        <w:rPr>
          <w:rFonts w:ascii="Times New Roman" w:cs="Times New Roman" w:eastAsia="Times New Roman" w:hAnsi="Times New Roman"/>
          <w:sz w:val="19"/>
          <w:szCs w:val="19"/>
          <w:color w:val="auto"/>
        </w:rPr>
        <w:t>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“Item 4.B — Business—License and Collaboration Agreements.”</w:t>
      </w:r>
    </w:p>
    <w:p>
      <w:pPr>
        <w:spacing w:after="0" w:line="1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0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9"/>
          <w:szCs w:val="19"/>
          <w:color w:val="auto"/>
        </w:rPr>
        <w:t>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w:t>
      </w:r>
    </w:p>
    <w:p>
      <w:pPr>
        <w:spacing w:after="0" w:line="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0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9"/>
          <w:szCs w:val="19"/>
          <w:color w:val="auto"/>
        </w:rPr>
        <w:t>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59" w:name="page60"/>
    <w:bookmarkEnd w:id="59"/>
    <w:p>
      <w:pPr>
        <w:ind w:right="40"/>
        <w:spacing w:after="0" w:line="249" w:lineRule="auto"/>
        <w:rPr>
          <w:sz w:val="20"/>
          <w:szCs w:val="20"/>
          <w:color w:val="auto"/>
        </w:rPr>
      </w:pPr>
      <w:r>
        <w:rPr>
          <w:rFonts w:ascii="Times New Roman" w:cs="Times New Roman" w:eastAsia="Times New Roman" w:hAnsi="Times New Roman"/>
          <w:sz w:val="19"/>
          <w:szCs w:val="19"/>
          <w:color w:val="auto"/>
        </w:rPr>
        <w:t>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spacing w:after="0" w:line="1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or names. We may not be able to protect or enforce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w:t>
      </w:r>
    </w:p>
    <w:p>
      <w:pPr>
        <w:spacing w:after="0" w:line="10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If we do not obtain protection under the Hatch-Waxman Act Amendments and similar non-U.S. legislation for extending the term of patents covering each of our product candidates, our business may be materially harmed.</w:t>
      </w:r>
    </w:p>
    <w:p>
      <w:pPr>
        <w:spacing w:after="0" w:line="10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at least not long enough to recoup the costs incurred in developing our products.</w:t>
      </w:r>
    </w:p>
    <w:p>
      <w:pPr>
        <w:spacing w:after="0" w:line="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0" w:name="page61"/>
    <w:bookmarkEnd w:id="60"/>
    <w:p>
      <w:pPr>
        <w:ind w:right="780"/>
        <w:spacing w:after="0" w:line="275" w:lineRule="auto"/>
        <w:rPr>
          <w:sz w:val="20"/>
          <w:szCs w:val="20"/>
          <w:color w:val="auto"/>
        </w:rPr>
      </w:pPr>
      <w:r>
        <w:rPr>
          <w:rFonts w:ascii="Times New Roman" w:cs="Times New Roman" w:eastAsia="Times New Roman" w:hAnsi="Times New Roman"/>
          <w:sz w:val="19"/>
          <w:szCs w:val="19"/>
          <w:color w:val="auto"/>
        </w:rPr>
        <w:t>competitors may be able to enter the market with competing products sooner than we expect, and our business, financial condition, results of operations, and prospects could be materially harmed.</w:t>
      </w:r>
    </w:p>
    <w:p>
      <w:pPr>
        <w:spacing w:after="0" w:line="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The base patents relating to the DARPin base technology we use to generate our DARPin product candidates has expired, and our competitors may use the technology claimed in such patents, which may materially adversely affect our business and competitive position.</w:t>
      </w:r>
    </w:p>
    <w:p>
      <w:pPr>
        <w:spacing w:after="0" w:line="10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9"/>
          <w:szCs w:val="19"/>
          <w:color w:val="auto"/>
        </w:rPr>
        <w:t>The base patents that we had licensed from the University of Zurich in 2004 expired in September 2021 (except for one patent in the United States) and we terminated the license agreement effective October 2021 and the remaining U.S. patent expired in August 2023. Our competitors may be able to utilize the technology claimed in such patents to develop product candidates that compete with ours. This could harm our reputation as being the leader in the DARPin technology, and could have an adverse effect on our competitive position, business, financial conditions, results of operations and prospects.</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enjoy only limited geographical protection with respect to certain patents and may face difficulties in certain jurisdictions, which may diminish the value of our intellectual property rights.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spacing w:after="0" w:line="10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1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w:t>
      </w:r>
    </w:p>
    <w:p>
      <w:pPr>
        <w:spacing w:after="0" w:line="10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9"/>
          <w:szCs w:val="19"/>
          <w:color w:val="auto"/>
        </w:rPr>
        <w:t>Some countries have compulsory licensing laws under which a patent owner may be compelled to grant licenses to third parties. In addition, some countries limit the enforceability of patents against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1" w:name="page62"/>
    <w:bookmarkEnd w:id="61"/>
    <w:p>
      <w:pPr>
        <w:spacing w:after="0" w:line="256" w:lineRule="auto"/>
        <w:rPr>
          <w:sz w:val="20"/>
          <w:szCs w:val="20"/>
          <w:color w:val="auto"/>
        </w:rPr>
      </w:pPr>
      <w:r>
        <w:rPr>
          <w:rFonts w:ascii="Times New Roman" w:cs="Times New Roman" w:eastAsia="Times New Roman" w:hAnsi="Times New Roman"/>
          <w:sz w:val="19"/>
          <w:szCs w:val="19"/>
          <w:color w:val="auto"/>
        </w:rPr>
        <w:t>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9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example, the complexity and uncertainty of European patent laws have also increased in recent years. In Europe, a new unitary patent system has become effective and a new European patent court started operations in 2023, which may significantly impact European patents, including those granted before the introduction of such a system. Under the unitary patent system, European patent applications have the option, upon grant of a European patent, of becoming a Unitary Patent which will be subject to the jurisdiction of the new Unified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In addition, a decree was adopted by the Russian government in March 2022 as a response to economic sanctions imposed by various other governments, allowing Russian companies and individuals to exploit inventions owned by patentees that have citizenship or nationality in, are registered in, or have a primary place of business or profit-making activities in the U.S. and other countries that Russia has deemed unfriendly without consent or compensation. Consequently, we would not be able to prevent third parties from practicing our inventions protected by Russian patents in Russia or from manufacturing, selling, using or importing products made using our inventions in and into Russia. Accordingly, our competitive position may be impaired, and our business, financial condition, results of operations and prospects may be adversely affected.</w:t>
      </w:r>
    </w:p>
    <w:p>
      <w:pPr>
        <w:spacing w:after="0" w:line="96"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We are a party to agreements under which we are granted rights to intellectual property that are important to our business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2" w:name="page63"/>
    <w:bookmarkEnd w:id="62"/>
    <w:p>
      <w:pPr>
        <w:ind w:right="140"/>
        <w:spacing w:after="0" w:line="249" w:lineRule="auto"/>
        <w:rPr>
          <w:sz w:val="20"/>
          <w:szCs w:val="20"/>
          <w:color w:val="auto"/>
        </w:rPr>
      </w:pPr>
      <w:r>
        <w:rPr>
          <w:rFonts w:ascii="Times New Roman" w:cs="Times New Roman" w:eastAsia="Times New Roman" w:hAnsi="Times New Roman"/>
          <w:sz w:val="19"/>
          <w:szCs w:val="19"/>
          <w:color w:val="auto"/>
        </w:rPr>
        <w:t>defense,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Disputes may arise regarding intellectual property subject to a licensing agreement, including:</w:t>
      </w:r>
    </w:p>
    <w:p>
      <w:pPr>
        <w:spacing w:after="0" w:line="136" w:lineRule="exact"/>
        <w:rPr>
          <w:sz w:val="20"/>
          <w:szCs w:val="20"/>
          <w:color w:val="auto"/>
        </w:rPr>
      </w:pPr>
    </w:p>
    <w:p>
      <w:pPr>
        <w:ind w:left="300" w:hanging="299"/>
        <w:spacing w:after="0"/>
        <w:tabs>
          <w:tab w:leader="none" w:pos="3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of rights granted under the license agreement and other interpretation-related issues;</w:t>
      </w:r>
    </w:p>
    <w:p>
      <w:pPr>
        <w:spacing w:after="0" w:line="136" w:lineRule="exact"/>
        <w:rPr>
          <w:rFonts w:ascii="Times New Roman" w:cs="Times New Roman" w:eastAsia="Times New Roman" w:hAnsi="Times New Roman"/>
          <w:sz w:val="19"/>
          <w:szCs w:val="19"/>
          <w:color w:val="auto"/>
        </w:rPr>
      </w:pPr>
    </w:p>
    <w:p>
      <w:pPr>
        <w:ind w:left="300" w:right="480" w:hanging="299"/>
        <w:spacing w:after="0" w:line="275" w:lineRule="auto"/>
        <w:tabs>
          <w:tab w:leader="none" w:pos="28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to which our technology and processes infringe, misappropriate or otherwise violate intellectual property of the licensor that is not subject to the licensing agreement;</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sublicensing of patent and other rights under any current or future collaboration relationships;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diligence obligations under the license agreement and what activities satisfy those diligence obligations; and</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4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0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necessarily address all potential threats to our competitive advantage.</w:t>
      </w:r>
    </w:p>
    <w:p>
      <w:pPr>
        <w:spacing w:after="0" w:line="14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2" w:lineRule="exact"/>
        <w:rPr>
          <w:sz w:val="20"/>
          <w:szCs w:val="20"/>
          <w:color w:val="auto"/>
        </w:rPr>
      </w:pPr>
    </w:p>
    <w:p>
      <w:pPr>
        <w:ind w:left="300" w:hanging="299"/>
        <w:spacing w:after="0" w:line="275"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be able to make compounds that are similar or substantially equivalent to our product candidates but that are not covered by the claims of the patents that we own or have exclusively licensed.</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patents of third parties, including patents related to repeat protein technology, may have an adverse effect on our business.</w:t>
      </w:r>
    </w:p>
    <w:p>
      <w:pPr>
        <w:spacing w:after="0" w:line="136" w:lineRule="exact"/>
        <w:rPr>
          <w:rFonts w:ascii="Times New Roman" w:cs="Times New Roman" w:eastAsia="Times New Roman" w:hAnsi="Times New Roman"/>
          <w:sz w:val="19"/>
          <w:szCs w:val="19"/>
          <w:color w:val="auto"/>
        </w:rPr>
      </w:pPr>
    </w:p>
    <w:p>
      <w:pPr>
        <w:ind w:left="300" w:right="60" w:hanging="299"/>
        <w:spacing w:after="0" w:line="275"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our current or future licensors or strategic partners might not have been the first to conceive or reduce to practice the inventions covered by the issued patent or pending patent application that we own or have licensed.</w:t>
      </w:r>
    </w:p>
    <w:p>
      <w:pPr>
        <w:spacing w:after="0" w:line="81" w:lineRule="exact"/>
        <w:rPr>
          <w:rFonts w:ascii="Times New Roman" w:cs="Times New Roman" w:eastAsia="Times New Roman" w:hAnsi="Times New Roman"/>
          <w:sz w:val="19"/>
          <w:szCs w:val="19"/>
          <w:color w:val="auto"/>
        </w:rPr>
      </w:pPr>
    </w:p>
    <w:p>
      <w:pPr>
        <w:ind w:left="300" w:right="240" w:hanging="299"/>
        <w:spacing w:after="0" w:line="275"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our current or future licensors or strategic partners might not have been the first to file patent applications covering certain of our or their inventions.</w:t>
      </w:r>
    </w:p>
    <w:p>
      <w:pPr>
        <w:spacing w:after="0" w:line="81" w:lineRule="exact"/>
        <w:rPr>
          <w:rFonts w:ascii="Times New Roman" w:cs="Times New Roman" w:eastAsia="Times New Roman" w:hAnsi="Times New Roman"/>
          <w:sz w:val="19"/>
          <w:szCs w:val="19"/>
          <w:color w:val="auto"/>
        </w:rPr>
      </w:pPr>
    </w:p>
    <w:p>
      <w:pPr>
        <w:ind w:left="300" w:right="60" w:hanging="299"/>
        <w:spacing w:after="0" w:line="261"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misappropriating or otherwise violating our intellectual property rights;</w:t>
      </w:r>
    </w:p>
    <w:p>
      <w:pPr>
        <w:spacing w:after="0" w:line="107"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possible that our current or future patent applications will not lead to issued patents.</w:t>
      </w:r>
    </w:p>
    <w:p>
      <w:pPr>
        <w:spacing w:after="0" w:line="136" w:lineRule="exact"/>
        <w:rPr>
          <w:rFonts w:ascii="Times New Roman" w:cs="Times New Roman" w:eastAsia="Times New Roman" w:hAnsi="Times New Roman"/>
          <w:sz w:val="19"/>
          <w:szCs w:val="19"/>
          <w:color w:val="auto"/>
        </w:rPr>
      </w:pPr>
    </w:p>
    <w:p>
      <w:pPr>
        <w:ind w:left="300" w:right="40" w:hanging="299"/>
        <w:spacing w:after="0" w:line="275"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patents that we own or license may not provide us with any competitive advantage, or may be held invalid or unenforceable, including as a result of legal challenges by our competitors.</w:t>
      </w:r>
    </w:p>
    <w:p>
      <w:pPr>
        <w:spacing w:after="0" w:line="81" w:lineRule="exact"/>
        <w:rPr>
          <w:rFonts w:ascii="Times New Roman" w:cs="Times New Roman" w:eastAsia="Times New Roman" w:hAnsi="Times New Roman"/>
          <w:sz w:val="19"/>
          <w:szCs w:val="19"/>
          <w:color w:val="auto"/>
        </w:rPr>
      </w:pPr>
    </w:p>
    <w:p>
      <w:pPr>
        <w:ind w:left="300" w:right="160" w:hanging="299"/>
        <w:spacing w:after="0" w:line="261"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9"/>
          <w:szCs w:val="19"/>
          <w:color w:val="auto"/>
        </w:rPr>
      </w:pPr>
    </w:p>
    <w:p>
      <w:pPr>
        <w:ind w:left="300" w:right="220" w:hanging="299"/>
        <w:spacing w:after="0" w:line="256"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w:t>
      </w:r>
    </w:p>
    <w:p>
      <w:pPr>
        <w:spacing w:after="0" w:line="9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develop additional technologies that are patentable; and</w:t>
      </w:r>
    </w:p>
    <w:p>
      <w:pPr>
        <w:spacing w:after="0" w:line="136" w:lineRule="exact"/>
        <w:rPr>
          <w:rFonts w:ascii="Times New Roman" w:cs="Times New Roman" w:eastAsia="Times New Roman" w:hAnsi="Times New Roman"/>
          <w:sz w:val="19"/>
          <w:szCs w:val="19"/>
          <w:color w:val="auto"/>
        </w:rPr>
      </w:pPr>
    </w:p>
    <w:p>
      <w:pPr>
        <w:jc w:val="both"/>
        <w:ind w:left="300" w:right="680" w:hanging="299"/>
        <w:spacing w:after="0" w:line="263" w:lineRule="auto"/>
        <w:tabs>
          <w:tab w:leader="none" w:pos="2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4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Changes in patent laws or patent jurisprudence could diminish the value of patents in general, thereby impairing our ability to protect our products.</w:t>
      </w:r>
    </w:p>
    <w:p>
      <w:pPr>
        <w:spacing w:after="0" w:line="7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9"/>
          <w:szCs w:val="19"/>
          <w:color w:val="auto"/>
        </w:rPr>
        <w:t>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1328" w:right="419" w:bottom="1440" w:gutter="0" w:footer="0" w:header="0"/>
        </w:sectPr>
      </w:pPr>
    </w:p>
    <w:bookmarkStart w:id="64" w:name="page65"/>
    <w:bookmarkEnd w:id="64"/>
    <w:p>
      <w:pPr>
        <w:spacing w:after="0" w:line="304" w:lineRule="auto"/>
        <w:rPr>
          <w:sz w:val="20"/>
          <w:szCs w:val="20"/>
          <w:color w:val="auto"/>
        </w:rPr>
      </w:pPr>
      <w:r>
        <w:rPr>
          <w:rFonts w:ascii="Times New Roman" w:cs="Times New Roman" w:eastAsia="Times New Roman" w:hAnsi="Times New Roman"/>
          <w:sz w:val="18"/>
          <w:szCs w:val="18"/>
          <w:color w:val="auto"/>
        </w:rPr>
        <w:t>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w:t>
      </w:r>
    </w:p>
    <w:p>
      <w:pPr>
        <w:spacing w:after="0" w:line="5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w:t>
      </w:r>
    </w:p>
    <w:p>
      <w:pPr>
        <w:spacing w:after="0" w:line="10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9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our business and competitive position would be harmed.</w:t>
      </w:r>
    </w:p>
    <w:p>
      <w:pPr>
        <w:spacing w:after="0" w:line="14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To protect this type of information against disclosure or appropriation by competitors, our policy is to require our employees, consultants, contractors, CROs and advisors to enter into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5" w:name="page66"/>
    <w:bookmarkEnd w:id="65"/>
    <w:p>
      <w:pPr>
        <w:spacing w:after="0" w:line="248" w:lineRule="auto"/>
        <w:rPr>
          <w:sz w:val="20"/>
          <w:szCs w:val="20"/>
          <w:color w:val="auto"/>
        </w:rPr>
      </w:pPr>
      <w:r>
        <w:rPr>
          <w:rFonts w:ascii="Times New Roman" w:cs="Times New Roman" w:eastAsia="Times New Roman" w:hAnsi="Times New Roman"/>
          <w:sz w:val="19"/>
          <w:szCs w:val="19"/>
          <w:color w:val="auto"/>
        </w:rPr>
        <w:t>agreements with us. We cannot guarantee that we have entered into such agreements with each party that may have or have had access to our trade secrets or proprietary technology and processes and, despite these efforts, any of these parties may unintentionally or willfully breach the agreements and use or disclose our confidential information to competitors, and such agreements may not provide an adequate remedy in the event of unauthorized disclosure or use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w:t>
      </w:r>
    </w:p>
    <w:p>
      <w:pPr>
        <w:spacing w:after="0" w:line="108"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w:t>
      </w:r>
    </w:p>
    <w:p>
      <w:pPr>
        <w:spacing w:after="0" w:line="7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by third parties asserting that we or our employees have infringed, misappropriated or otherwise violated their intellectual property, or claiming ownership of what we regard as our own intellectual property.</w:t>
      </w:r>
    </w:p>
    <w:p>
      <w:pPr>
        <w:spacing w:after="0" w:line="7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w:t>
      </w:r>
    </w:p>
    <w:p>
      <w:pPr>
        <w:spacing w:after="0" w:line="11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6" w:name="page67"/>
    <w:bookmarkEnd w:id="66"/>
    <w:p>
      <w:pPr>
        <w:jc w:val="both"/>
        <w:ind w:right="20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Organization and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future growth and ability to compete depends on retaining our key personnel and recruiting additional qualified personnel.</w:t>
      </w:r>
    </w:p>
    <w:p>
      <w:pPr>
        <w:spacing w:after="0" w:line="14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Alexander Zürcher, our Chief Operating Officer, Dr. Michael Tobias Stumpp, our EVP Projects, Dr. Philippe Legenne, our Chief Medical Officer and Renate Gloggner, our EVP People and Culture.</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loss of key managers and senior scientists could delay our research and development activities. In addition, our ability to compete in the highly competitive biotechnology and pharmaceutical industries, and particularly, in the oncology field,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w:t>
      </w:r>
    </w:p>
    <w:p>
      <w:pPr>
        <w:spacing w:after="0" w:line="10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our managerial, operational and financial systems, expand our facilities and continue to recruit and train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67" w:name="page68"/>
    <w:bookmarkEnd w:id="67"/>
    <w:p>
      <w:pPr>
        <w:ind w:right="180"/>
        <w:spacing w:after="0" w:line="254" w:lineRule="auto"/>
        <w:rPr>
          <w:sz w:val="20"/>
          <w:szCs w:val="20"/>
          <w:color w:val="auto"/>
        </w:rPr>
      </w:pPr>
      <w:r>
        <w:rPr>
          <w:rFonts w:ascii="Times New Roman" w:cs="Times New Roman" w:eastAsia="Times New Roman" w:hAnsi="Times New Roman"/>
          <w:sz w:val="19"/>
          <w:szCs w:val="19"/>
          <w:color w:val="auto"/>
        </w:rPr>
        <w:t>additional qualified personnel. Due to our limited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integrate efficiently or achieve the expected benefits of any acquisitions of complementary businesses, product candidates or technologies.</w:t>
      </w:r>
    </w:p>
    <w:p>
      <w:pPr>
        <w:spacing w:after="0" w:line="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 financial resources of the indemnifying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is subject to economic, political, regulatory and other risks associated with international operations.</w:t>
      </w:r>
    </w:p>
    <w:p>
      <w:pPr>
        <w:spacing w:after="0" w:line="14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9"/>
          <w:szCs w:val="19"/>
          <w:color w:val="auto"/>
        </w:rPr>
        <w:t>Our business is subject to risks associated with conducting business internationally. Accordingly, our future results could be harmed by a variety of factors, including:</w:t>
      </w:r>
    </w:p>
    <w:p>
      <w:pPr>
        <w:spacing w:after="0" w:line="82" w:lineRule="exact"/>
        <w:rPr>
          <w:sz w:val="20"/>
          <w:szCs w:val="20"/>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economic weakness, including inflation, increase of interest rates, or political instability in particular economies and markets;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differing regulatory requirements for drug approvals;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differing jurisdictions could present different issues for securing, maintaining or obtaining freedom to operate in such jurisdictions;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potentially reduced ability to obtain, maintain, protect and enforce intellectual property rights and other proprietary rights;</w:t>
      </w:r>
    </w:p>
    <w:p>
      <w:pPr>
        <w:spacing w:after="0" w:line="136" w:lineRule="exact"/>
        <w:rPr>
          <w:rFonts w:ascii="Times New Roman" w:cs="Times New Roman" w:eastAsia="Times New Roman" w:hAnsi="Times New Roman"/>
          <w:sz w:val="19"/>
          <w:szCs w:val="19"/>
          <w:color w:val="auto"/>
        </w:rPr>
      </w:pPr>
    </w:p>
    <w:p>
      <w:pPr>
        <w:ind w:left="300" w:right="100" w:hanging="299"/>
        <w:spacing w:after="0" w:line="261" w:lineRule="auto"/>
        <w:tabs>
          <w:tab w:leader="none" w:pos="28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compliance with different, complex and changing laws, regulations and court systems of multiple jurisdictions and compliance with a wide variety of foreign laws, treaties and regulations;</w:t>
      </w:r>
    </w:p>
    <w:p>
      <w:pPr>
        <w:spacing w:after="0" w:line="107"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regulations and customs, tariffs and trade barriers;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currency exchange rates of the euro, U.S. dollar and Swiss franc and currency controls;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 specific country's or region's political or economic environment;</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 protection measures, import or export licensing requirements or other restrictive actions by governments;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differing reimbursement regimes and price controls in certain international markets;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negative consequences from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68" w:name="page69"/>
    <w:bookmarkEnd w:id="68"/>
    <w:p>
      <w:pPr>
        <w:ind w:left="300" w:right="220" w:hanging="299"/>
        <w:spacing w:after="0" w:line="275" w:lineRule="auto"/>
        <w:tabs>
          <w:tab w:leader="none" w:pos="28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tax, employment, immigration and labor laws for employees living or traveling abroad, including, for example, the variable tax treatment in different jurisdictions of stock options granted under our employee stock plan;</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workforce uncertainty in countries where labor unrest is more common than in the United States;</w:t>
      </w:r>
    </w:p>
    <w:p>
      <w:pPr>
        <w:spacing w:after="0" w:line="136" w:lineRule="exact"/>
        <w:rPr>
          <w:rFonts w:ascii="Times New Roman" w:cs="Times New Roman" w:eastAsia="Times New Roman" w:hAnsi="Times New Roman"/>
          <w:sz w:val="19"/>
          <w:szCs w:val="19"/>
          <w:color w:val="auto"/>
        </w:rPr>
      </w:pPr>
    </w:p>
    <w:p>
      <w:pPr>
        <w:ind w:left="300" w:right="200" w:hanging="299"/>
        <w:spacing w:after="0" w:line="304" w:lineRule="auto"/>
        <w:tabs>
          <w:tab w:leader="none" w:pos="2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58" w:lineRule="exact"/>
        <w:rPr>
          <w:rFonts w:ascii="Times New Roman" w:cs="Times New Roman" w:eastAsia="Times New Roman" w:hAnsi="Times New Roman"/>
          <w:sz w:val="18"/>
          <w:szCs w:val="18"/>
          <w:color w:val="auto"/>
        </w:rPr>
      </w:pPr>
    </w:p>
    <w:p>
      <w:pPr>
        <w:ind w:left="300" w:right="700" w:hanging="299"/>
        <w:spacing w:after="0" w:line="275" w:lineRule="auto"/>
        <w:tabs>
          <w:tab w:leader="none" w:pos="28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resulting from claims against us by third parties, including claims of breach of noncompete and confidentiality provisions of our employees' former employment agreements with such third parties;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associated with staffing and managing international operations, including differing labor relations;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production shortages resulting from any events affecting raw material supply or manufacturing capabilities abroad; and</w:t>
      </w:r>
    </w:p>
    <w:p>
      <w:pPr>
        <w:spacing w:after="0" w:line="136" w:lineRule="exact"/>
        <w:rPr>
          <w:rFonts w:ascii="Times New Roman" w:cs="Times New Roman" w:eastAsia="Times New Roman" w:hAnsi="Times New Roman"/>
          <w:sz w:val="19"/>
          <w:szCs w:val="19"/>
          <w:color w:val="auto"/>
        </w:rPr>
      </w:pPr>
    </w:p>
    <w:p>
      <w:pPr>
        <w:ind w:left="300" w:hanging="299"/>
        <w:spacing w:after="0" w:line="261" w:lineRule="auto"/>
        <w:tabs>
          <w:tab w:leader="none" w:pos="28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interruptions resulting from cyber-attacks, geo-political actions, including war (such as the Russia-Ukraine war and the Israel-Hamas war) and terrorism, or natural disasters including earthquakes, typhoons, floods and fires.</w:t>
      </w:r>
    </w:p>
    <w:p>
      <w:pPr>
        <w:spacing w:after="0" w:line="8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9"/>
          <w:szCs w:val="19"/>
          <w:color w:val="auto"/>
        </w:rPr>
        <w:t>Additionally, in connection with the ongoing war between Russia and Ukraine, the U.S. government and other governments have imposed enhanced export controls on certain products and sanctions on certain industry sectors and parties in Russia, and have indicated they will consider imposing additional sanctions and other similar measures in the near future. Although we do not have any operations in Russia or Ukraine, further escalation of geopolitical tensions could have a broader impact that expands into other markets where we do business, which could adversely affect our business, our supply chain or our collaborators.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but we also may receive payments from our business partners in U.S. dollars or euros and we regularly acquire services, consumables and materials in U.S. dollars, euros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9" w:name="page70"/>
    <w:bookmarkEnd w:id="69"/>
    <w:p>
      <w:pPr>
        <w:ind w:right="280"/>
        <w:spacing w:after="0" w:line="275" w:lineRule="auto"/>
        <w:rPr>
          <w:sz w:val="20"/>
          <w:szCs w:val="20"/>
          <w:color w:val="auto"/>
        </w:rPr>
      </w:pPr>
      <w:r>
        <w:rPr>
          <w:rFonts w:ascii="Times New Roman" w:cs="Times New Roman" w:eastAsia="Times New Roman" w:hAnsi="Times New Roman"/>
          <w:sz w:val="19"/>
          <w:szCs w:val="19"/>
          <w:color w:val="auto"/>
        </w:rPr>
        <w:t>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Unfavorable global economic conditions, including as a result of the ongoing war between Russia and Ukraine as well as Israel and Hamas, could have a negative impact on our operations, which could materially and adversely affect our business, financial condition, results of operations, prospects and market price of our ordinary shares.</w:t>
      </w:r>
    </w:p>
    <w:p>
      <w:pPr>
        <w:spacing w:after="0" w:line="9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Global economic instability and unfavorable conditions could materially and adversely affect our business. The war between Russia and Ukraine is ongoing. The impact to Ukraine as well as actions taken by other countries, including new and stricter sanctions imposed by Canada, the United Kingdom, the European Union, the United States. and other countries against officials, individuals, regions, and industries in Russia and Ukraine, and actions taken by Russia in response to such sanctions, and responses of countries and political bodies to such sanctions, tensions, and military actions and the potential for more widespread conflict, have resulted in supply chain disruptions, increases in inflation, financial market volatility and capital markets disruption. In addition, the war between Israel and Hamas is ongoing. Any resulting instability and unfavorable economic conditions from the wars could disrupt our and our collaborators’ supply chains and adversely affect our and our collaborators’ ability to conduct ongoing and future clinical trials of our product candidates. The extent and duration of the wars, sanctions and resulting economic, market and other disruptions are impossible to predict, but could be substantial. Any such disruptions may heighten the impact of the other risks described in this report on Form 20-F.</w:t>
      </w:r>
    </w:p>
    <w:p>
      <w:pPr>
        <w:spacing w:after="0" w:line="200" w:lineRule="exact"/>
        <w:rPr>
          <w:sz w:val="20"/>
          <w:szCs w:val="20"/>
          <w:color w:val="auto"/>
        </w:rPr>
      </w:pPr>
    </w:p>
    <w:p>
      <w:pPr>
        <w:spacing w:after="0" w:line="26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We are exposed to unanticipated changes in tax laws and regulations, adjustments to our tax provisions, exposure to additional tax liabilities, or forfeiture of our tax assets.</w:t>
      </w:r>
    </w:p>
    <w:p>
      <w:pPr>
        <w:spacing w:after="0" w:line="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w:t>
      </w:r>
    </w:p>
    <w:p>
      <w:pPr>
        <w:spacing w:after="0" w:line="12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w:t>
      </w:r>
    </w:p>
    <w:p>
      <w:pPr>
        <w:spacing w:after="0" w:line="10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An increase in our effective tax rate could have an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0" w:name="page71"/>
    <w:bookmarkEnd w:id="70"/>
    <w:p>
      <w:pPr>
        <w:spacing w:after="0" w:line="247" w:lineRule="auto"/>
        <w:rPr>
          <w:sz w:val="20"/>
          <w:szCs w:val="20"/>
          <w:color w:val="auto"/>
        </w:rPr>
      </w:pPr>
      <w:r>
        <w:rPr>
          <w:rFonts w:ascii="Times New Roman" w:cs="Times New Roman" w:eastAsia="Times New Roman" w:hAnsi="Times New Roman"/>
          <w:sz w:val="19"/>
          <w:szCs w:val="19"/>
          <w:color w:val="auto"/>
        </w:rPr>
        <w:t>In addition, we may not be able to use, or changes in tax regulations may affect the use of, certain tax loss carryforwards that we have generated in prior years. For instance, as of December 31, 2024, we had substantial tax loss carry forwards. In general, some of these tax loss carry forwards may be forfeited in whole, or in part, as a result of various transactions, or their utilization may be restricted by statutory law in the relevant jurisdiction. Any corporate 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future / expected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Changes in our effective tax rate or tax liability may have an adverse effect on our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effective tax rate could increase due to several factors, including:</w:t>
      </w:r>
    </w:p>
    <w:p>
      <w:pPr>
        <w:spacing w:after="0" w:line="136" w:lineRule="exact"/>
        <w:rPr>
          <w:sz w:val="20"/>
          <w:szCs w:val="20"/>
          <w:color w:val="auto"/>
        </w:rPr>
      </w:pPr>
    </w:p>
    <w:p>
      <w:pPr>
        <w:ind w:left="300" w:hanging="299"/>
        <w:spacing w:after="0"/>
        <w:tabs>
          <w:tab w:leader="none" w:pos="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relative amounts of income before taxes in the jurisdictions in which we operate that have differing statutory tax rates;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tax laws, tax treaties, and regulations or the interpretation of them;</w:t>
      </w:r>
    </w:p>
    <w:p>
      <w:pPr>
        <w:spacing w:after="0" w:line="148" w:lineRule="exact"/>
        <w:rPr>
          <w:rFonts w:ascii="Times New Roman" w:cs="Times New Roman" w:eastAsia="Times New Roman" w:hAnsi="Times New Roman"/>
          <w:sz w:val="19"/>
          <w:szCs w:val="19"/>
          <w:color w:val="auto"/>
        </w:rPr>
      </w:pPr>
    </w:p>
    <w:p>
      <w:pPr>
        <w:ind w:left="300" w:right="280" w:hanging="299"/>
        <w:spacing w:after="0" w:line="261" w:lineRule="auto"/>
        <w:tabs>
          <w:tab w:leader="none" w:pos="28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outcome of any current or future tax audits, examinations, or administrative appeals; and</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limitations or adverse findings regarding our ability to do business in some jurisdictions.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of these developments could adversely affect our business, results of operations and financial condition.</w:t>
      </w:r>
    </w:p>
    <w:p>
      <w:pPr>
        <w:spacing w:after="0" w:line="130"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w:t>
      </w:r>
    </w:p>
    <w:p>
      <w:pPr>
        <w:spacing w:after="0" w:line="1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4" w:right="399" w:bottom="1440" w:gutter="0" w:footer="0" w:header="0"/>
        </w:sectPr>
      </w:pPr>
    </w:p>
    <w:bookmarkStart w:id="71" w:name="page72"/>
    <w:bookmarkEnd w:id="71"/>
    <w:p>
      <w:pPr>
        <w:ind w:right="80"/>
        <w:spacing w:after="0" w:line="256" w:lineRule="auto"/>
        <w:rPr>
          <w:sz w:val="20"/>
          <w:szCs w:val="20"/>
          <w:color w:val="auto"/>
        </w:rPr>
      </w:pPr>
      <w:r>
        <w:rPr>
          <w:rFonts w:ascii="Times New Roman" w:cs="Times New Roman" w:eastAsia="Times New Roman" w:hAnsi="Times New Roman"/>
          <w:sz w:val="19"/>
          <w:szCs w:val="19"/>
          <w:color w:val="auto"/>
        </w:rPr>
        <w:t>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9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The standard effective corporate tax rate in Schlieren, Canton of Zurich, can change from time to time. The standard combined (federal, cantonal, municipal) effective corporate income tax rate, except for dividend income for which we could claim a participation exemption, for 2024 in Schlieren, Canton of Zurich, is approximately 19.3%.</w:t>
      </w:r>
    </w:p>
    <w:p>
      <w:pPr>
        <w:spacing w:after="0" w:line="9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9"/>
          <w:szCs w:val="19"/>
          <w:color w:val="auto"/>
        </w:rPr>
        <w:t>We urge our shareholders to consult with their legal and tax advisors with respect to the potential tax consequences of investing in or holding our ADSs and ordinary shares.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price of our ADSs may be volatile and may fluctuate due to factors beyond our control.</w:t>
      </w:r>
    </w:p>
    <w:p>
      <w:pPr>
        <w:spacing w:after="0" w:line="14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color w:val="auto"/>
        </w:rPr>
        <w:t>The market price of our ADSs and our ordinary shares may fluctuate significantly due to a variety of factors, many of which are beyond our control, including:</w:t>
      </w:r>
    </w:p>
    <w:p>
      <w:pPr>
        <w:spacing w:after="0" w:line="82" w:lineRule="exact"/>
        <w:rPr>
          <w:sz w:val="20"/>
          <w:szCs w:val="20"/>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positive or negative results of testing and clinical trials reported or conducted by us, strategic partners or competitors;</w:t>
      </w:r>
    </w:p>
    <w:p>
      <w:pPr>
        <w:spacing w:after="0" w:line="136" w:lineRule="exact"/>
        <w:rPr>
          <w:rFonts w:ascii="Times New Roman" w:cs="Times New Roman" w:eastAsia="Times New Roman" w:hAnsi="Times New Roman"/>
          <w:sz w:val="19"/>
          <w:szCs w:val="19"/>
          <w:color w:val="auto"/>
        </w:rPr>
      </w:pPr>
    </w:p>
    <w:p>
      <w:pPr>
        <w:ind w:left="300" w:hanging="299"/>
        <w:spacing w:after="0" w:line="275" w:lineRule="auto"/>
        <w:tabs>
          <w:tab w:leader="none" w:pos="28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entering into strategic relationships with respect to development or commercialization of our product candidates or entering into strategic relationships on terms that are not deemed to be favorable to us;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technological innovations or commercial product introductions by us or competitors;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regulations;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concerning proprietary rights, including patents and litigation matters;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public concern relating to the commercial value or safety of any of our product candidates;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 or other corporate transactions;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publication of research reports or comments by securities or industry analysts;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market conditions in the pharmaceutical industry or in the economy as a whole;</w:t>
      </w:r>
    </w:p>
    <w:p>
      <w:pPr>
        <w:spacing w:after="0" w:line="148" w:lineRule="exact"/>
        <w:rPr>
          <w:rFonts w:ascii="Times New Roman" w:cs="Times New Roman" w:eastAsia="Times New Roman" w:hAnsi="Times New Roman"/>
          <w:sz w:val="19"/>
          <w:szCs w:val="19"/>
          <w:color w:val="auto"/>
        </w:rPr>
      </w:pPr>
    </w:p>
    <w:p>
      <w:pPr>
        <w:ind w:left="300" w:right="20" w:hanging="299"/>
        <w:spacing w:after="0" w:line="247" w:lineRule="auto"/>
        <w:tabs>
          <w:tab w:leader="none" w:pos="28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of macroeconomic factors, including inflation, the U.S. Federal Reserve raising interest rates, political conditions, changes in trade policies and geopolitical conflicts in Europe and the Middle East, on the global economy or financial markets; or</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price and volume fluctuations attributable to inconsistent trading volume levels of our ADSs and/or ordinary shares.</w:t>
      </w:r>
    </w:p>
    <w:p>
      <w:pPr>
        <w:spacing w:after="0" w:line="1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72" w:name="page73"/>
    <w:bookmarkEnd w:id="72"/>
    <w:p>
      <w:pPr>
        <w:ind w:right="4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have and will continue to incur increased costs as a result of operating as a U.S.-listed public company, and our board of directors will be required to devote substantial time to compliance initiatives and corporate governance practices.</w:t>
      </w:r>
    </w:p>
    <w:p>
      <w:pPr>
        <w:spacing w:after="0" w:line="7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As a public company in the United States, and particularly after we no longer qualify as an emerging growth company, we have and will continue to incur significant legal, accounting and other expenses that we did not incur as a public company listed only on the SIX Swiss Exchange. We are a corporation (</w:t>
      </w:r>
      <w:r>
        <w:rPr>
          <w:rFonts w:ascii="Times New Roman" w:cs="Times New Roman" w:eastAsia="Times New Roman" w:hAnsi="Times New Roman"/>
          <w:sz w:val="19"/>
          <w:szCs w:val="19"/>
          <w:i w:val="1"/>
          <w:iCs w:val="1"/>
          <w:color w:val="auto"/>
        </w:rPr>
        <w:t>Aktiengesellschaft</w:t>
      </w:r>
      <w:r>
        <w:rPr>
          <w:rFonts w:ascii="Times New Roman" w:cs="Times New Roman" w:eastAsia="Times New Roman" w:hAnsi="Times New Roman"/>
          <w:sz w:val="19"/>
          <w:szCs w:val="19"/>
          <w:color w:val="auto"/>
        </w:rPr>
        <w:t>), organized under the laws of Switzerland in accordance with articles 620 et seqq. CO and subject to the listing rules and the applicable 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are required to devote a substantial amount of time to these compliance initiatives. Moreover, these rules and regulations will increase our legal and financial compliance costs and will make some activities more time-consuming and costly.</w:t>
      </w:r>
    </w:p>
    <w:p>
      <w:pPr>
        <w:spacing w:after="0" w:line="1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Pursuant to Section 404 of the Sarbanes-Oxley Act of 2002, or Section 404, we are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documenting and evaluating our internal control over financial reporting, which is both costly and challenging. In this regard, we continue to dedicate internal resources,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0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Certain significant shareholders may own a substantial number of our securities and as a result, may be able to exercise significant influence over the outcome of shareholder votes. These shareholders may have different interests from us or your interests.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a number of significant shareholders. For an overview of our current significant shareholders, please see "Principal Shareholders."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73" w:name="page74"/>
    <w:bookmarkEnd w:id="73"/>
    <w:p>
      <w:pPr>
        <w:ind w:right="34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Future sales, or the possibility of future sales, of a substantial number of our securities could adversely affect the price of the shares and dilute shareholders.</w:t>
      </w:r>
    </w:p>
    <w:p>
      <w:pPr>
        <w:spacing w:after="0" w:line="7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If our existing shareholders sell, or indicate an intent to sell, substantial amounts of our securities in the public market, the trading price of our ADSs and our ordinary shares could decline significantly. As of December 31, 2024, we had 40,363,095 ordinary shares outstanding including 3,500,000 treasury shares held through our wholly-owned subsidiary Molecular Partners Inc. and 3,000,000 ADS representing our ordinary shares issued and outstanding. In addition, ordinary shares subject to outstanding options under our equity incentive plans and the ordinary shares reserved for future issuance under our equity incentive plan will become eligible for sale in the public market in the future, subject to certain legal and contractual limitations.</w:t>
      </w:r>
    </w:p>
    <w:p>
      <w:pPr>
        <w:spacing w:after="0" w:line="109"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8"/>
          <w:szCs w:val="18"/>
          <w:color w:val="auto"/>
        </w:rPr>
        <w:t>We intend to register all ordinary shares that we may issue under our equity compensation plans. Once we register these ordinary shares, they can be freely sold in the public market upon issuance, subject to volume limitations applicable to affiliates and any applicable lock-up agreements.</w:t>
      </w:r>
    </w:p>
    <w:p>
      <w:pPr>
        <w:spacing w:after="0" w:line="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Provisions of our articles of association or Swiss corporate law might deter acquisition bids for us that might be considered favorable and prevent or frustrate any attempt to replace or remove the then board of directors.</w:t>
      </w:r>
    </w:p>
    <w:p>
      <w:pPr>
        <w:spacing w:after="0" w:line="75"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8"/>
          <w:szCs w:val="18"/>
          <w:color w:val="auto"/>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8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Fluctuations in exchange rates may increase the risk of holding ADSs and ordinary shares.</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our ADSs and ordinary shares may be affected by fluctuations in foreign exchange rates between the Swiss franc and these other currencies, which may also have a significant impact on our reported results of operations and cash flows from period to period. Besides natural hedging, currently, we do not have any exchange rate hedging arrangements in place.</w:t>
      </w:r>
    </w:p>
    <w:p>
      <w:pPr>
        <w:spacing w:after="0" w:line="1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Moreover, because our ordinary shares currently trade on the SIX Swiss Exchange in Swiss francs, and our ADSs trade on the Nasdaq Global Select Market in U.S. dollars, fluctuations in the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74" w:name="page75"/>
    <w:bookmarkEnd w:id="74"/>
    <w:p>
      <w:pPr>
        <w:ind w:right="160"/>
        <w:spacing w:after="0" w:line="275" w:lineRule="auto"/>
        <w:rPr>
          <w:sz w:val="20"/>
          <w:szCs w:val="20"/>
          <w:color w:val="auto"/>
        </w:rPr>
      </w:pPr>
      <w:r>
        <w:rPr>
          <w:rFonts w:ascii="Times New Roman" w:cs="Times New Roman" w:eastAsia="Times New Roman" w:hAnsi="Times New Roman"/>
          <w:sz w:val="19"/>
          <w:szCs w:val="19"/>
          <w:color w:val="auto"/>
        </w:rPr>
        <w:t>between the U.S. dollar and the Swiss franc may result in temporary differences between the value of our ADSs and the value of our ordinary shares, which may result in heavy trading by investors seeking to exploit such differences.</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ordinary shares and ADSs are traded on more than one market and this may result in price variations and adversely affect the liquidity and value of the ADSs; in addition, investors may not be able to easily move ordinary shares for trading between such markets. Furthermore, because of this dual listing, securities and stock exchange laws, regulations and rules apply to us that may be irreconcilable or otherwise difficult to comply with contemporaneously.</w:t>
      </w:r>
    </w:p>
    <w:p>
      <w:pPr>
        <w:spacing w:after="0" w:line="100"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9"/>
          <w:szCs w:val="19"/>
          <w:color w:val="auto"/>
        </w:rPr>
        <w:t>Our ordinary shares have traded on the SIX Swiss Exchange since 2014 and our ADSs have traded on the Nasdaq Global Select Market since June 2021. Trading in our ADSs or ordinary shares on these markets takes place in different currencies (U.S. dollars on the Nasdaq Global Select Market and Swiss Francs on the SIX Swiss Exchange), at different times (resulting from different time zones, different trading days and different public holidays in the United States and Switzerland) and among a different investor base. The trading prices of our ordinary shares and our ADSs on these two markets may differ due to these and other factors. Any decrease in the price of our ordinary shares on the SIX Swiss Exchange could cause a decrease in the trading price of our ADSs on the Nasdaq Global Select Market.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cannot immediately surrender their ADSs and withdraw the underlying ordinary shares for trading on the other market without effecting necessary procedures with the depositary. This could result in time delays and additional cost for holders of ADSs.</w:t>
      </w:r>
    </w:p>
    <w:p>
      <w:pPr>
        <w:spacing w:after="0" w:line="10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Because different types of our equity securities are admitted to trading and listed on two different stock exchanges in two different jurisdictions, two sets of securities laws and regulations and stock exchange rules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Holders of ADSs are not treated as holders of our ordinary shares.</w:t>
      </w:r>
    </w:p>
    <w:p>
      <w:pPr>
        <w:spacing w:after="0" w:line="142"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8"/>
          <w:szCs w:val="18"/>
          <w:color w:val="auto"/>
        </w:rPr>
        <w:t>Holders of our ADSs are not treated as holders of our ordinary shares, unless they withdraw the ordinary shares underlying their ADSs in accordance with the deposit agreement and applicable laws and regulations. The depositary is the holder of the ordinary shares underlying our ADSs. Holders of our ADSs therefore do not have any rights as holders of our ordinary shares, other than the rights that they have pursuant to the deposit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Holders of ADSs may be subject to limitations on the transfer of their ADSs and the withdrawal of the underlying ordinary shares.</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75" w:name="page76"/>
    <w:bookmarkEnd w:id="75"/>
    <w:p>
      <w:pPr>
        <w:ind w:right="40"/>
        <w:spacing w:after="0" w:line="254" w:lineRule="auto"/>
        <w:rPr>
          <w:sz w:val="20"/>
          <w:szCs w:val="20"/>
          <w:color w:val="auto"/>
        </w:rPr>
      </w:pPr>
      <w:r>
        <w:rPr>
          <w:rFonts w:ascii="Times New Roman" w:cs="Times New Roman" w:eastAsia="Times New Roman" w:hAnsi="Times New Roman"/>
          <w:sz w:val="19"/>
          <w:szCs w:val="19"/>
          <w:color w:val="auto"/>
        </w:rPr>
        <w:t>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w:t>
      </w:r>
    </w:p>
    <w:p>
      <w:pPr>
        <w:spacing w:after="0" w:line="9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7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7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9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If you or any other holders or beneficial owners of ADSs bring a claim against us or the depositary in connection with matters arising under the deposit agreement or the ADSs, including claims under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6" w:name="page77"/>
    <w:bookmarkEnd w:id="76"/>
    <w:p>
      <w:pPr>
        <w:ind w:right="160"/>
        <w:spacing w:after="0" w:line="266" w:lineRule="auto"/>
        <w:rPr>
          <w:sz w:val="20"/>
          <w:szCs w:val="20"/>
          <w:color w:val="auto"/>
        </w:rPr>
      </w:pPr>
      <w:r>
        <w:rPr>
          <w:rFonts w:ascii="Times New Roman" w:cs="Times New Roman" w:eastAsia="Times New Roman" w:hAnsi="Times New Roman"/>
          <w:sz w:val="18"/>
          <w:szCs w:val="18"/>
          <w:color w:val="auto"/>
        </w:rPr>
        <w:t>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0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7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Moreover, as the jury trial waiver relates to claims arising out of or relating to the ADSs or the deposit agreement, we believe that, as a matter of construction of the clause, the waiver would likely to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spacing w:after="0" w:line="11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You will not have the same voting rights as the holders of our ordinary shares and may not receive voting materials in time to be able to exercise your right to vote.</w:t>
      </w:r>
    </w:p>
    <w:p>
      <w:pPr>
        <w:spacing w:after="0" w:line="1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Except as described in this Annual Report on Form 20-F and the deposit agreement, holders of the ADSs are not able to exercise voting rights attached to the ordinary shares represented by the ADSs. Under the terms of the deposit agreement, holders of the ADSs may instruct the depositary to vote the ordinary shares underlying their ADSs. Otherwise, holders of ADSs are not able to exercise their right to vote unless they withdraw the ordinary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In addition, regardless of whether timely voting instructions are provided to the depositary, at our request, the depositary will represent all ordinary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77" w:name="page78"/>
    <w:bookmarkEnd w:id="77"/>
    <w:p>
      <w:pPr>
        <w:ind w:right="1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A beneficial owner of our ordinary shares that is not registered in our shareholders register may not be able to exercise certain rights attached to the ordinary shares.</w:t>
      </w:r>
    </w:p>
    <w:p>
      <w:pPr>
        <w:spacing w:after="0" w:line="7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The financial rights attached to our ordinary shares transfer to a holder of those shares upon purchasing such shares in a stock market transaction. Any voting rights or rights related to voting rights only transfer once the acquirer has been registered in the shareholders' register as shareholder of such ordinary shares. A beneficial owner that is not directly registered in the shareholders' register can enjoy the financial rights, voting rights and rights related to voting rights only through the entity that acts as nominee or depositary for those ordinary shares and is recorded in the shareholders' register as the shareholder of record of those shares. This is also the case if you hold ADSs. It is possible that a nominee or a depositary will be unwilling to exercise certain rights attached to the ordinary shares, such as rights that require litigation. Therefore, failing to register in the shareholders' register may result in your inability to exercise certain rights as a shareholder.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do not expect to pay dividends in the foreseeable future.</w:t>
      </w:r>
    </w:p>
    <w:p>
      <w:pPr>
        <w:spacing w:after="0" w:line="1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 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w:t>
      </w:r>
    </w:p>
    <w:p>
      <w:pPr>
        <w:spacing w:after="0" w:line="1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You may not receive distributions on our ordinary shares represented by our ADS or any value for them if it is illegal or impractical to make them available to holders of ADSs.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depositary for our ADSs will pay to you or distribute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you may not receive the distributions we make on our ordinary shares or any value from them if it is unlawful or impracticable to make them available to you. These restrictions may have a material adverse effect on the value of your ADSs.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Holders of our ordinary shares outside Switzerland and ADS holders may not be able to exercise pre-emptive rights.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78" w:name="page79"/>
    <w:bookmarkEnd w:id="78"/>
    <w:p>
      <w:pPr>
        <w:ind w:right="480"/>
        <w:spacing w:after="0" w:line="275" w:lineRule="auto"/>
        <w:rPr>
          <w:sz w:val="20"/>
          <w:szCs w:val="20"/>
          <w:color w:val="auto"/>
        </w:rPr>
      </w:pPr>
      <w:r>
        <w:rPr>
          <w:rFonts w:ascii="Times New Roman" w:cs="Times New Roman" w:eastAsia="Times New Roman" w:hAnsi="Times New Roman"/>
          <w:sz w:val="19"/>
          <w:szCs w:val="19"/>
          <w:color w:val="auto"/>
        </w:rPr>
        <w:t>should take such action in any jurisdiction. If shareholders in such jurisdictions were unable to exercise their subscription rights, their ownership interest in the Company would be diluted.</w:t>
      </w:r>
    </w:p>
    <w:p>
      <w:pPr>
        <w:spacing w:after="0" w:line="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ADS holders have no pre-emptive rights to subscribe to newly issued shares unless we grant such rights to the foreign depositary. The right to exercise such pre-emptive rights is set out in the agreement between the ADS holder and the depositary.</w:t>
      </w:r>
    </w:p>
    <w:p>
      <w:pPr>
        <w:spacing w:after="0" w:line="10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are a Swiss corporation. The rights of our shareholders may be different from the rights of shareholders in companies governed by the laws of U.S. jurisdictions.</w:t>
      </w:r>
    </w:p>
    <w:p>
      <w:pPr>
        <w:spacing w:after="0" w:line="1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w:t>
      </w:r>
    </w:p>
    <w:p>
      <w:pPr>
        <w:spacing w:after="0" w:line="10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On January 1, 2023, legislation that modernized certain aspects of Swiss corporate law (the Swiss corporate law reform (</w:t>
      </w:r>
      <w:r>
        <w:rPr>
          <w:rFonts w:ascii="Times New Roman" w:cs="Times New Roman" w:eastAsia="Times New Roman" w:hAnsi="Times New Roman"/>
          <w:sz w:val="19"/>
          <w:szCs w:val="19"/>
          <w:i w:val="1"/>
          <w:iCs w:val="1"/>
          <w:color w:val="auto"/>
        </w:rPr>
        <w:t>Aktienrechtsrevision</w:t>
      </w:r>
      <w:r>
        <w:rPr>
          <w:rFonts w:ascii="Times New Roman" w:cs="Times New Roman" w:eastAsia="Times New Roman" w:hAnsi="Times New Roman"/>
          <w:sz w:val="19"/>
          <w:szCs w:val="19"/>
          <w:color w:val="auto"/>
        </w:rPr>
        <w:t>)) entered into force. The new legislation altered the rights of shareholders under Swiss law, and as a consequence the rights of holders of our ADSs. The Swiss corporate law reform is subject to certain transitional periods as provided for therein. In particular, Swiss stock corporations registered with the Commercial Register on January 1, 2023, are required to amend their articles of incorporation and organizational regulations in line with the new legislation within a transitional period of two years (i.e., until January 1, 2025). See "Item 10. - Memorandum and Articles of Association - Swiss Corporate Law Reform."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spacing w:after="0" w:line="106"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Our ordinary shares are issued under the laws of Switzerland, which may not provide investors with the same protections provided by incorporation in Delaware.</w:t>
      </w:r>
    </w:p>
    <w:p>
      <w:pPr>
        <w:spacing w:after="0" w:line="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We are organized under the laws of Switzerland. A further summary of applicable Swiss law is contained in this Annual Report on Form 20-F. There can be no assurance that Swiss law will not change in the future or that it will provide investors with the same protections afforded to investors of a Delaware corporation, which could adversely affect the rights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b w:val="1"/>
          <w:bCs w:val="1"/>
          <w:i w:val="1"/>
          <w:iCs w:val="1"/>
          <w:color w:val="auto"/>
        </w:rPr>
        <w:t>Claims of U.S. civil liabilities may not be enforceable against us.</w:t>
      </w:r>
    </w:p>
    <w:p>
      <w:pPr>
        <w:spacing w:after="0" w:line="14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 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spacing w:after="0" w:line="115" w:lineRule="exact"/>
        <w:rPr>
          <w:sz w:val="20"/>
          <w:szCs w:val="20"/>
          <w:color w:val="auto"/>
        </w:rPr>
      </w:pPr>
    </w:p>
    <w:p>
      <w:pPr>
        <w:ind w:left="300" w:hanging="299"/>
        <w:spacing w:after="0"/>
        <w:tabs>
          <w:tab w:leader="none" w:pos="3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non-Swiss court had jurisdiction pursuant to the Swiss Federal Act on Private International Law;</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judgment of such non-Swiss court has become final and non-appealable;</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judgment does not contravene Swiss public policy;</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court procedures and the service of documents leading to the judgment were in accordance with the due process of law; and</w:t>
      </w:r>
    </w:p>
    <w:p>
      <w:pPr>
        <w:spacing w:after="0" w:line="136" w:lineRule="exact"/>
        <w:rPr>
          <w:rFonts w:ascii="Times New Roman" w:cs="Times New Roman" w:eastAsia="Times New Roman" w:hAnsi="Times New Roman"/>
          <w:sz w:val="19"/>
          <w:szCs w:val="19"/>
          <w:color w:val="auto"/>
        </w:rPr>
      </w:pPr>
    </w:p>
    <w:p>
      <w:pPr>
        <w:ind w:left="300" w:right="360" w:hanging="299"/>
        <w:spacing w:after="0" w:line="275" w:lineRule="auto"/>
        <w:tabs>
          <w:tab w:leader="none" w:pos="28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28" w:right="379" w:bottom="1440" w:gutter="0" w:footer="0" w:header="0"/>
        </w:sectPr>
      </w:pPr>
    </w:p>
    <w:bookmarkStart w:id="80" w:name="page81"/>
    <w:bookmarkEnd w:id="80"/>
    <w:p>
      <w:pPr>
        <w:ind w:right="2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7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of up to five years and must be renewed by the shareholders from time to time thereafter in order to be available for raising capital. For an overview of the changes in Swiss corporate law due to the Swiss corporate law reform that came into effect on January 1, 2023, see "Item 10. - Memorandum and Articles of Association - Swiss Corporate Law Reform."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For changes to Swiss corporate law potentially affecting the rights of the holders of our ADSs, see also "Item 10. - Memorandum and Articles of Association - Swiss Corporate Law Reform"</w:t>
      </w:r>
    </w:p>
    <w:p>
      <w:pPr>
        <w:spacing w:after="0" w:line="11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01" w:lineRule="exact"/>
        <w:rPr>
          <w:sz w:val="20"/>
          <w:szCs w:val="20"/>
          <w:color w:val="auto"/>
        </w:rPr>
      </w:pPr>
    </w:p>
    <w:p>
      <w:pPr>
        <w:ind w:right="900"/>
        <w:spacing w:after="0" w:line="289"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81" w:name="page82"/>
    <w:bookmarkEnd w:id="81"/>
    <w:p>
      <w:pPr>
        <w:ind w:right="60"/>
        <w:spacing w:after="0" w:line="276" w:lineRule="auto"/>
        <w:rPr>
          <w:sz w:val="20"/>
          <w:szCs w:val="20"/>
          <w:color w:val="auto"/>
        </w:rPr>
      </w:pPr>
      <w:r>
        <w:rPr>
          <w:rFonts w:ascii="Times New Roman" w:cs="Times New Roman" w:eastAsia="Times New Roman" w:hAnsi="Times New Roman"/>
          <w:sz w:val="18"/>
          <w:szCs w:val="18"/>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8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spacing w:after="0" w:line="12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result of the above, you may not have the same protections afforded to shareholders of companies that are not foreign private issuers.</w:t>
      </w:r>
    </w:p>
    <w:p>
      <w:pPr>
        <w:spacing w:after="0" w:line="1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8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We may no longer be a foreign private issuer as of June 30 for a given fiscal year (the end of our second fiscal quarter for a given fiscal year), which would require us to comply with all of the periodic disclosure and current reporting requirements of the Exchange Act applicable to U.S. domestic issuers as of January 1 of such year. In order to maintain our current status as a foreign private issuer, either (a) a majority of our ordinary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and regulations could also make it more difficult for us to attract and retain qualified members of our board of directors.</w:t>
      </w:r>
    </w:p>
    <w:p>
      <w:pPr>
        <w:spacing w:after="0" w:line="13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We are an "emerging growth company" and we cannot be certain if the reduced reporting requirements applicable to "emerging growth companies" will make our ADSs less attractive to investors.</w:t>
      </w:r>
    </w:p>
    <w:p>
      <w:pPr>
        <w:spacing w:after="0" w:line="7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We are an "emerging growth company," as defined in the U.S.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We may take advantage of these exemptions until we are no longer an "emerging growth company." We could be an "emerging growth company" for up to the last day of the fiscal year ending after the fifth anniversary of our initial U.S. public offering (June 2021), although circumstances could cause us to lose that status earlier, including if the aggregate market value of our ordinary shares held by non-affiliates exceeds $700 million as of any June 30 (the end of our second fiscal quarter) before that time, in which case we would no longer be an "emerging growth company" as of the following December 31 (our fiscal year-end).</w:t>
      </w:r>
    </w:p>
    <w:p>
      <w:pPr>
        <w:spacing w:after="0" w:line="9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We cannot predict if investors will find our ordinary shares less attractive because we may rely on the exemptions and reduced disclosure obligations applicable to emerging growth companies. If some investors find our ordinary shares less attractive as a result, there may be a less active trading market for our ordinary shares and our share price may be more volatile.</w:t>
      </w:r>
    </w:p>
    <w:p>
      <w:pPr>
        <w:spacing w:after="0" w:line="105"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shares or ADSs.</w:t>
      </w:r>
    </w:p>
    <w:p>
      <w:pPr>
        <w:spacing w:after="0" w:line="1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spacing w:after="0" w:line="9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Management is required to assess the effectiveness of our internal controls annually beginning with this annual report on Form 20-F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3" w:name="page84"/>
    <w:bookmarkEnd w:id="83"/>
    <w:p>
      <w:pPr>
        <w:ind w:right="860"/>
        <w:spacing w:after="0" w:line="275" w:lineRule="auto"/>
        <w:rPr>
          <w:sz w:val="20"/>
          <w:szCs w:val="20"/>
          <w:color w:val="auto"/>
        </w:rPr>
      </w:pPr>
      <w:r>
        <w:rPr>
          <w:rFonts w:ascii="Times New Roman" w:cs="Times New Roman" w:eastAsia="Times New Roman" w:hAnsi="Times New Roman"/>
          <w:sz w:val="19"/>
          <w:szCs w:val="19"/>
          <w:color w:val="auto"/>
        </w:rPr>
        <w:t>remediation and could also result in an adverse reaction in the financial markets due to a loss of confidence in the reliability of our financial statements.</w:t>
      </w:r>
    </w:p>
    <w:p>
      <w:pPr>
        <w:spacing w:after="0" w:line="76"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If we are classified as a passive foreign investment company, U.S. Holders of our ADSs may be subject to adverse U.S. federal income tax consequences.</w:t>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we generally will be classified as a passive foreign investment company, or PFIC, for any taxable year, in which, after the application of certain look-through rules with respect to our subsidiaries, at least 75% of our gross income is passive income, or at least 50% of the average value (determined on the basis of a weighted quarterly average) of our assets for the taxable year is attributable to assets that produce passive income or are held for the production of passive income, including cash. For purposes of these tests, passive income includes, among other things, dividends, interest, gains from commodities and securities transactions, the excess of gains over losses from the disposition of assets which produce passive income (including amounts derived by reason of the temporary investment of funds raised in offerings of our ADSs) and rents and royalties other than rents and royalties which are received from unrelated parties in connection with the active conduct of a trade or business. Generally, in determining whether a non-U.S. corporation is a PFIC, a non-U.S. corporation that directly or indirectly owns at least 25% by value of the shares of another corporation is treated as holding and receiving directly its proportionate share of assets and income of such corporation.</w:t>
      </w:r>
    </w:p>
    <w:p>
      <w:pPr>
        <w:spacing w:after="0" w:line="11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Based upon our analysis of the value of our assets and the nature and composition of our income and assets, we believe that we were a PFIC for the taxable year ended December 31, 2024. However, the determination of whether or not we are a PFIC for any taxable year is a factual determination made annually after the end of each taxable year, and because the applicable law is subject to varying interpretations, we cannot provide any assurance regarding our PFIC status and our U.S. counsel expresses no opinion with respect to our PFIC status for any taxable year. If we are characterized as a PFIC for any taxable year during which U.S. Holders (as defined in “Item 10. E Taxation – Material U.S. Federal Income Tax Consequences for U.S. Holders” below) hold our ADSs, U.S. Holders of our ADSs may suffer adverse tax consequences regardless of whether we continue to qualify as a PFIC, including having gains realized on the sale of our ADSs treated as ordinary income rather than capital gain, the loss of the preferential rate applicable to dividends received on our ADSs by individuals who are U.S. Holders, and having interest charges apply to certain distributions by us and gains from the sales of our ADSs.</w:t>
      </w:r>
    </w:p>
    <w:p>
      <w:pPr>
        <w:spacing w:after="0" w:line="12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The tax consequences that would apply if we are classified as a PFIC would be different from those described above if a U.S. Holder of our ADSs were able to make a valid qualified electing fund, or QEF, election, or, in some circumstances, a “mark-to-market” election. We currently expect to provide U.S. Holders of our ADSs with the information necessary to make a QEF election if we were treated as a PFIC for any taxable year, although there is no assurance that we will do so.</w:t>
      </w:r>
    </w:p>
    <w:p>
      <w:pPr>
        <w:spacing w:after="0" w:line="119" w:lineRule="exact"/>
        <w:rPr>
          <w:sz w:val="20"/>
          <w:szCs w:val="20"/>
          <w:color w:val="auto"/>
        </w:rPr>
      </w:pPr>
    </w:p>
    <w:p>
      <w:pPr>
        <w:jc w:val="both"/>
        <w:ind w:right="440"/>
        <w:spacing w:after="0" w:line="242" w:lineRule="auto"/>
        <w:rPr>
          <w:sz w:val="20"/>
          <w:szCs w:val="20"/>
          <w:color w:val="auto"/>
        </w:rPr>
      </w:pPr>
      <w:r>
        <w:rPr>
          <w:rFonts w:ascii="Times New Roman" w:cs="Times New Roman" w:eastAsia="Times New Roman" w:hAnsi="Times New Roman"/>
          <w:sz w:val="19"/>
          <w:szCs w:val="19"/>
          <w:color w:val="auto"/>
        </w:rPr>
        <w:t>For further discussion of the PFIC rules and the adverse U.S. federal income tax consequences in the event we are classified as a PFIC, as well as certain elections that may be available to U.S. shareholders, see “Item 10. E Taxation – Material U.S. Federal Income Tax Consequences for U.S. 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Risks</w:t>
      </w:r>
    </w:p>
    <w:p>
      <w:pPr>
        <w:spacing w:after="0" w:line="121"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If our data or information technology systems, or those of the third parties with whom we work, are or were compromised, we could experience adverse consequences resulting from such compromise, including, but not limited to, regulatory investigations or actions; litigation; fines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of our business operations; reputational harm; loss of revenue or profits; loss of customers or sales; and other adverse consequences.</w:t>
      </w:r>
    </w:p>
    <w:p>
      <w:pPr>
        <w:spacing w:after="0" w:line="1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process confidential and sensitive data, including personal data (such as health-related data), intellectual property, and proprietary business information (collectively, sensitive information). We have also outsourced elements of our information technology infrastructure, and as a result a number of third-party vendors have access to certain of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which has occurred in the past,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0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Cyberattacks, malicious internet-based activity, and online and offline fraud are prevalent and have generally increased as the number, intensity and sophistication of attempted attacks and intrusions from around the world have increased. These threats come from a variety of sources,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products.</w:t>
      </w:r>
    </w:p>
    <w:p>
      <w:pPr>
        <w:spacing w:after="0" w:line="1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We and third parties with whom we work are also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and credential harvesting, ransomware attacks, supply-chain attacks, software bugs, server malfunctions, software or hardware failures, personnel misconduct or error, loss of data or other information technology assets, adware, telecommunications failures, attacks enhanced or facilitated by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business operations.</w:t>
      </w:r>
    </w:p>
    <w:p>
      <w:pPr>
        <w:spacing w:after="0" w:line="12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In addition, the prevalent use of mobile devices that access confidential information increases the risk of lost or stolen devices and security incidents, which could lead to the loss of sensitive information. Remote work has increased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85" w:name="page86"/>
    <w:bookmarkEnd w:id="85"/>
    <w:p>
      <w:pPr>
        <w:ind w:right="80"/>
        <w:spacing w:after="0" w:line="256" w:lineRule="auto"/>
        <w:rPr>
          <w:sz w:val="20"/>
          <w:szCs w:val="20"/>
          <w:color w:val="auto"/>
        </w:rPr>
      </w:pPr>
      <w:r>
        <w:rPr>
          <w:rFonts w:ascii="Times New Roman" w:cs="Times New Roman" w:eastAsia="Times New Roman" w:hAnsi="Times New Roman"/>
          <w:sz w:val="19"/>
          <w:szCs w:val="19"/>
          <w:color w:val="auto"/>
        </w:rPr>
        <w:t>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9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9"/>
          <w:szCs w:val="19"/>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with whom we work) to conduct our business. For example, the loss of clinical trial data from completed or ongoing or planned clinical trials could result in delays in our regulatory approval efforts and significantly increase our costs to recover or reproduce the data.</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 have expended significant resources and may continue to do so in the future or modify our business activities (including our clinical trial activities) to try to protect against security incidents. Certain data privacy and security obligations may require us to implement and maintain certain security measures, industry-standard or reasonable security measures to protect our information technology systems and sensitive information.</w:t>
      </w:r>
    </w:p>
    <w:p>
      <w:pPr>
        <w:spacing w:after="0" w:line="96"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9"/>
          <w:szCs w:val="19"/>
          <w:color w:val="auto"/>
        </w:rPr>
        <w:t>While we have implemented security measures designed to protect against security incidents, there can be no assurance that these measures will be effective. We experience such security incidents of varying degrees from time to time, and we incur costs in protecting against or remediating such security incidents.</w:t>
      </w:r>
    </w:p>
    <w:p>
      <w:pPr>
        <w:spacing w:after="0" w:line="9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We take steps designed to detect, mitigate, and remediate vulnerabilities in our information systems, but we may not, however, detect, mitigate, or remediate all such on a timely basis. Vulnerabilities could be exploited and result in a security incident.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governmental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w:t>
      </w:r>
    </w:p>
    <w:p>
      <w:pPr>
        <w:spacing w:after="0" w:line="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0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9"/>
          <w:szCs w:val="19"/>
          <w:color w:val="auto"/>
        </w:rPr>
        <w:t>revealed as a result of or in connection with our employee’s, personnel’s, or vendor’s use of generative AI technologies.</w:t>
      </w:r>
    </w:p>
    <w:p>
      <w:pPr>
        <w:spacing w:after="0" w:line="23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If securities or industry analysts cease coverage of us, or publish inaccurate or unfavorable research about our business, the price of the ADSs and our trading volume could decline.</w:t>
      </w:r>
    </w:p>
    <w:p>
      <w:pPr>
        <w:spacing w:after="0" w:line="8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The trading market for the ADSs and our ordinary shares depends in part on the research and reports that securities or industry analysts publish about us or our business. If no or too few securities or industry analysts cover us, the trading price for the ADSs and our ordinary shares would likely be negatively affected. If one or more of the analysts who cover us downgrade the ADSs or our ordinary shares or publish inaccurate or unfavorable research about our business, the price of the ADSs and our ordinary shares would likely decline. If one or more of these analysts cease coverage of us or fail to publish reports on us regularly, demand for the ADSs and our ordinary shares could decrease, which might cause the price of the ADSs and our ordinary shares and trading volume to decline.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securities litigation, which is expensive and could divert management attention and adversely impact our business.</w:t>
      </w:r>
    </w:p>
    <w:p>
      <w:pPr>
        <w:spacing w:after="0" w:line="14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The market price of our ordinary shares has been and may continue to be volatile. Companies that have experienced volatility in the market price of their ordinary shares are often subject to securities class action litigation. For example, in July 2022, a securities class action complaint was filed in the U.S. District Court for the Southern District of New York against us, our directors and certain of our current and former executive officers. After several proceedings, on February 29, 2024, the court ordered the case closed. However, any future securities litigation could result in substantial costs and diversion of management’s attention and resources, which could adversely impact our business. Any adverse determination in litigation could also subject us to significant liabilities. See Part I, Item 8.A “Consolidated Statements and Other Financial Information – Legal Proceedings”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7" w:name="page88"/>
    <w:bookmarkEnd w:id="87"/>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Information on the Company.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History and Development of the Company</w:t>
      </w:r>
    </w:p>
    <w:p>
      <w:pPr>
        <w:spacing w:after="0" w:line="13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 xml:space="preserve">Our corporate name is Molecular Partners AG. We were incorporated in Switzerland as an </w:t>
      </w:r>
      <w:r>
        <w:rPr>
          <w:rFonts w:ascii="Times New Roman" w:cs="Times New Roman" w:eastAsia="Times New Roman" w:hAnsi="Times New Roman"/>
          <w:sz w:val="19"/>
          <w:szCs w:val="19"/>
          <w:i w:val="1"/>
          <w:iCs w:val="1"/>
          <w:color w:val="auto"/>
        </w:rPr>
        <w:t>Aktiengesellschaft</w:t>
      </w:r>
      <w:r>
        <w:rPr>
          <w:rFonts w:ascii="Times New Roman" w:cs="Times New Roman" w:eastAsia="Times New Roman" w:hAnsi="Times New Roman"/>
          <w:sz w:val="19"/>
          <w:szCs w:val="19"/>
          <w:color w:val="auto"/>
        </w:rPr>
        <w:t>, or AG, on November 22, 2004 and are subject to article 620 et seq. of the Swiss Code of Obligations. Our principal executive offices are located at Wagistrasse 14, 8952 Schlieren, Switzerland. We are registered with the commercial register of the Canton of Zurich under number CHE-112.115.136. In November 2014, we completed the initial public offering of our ordinary shares on the SIX Swiss Exchange. In June 2021, we completed the initial public offering of our ADSs on the Nasdaq Global Select Market. Our telephone number at our principal executive offices in Switzerland is +41 44 755 77 00.</w:t>
      </w:r>
    </w:p>
    <w:p>
      <w:pPr>
        <w:spacing w:after="0" w:line="107"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9"/>
          <w:szCs w:val="19"/>
          <w:color w:val="auto"/>
        </w:rPr>
        <w:t>Molecular Partners AG is the sole shareholder of Molecular Partners Inc., a Delaware corporation, with a registered office at 245 Main Street, Cambridge, Massachusetts 02142, with a secondary address at 33, Bradford Street, Concord, Massachusetts 01742. Molecular Partners Inc. is our agent for service of process in the United States.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Our website address is www.molecularpartners.com. The reference to our website is an inactive textual reference only and information contained in, or that can be accessed through, our website or any other website cited in this registration statement is not part of this Annual Report on Form 20-F. The SEC maintains a website at </w:t>
      </w:r>
      <w:r>
        <w:rPr>
          <w:rFonts w:ascii="Times New Roman" w:cs="Times New Roman" w:eastAsia="Times New Roman" w:hAnsi="Times New Roman"/>
          <w:sz w:val="19"/>
          <w:szCs w:val="19"/>
          <w:i w:val="1"/>
          <w:iCs w:val="1"/>
          <w:color w:val="auto"/>
        </w:rPr>
        <w:t>www.sec.gov</w:t>
      </w:r>
      <w:r>
        <w:rPr>
          <w:rFonts w:ascii="Times New Roman" w:cs="Times New Roman" w:eastAsia="Times New Roman" w:hAnsi="Times New Roman"/>
          <w:sz w:val="19"/>
          <w:szCs w:val="19"/>
          <w:color w:val="auto"/>
        </w:rPr>
        <w:t xml:space="preserve"> that contains reports, proxy and information statements, and other information regarding issuers that file electronically with the SEC.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Business Overview</w:t>
      </w:r>
    </w:p>
    <w:p>
      <w:pPr>
        <w:spacing w:after="0" w:line="15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We are a clinical-stage biotechnology company pioneering the design and development of DARPin therapeutics for medical challenges that other drug modalities cannot readily address. We have programs in various stages of preclinical and clinical development, currently with main focus on oncology. DARPin (Designed Ankyrin Repeat Protein) therapeutics are a new class of custom-built protein drug candidates based on natural binding proteins that have the potential to unlock new dimensions of multi-functionality and multi-target specificity in drug design. Our DARPin platform allows us to generate product candidates with multiple mechanisms of action, or MoAs, - such as immune cell engagers and radiotherapy, to address complex biological problems. We believe the DARPins' flexible architecture, intrinsic potential for high affinity and specificity, small size and high stability offer benefits to drug design over other currently available protein-based therapeutics.</w:t>
      </w:r>
    </w:p>
    <w:p>
      <w:pPr>
        <w:spacing w:after="0" w:line="110"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9"/>
          <w:szCs w:val="19"/>
          <w:color w:val="auto"/>
        </w:rPr>
        <w:t>Our DARPin candidates have been extensively tested in preclinical studies and clinical trials, including in more than 2,500 patients, and have been observed to be highly active and generally well-tolerated.</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9"/>
          <w:szCs w:val="19"/>
          <w:color w:val="auto"/>
        </w:rPr>
        <w:t>Leveraging our DARPin platform, we have designed product candidates with multiple MoAs that we believe have the potential to offer patients therapeutic options with higher efficacy and fewer adverse events as compared to the current standard of care. Among these multiple MoAs, DARPin product candidates have been designed to block growth factors, localize activity, conditionally activate immune cells, deliver cytotoxic payloads and radionuclides, neutralize viruses, adjust half-life as needed, and initiate cell death. We apply these features across our portfolio to elicit a specific therapeutic response.</w:t>
      </w:r>
    </w:p>
    <w:p>
      <w:pPr>
        <w:spacing w:after="0" w:line="10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9"/>
          <w:szCs w:val="19"/>
          <w:color w:val="auto"/>
        </w:rPr>
        <w:t>We believe that our DARPin platform has the potential to yield novel product candidates with broad therapeutic applications given their ability to overcome many of the limitations of antibody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ind w:right="160"/>
        <w:spacing w:after="0" w:line="256" w:lineRule="auto"/>
        <w:rPr>
          <w:sz w:val="20"/>
          <w:szCs w:val="20"/>
          <w:color w:val="auto"/>
        </w:rPr>
      </w:pPr>
      <w:r>
        <w:rPr>
          <w:rFonts w:ascii="Times New Roman" w:cs="Times New Roman" w:eastAsia="Times New Roman" w:hAnsi="Times New Roman"/>
          <w:sz w:val="19"/>
          <w:szCs w:val="19"/>
          <w:color w:val="auto"/>
        </w:rPr>
        <w:t>conventional protein-based therapeutics. By harnessing DARPins’ intrinsic advantages and leveraging our two decades of experience and leadership with DARPins, we believe our DARPin platform can close the gap between small molecule and antibody medicines as a new therapeutic modality poised to offer clinical breakthroughs.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Pipeline</w:t>
      </w:r>
    </w:p>
    <w:p>
      <w:pPr>
        <w:spacing w:after="0" w:line="14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We believe our DARPin therapies have the potential to address defined medical problems that are not addressable by other drug classes. We currently remain focused on oncology through our robust pipeline of clinical and preclinical programs, with particular attention to MP0533 for the treatment of acute myeloid leukemia, or AML, and MP0317 for the treatment of advanced solid tumors, the Radio-DARPin Therapy, or RDT, platform and pipeline, and other next-generation immune cell engagers leveraging the Switch-DARPin platform.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pipeline chart as of March 2025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156210</wp:posOffset>
            </wp:positionV>
            <wp:extent cx="4857115" cy="1817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5711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co-development agreement with Orano Med includes up to ten potential oncology candidates including DLL3 and mesothelin, or MSLN.</w:t>
      </w:r>
    </w:p>
    <w:p>
      <w:pPr>
        <w:spacing w:after="0" w:line="22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9"/>
          <w:szCs w:val="19"/>
          <w:color w:val="auto"/>
        </w:rPr>
        <w:t>While our DARPin candidates have distinct therapeutic features and particular targets, each DARPin therapeutic modality can be utilized across multiple programs. Our pipeline programs benefit from the learnings of earlier discoveries, such as:</w:t>
      </w:r>
    </w:p>
    <w:p>
      <w:pPr>
        <w:spacing w:after="0" w:line="82" w:lineRule="exact"/>
        <w:rPr>
          <w:sz w:val="20"/>
          <w:szCs w:val="20"/>
          <w:color w:val="auto"/>
        </w:rPr>
      </w:pPr>
    </w:p>
    <w:p>
      <w:pPr>
        <w:ind w:left="600" w:hanging="295"/>
        <w:spacing w:after="0" w:line="275" w:lineRule="auto"/>
        <w:tabs>
          <w:tab w:leader="none" w:pos="5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Multi-specificity and avidity-driven selectivity to boost tumor specificity for our product candidate MP0533, a tetra-specific T cell engager for AML;</w:t>
      </w:r>
    </w:p>
    <w:p>
      <w:pPr>
        <w:spacing w:after="0" w:line="81"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use of fibroblast activation protein, or FAP, as localized activator for MP0317;</w:t>
      </w:r>
    </w:p>
    <w:p>
      <w:pPr>
        <w:spacing w:after="0" w:line="161" w:lineRule="exact"/>
        <w:rPr>
          <w:rFonts w:ascii="Times New Roman" w:cs="Times New Roman" w:eastAsia="Times New Roman" w:hAnsi="Times New Roman"/>
          <w:sz w:val="19"/>
          <w:szCs w:val="19"/>
          <w:color w:val="auto"/>
        </w:rPr>
      </w:pPr>
    </w:p>
    <w:p>
      <w:pPr>
        <w:ind w:left="600" w:right="180" w:hanging="295"/>
        <w:spacing w:after="0" w:line="251" w:lineRule="auto"/>
        <w:tabs>
          <w:tab w:leader="none" w:pos="59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"Stealth DARPins" whereby the DARPin backbone surface is engineering and which are used in our Radio-DARPin programs, allowing for reduced kidney accumulation; and</w:t>
      </w:r>
    </w:p>
    <w:p>
      <w:pPr>
        <w:ind w:left="600" w:right="400" w:hanging="295"/>
        <w:spacing w:after="0" w:line="246" w:lineRule="auto"/>
        <w:tabs>
          <w:tab w:leader="none" w:pos="5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Switch-DARPins, that combine two distinct target specificities on a single DARPin domain, resulting in targeted and conditional effector functions and safer systemic delivery.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strategic collaboration agreements with Novartis, Orano Med, and other third party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4"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9"/>
          <w:szCs w:val="19"/>
          <w:b w:val="1"/>
          <w:bCs w:val="1"/>
          <w:color w:val="auto"/>
        </w:rPr>
        <w:t>Our Team</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were founded in 2004 by the inventors of our DARPin platform. Our senior management, which includes two of our company’s co-founders, have significant prior experience in oncology, research, drug development and finance. Members of our team have served as senior executives at other well-established companies including Amgen, Bavarian Nordic, GSK, Genentech, J&amp;J, Novartis, Roche and Tesaro. Additionally, our board of directors includes current and former senior executives of AbbVie, Biogen, Novartis, Roche and Takeda (Millennium Pharmaceuticals, Shire).</w:t>
      </w:r>
    </w:p>
    <w:p>
      <w:pPr>
        <w:spacing w:after="0" w:line="10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As our name indicates, partnership and collaboration are at the core of our company, our research activities and our therapeutic designs. Molecular Partners embodies an international working environment comprised of over 155 individuals from numerous disciplines who contribute to our shared values of scientific excellence, respectful teamwork and personal aspiration. Stemming from our long-standing goal of improving the lives of patients with cancer,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40"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8"/>
          <w:szCs w:val="18"/>
          <w:color w:val="auto"/>
        </w:rPr>
        <w:t>We are committed to leveraging our proprietary platform to design DARPin-unique solutions for challenges other therapies cannot readily address. DARPins have several intrinsic properties that differentiate them from other modalities. We combine these unique properties with insights from our deep clinical experience and understanding of underlying disease biology to create molecules that offer new solutions to patients with high medical need and that can be tested in preclinical models with translatable value. Key aspects of our strategy include the following:</w:t>
      </w:r>
    </w:p>
    <w:p>
      <w:pPr>
        <w:spacing w:after="0" w:line="87" w:lineRule="exact"/>
        <w:rPr>
          <w:sz w:val="20"/>
          <w:szCs w:val="20"/>
          <w:color w:val="auto"/>
        </w:rPr>
      </w:pPr>
    </w:p>
    <w:p>
      <w:pPr>
        <w:ind w:left="600" w:hanging="295"/>
        <w:spacing w:after="0"/>
        <w:tabs>
          <w:tab w:leader="none" w:pos="5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Rapidly advance our tetra-specific T-cell engaging DARPin, MP0533, for the treatment of patients with AML and high-risk MDS. Presently in a Phase 1/2a clinical trial, we plan to establish the safety and tolerability profile of the program, and aim to identify a therapeutic dose level for additional clinical evaluation. Once a dose level is identified, we intend to quickly expand our clinical trials to evaluate which patients may derive the most benefit from MP0533.</w:t>
      </w:r>
    </w:p>
    <w:p>
      <w:pPr>
        <w:spacing w:after="0" w:line="113" w:lineRule="exact"/>
        <w:rPr>
          <w:rFonts w:ascii="Times New Roman" w:cs="Times New Roman" w:eastAsia="Times New Roman" w:hAnsi="Times New Roman"/>
          <w:sz w:val="19"/>
          <w:szCs w:val="19"/>
          <w:color w:val="auto"/>
        </w:rPr>
      </w:pPr>
    </w:p>
    <w:p>
      <w:pPr>
        <w:ind w:left="600" w:right="20" w:hanging="295"/>
        <w:spacing w:after="0" w:line="249" w:lineRule="auto"/>
        <w:tabs>
          <w:tab w:leader="none" w:pos="6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optimize and expand our pipeline of Radio-DARPin Therapeutics (RDTs). Significant efforts have been put into demonstrating both reduced kidney accumulation, and increased tumor accumulation of our RDTs. These platform learnings will allow us to explore multiple tumor targets not readily addressable by other therapeutic platforms. This potential has been demonstrated preclinically with our DLL3 program. Additional data for our MSLN program is expected to be released in 2025, as well as other targets which we plan to introduce in the coming years.</w:t>
      </w:r>
    </w:p>
    <w:p>
      <w:pPr>
        <w:spacing w:after="0" w:line="120" w:lineRule="exact"/>
        <w:rPr>
          <w:rFonts w:ascii="Times New Roman" w:cs="Times New Roman" w:eastAsia="Times New Roman" w:hAnsi="Times New Roman"/>
          <w:sz w:val="19"/>
          <w:szCs w:val="19"/>
          <w:color w:val="auto"/>
        </w:rPr>
      </w:pPr>
    </w:p>
    <w:p>
      <w:pPr>
        <w:ind w:left="600" w:right="40" w:hanging="295"/>
        <w:spacing w:after="0" w:line="247" w:lineRule="auto"/>
        <w:tabs>
          <w:tab w:leader="none" w:pos="5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Unlock novel biological solutions and expand therapeutic applications of clinically validated DARPin approaches. As the inventors of the DARPin class of drugs, we believe we are the world leaders in DARPin engineering and research. With this expertise, we have developed a strategy of unlocking various technical hurdles which may limit other discovery platforms, and then expanding our clinical product candidates based upon each technological solution. Examples of this include the tumor-localized activation of our oncology program MP0317, the avidity-driven mechanism of MP0533, the "Stealth DARPin" which we invented to reduce kidney accumulation of our radio-pharmaceutical programs, and the Switch-DARPin which enables a logic-gated, conditional activation of immunity.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0" w:right="359" w:bottom="1440" w:gutter="0" w:footer="0" w:header="0"/>
        </w:sectPr>
      </w:pPr>
    </w:p>
    <w:bookmarkStart w:id="90" w:name="page91"/>
    <w:bookmarkEnd w:id="90"/>
    <w:p>
      <w:pPr>
        <w:ind w:left="600" w:hanging="295"/>
        <w:spacing w:after="0" w:line="249" w:lineRule="auto"/>
        <w:tabs>
          <w:tab w:leader="none" w:pos="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a strategic approach to in-house versus partnered development. To unlock and expand the full potential of our DARPin platform, we intend to independently develop and commercialize product candidates in our core focus areas, where we believe we have an established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w:t>
      </w:r>
    </w:p>
    <w:p>
      <w:pPr>
        <w:spacing w:after="0" w:line="120" w:lineRule="exact"/>
        <w:rPr>
          <w:rFonts w:ascii="Times New Roman" w:cs="Times New Roman" w:eastAsia="Times New Roman" w:hAnsi="Times New Roman"/>
          <w:sz w:val="19"/>
          <w:szCs w:val="19"/>
          <w:color w:val="auto"/>
        </w:rPr>
      </w:pPr>
    </w:p>
    <w:p>
      <w:pPr>
        <w:ind w:left="1220" w:right="20" w:hanging="405"/>
        <w:spacing w:after="0" w:line="249" w:lineRule="auto"/>
        <w:tabs>
          <w:tab w:leader="none" w:pos="122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strategy has allowed us to pursue major therapeutic innovations for the DARPin platform, often in parallel, across our oncology focus areas. To this end, we continue to support our partners across our portfolio as we advance our Radio DARPin-Therapy Platform, both independently and in collaboration with Novartis and Orano Med; and our research collaboration with the University of Bern for MP0533 and also University of Freiburg and the Paul Scherrer Institute for RDT.</w:t>
      </w:r>
    </w:p>
    <w:p>
      <w:pPr>
        <w:spacing w:after="0" w:line="119" w:lineRule="exact"/>
        <w:rPr>
          <w:rFonts w:ascii="Times New Roman" w:cs="Times New Roman" w:eastAsia="Times New Roman" w:hAnsi="Times New Roman"/>
          <w:sz w:val="19"/>
          <w:szCs w:val="19"/>
          <w:color w:val="auto"/>
        </w:rPr>
      </w:pPr>
    </w:p>
    <w:p>
      <w:pPr>
        <w:ind w:left="1220" w:right="340" w:hanging="456"/>
        <w:spacing w:after="0" w:line="249" w:lineRule="auto"/>
        <w:tabs>
          <w:tab w:leader="none" w:pos="122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also seek to collaborate with companies developing complementary technology to our platform when we see the strategic rationale to combine our industry-leading DARPin capabilities with other modalities. This is shown in our partnership with Orano Med. Both MP and Orano Med have agreed to co-develop multiple 212Pb-based Radio-DARPin Therapies using Orano Med's capabilities in Targeted Alpha Therapy as the cell killing isotope to attack solid tumors.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DARPin Platform</w:t>
      </w:r>
    </w:p>
    <w:p>
      <w:pPr>
        <w:spacing w:after="0" w:line="14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Our DARPin platform was invented over 20 years ago by the co-founders of our company, who were then researchers at the University of Zurich. DARPin molecules were discovered as a result of our co-founders’ quest to find a versatile protein-based therapeutic class that was highly differentiated from antibodies. The ability to design multi-specific molecules, along with the ease of use and manufacturing, made the DARPin technology an ideal platform for us from which to develop treatments beyond traditional protein therapeutics. The foundational technology we use in our DARPin platform to generate our product candidates was initially licensed to us by the University of Zurich. Leveraging our DARPin platform, we have designed product candidates with MoAs that we believe have the potential to offer therapeutic options to patients with higher efficacy and fewer adverse events compared to the current standard of care. Among these multiple MoAs, DARPin product candidates have been designed to block growth factors, localize activity, conditionally activate, neutralize viruses, adjust half-life as needed and initiate cell death. We apply these features across our portfolio to elicit a specific therapeutic response.</w:t>
      </w:r>
    </w:p>
    <w:p>
      <w:pPr>
        <w:spacing w:after="0" w:line="108" w:lineRule="exact"/>
        <w:rPr>
          <w:sz w:val="20"/>
          <w:szCs w:val="20"/>
          <w:color w:val="auto"/>
        </w:rPr>
      </w:pPr>
    </w:p>
    <w:p>
      <w:pPr>
        <w:jc w:val="both"/>
        <w:ind w:right="60"/>
        <w:spacing w:after="0" w:line="304" w:lineRule="auto"/>
        <w:rPr>
          <w:sz w:val="20"/>
          <w:szCs w:val="20"/>
          <w:color w:val="auto"/>
        </w:rPr>
      </w:pPr>
      <w:r>
        <w:rPr>
          <w:rFonts w:ascii="Times New Roman" w:cs="Times New Roman" w:eastAsia="Times New Roman" w:hAnsi="Times New Roman"/>
          <w:sz w:val="18"/>
          <w:szCs w:val="18"/>
          <w:color w:val="auto"/>
        </w:rPr>
        <w:t>For more than two decades, we have pioneered DARPins as a new class of therapeutics, evolving our capabilities and mastery of DARPin design with an increasing focus on novel platforms and MoAs that are highly differentiated from other drug classes. The intrinsic advantages of DARPins include:</w:t>
      </w:r>
    </w:p>
    <w:p>
      <w:pPr>
        <w:spacing w:after="0" w:line="280" w:lineRule="exact"/>
        <w:rPr>
          <w:sz w:val="20"/>
          <w:szCs w:val="20"/>
          <w:color w:val="auto"/>
        </w:rPr>
      </w:pPr>
    </w:p>
    <w:p>
      <w:pPr>
        <w:ind w:left="600" w:hanging="295"/>
        <w:spacing w:after="0"/>
        <w:tabs>
          <w:tab w:leader="none" w:pos="6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Derivation from natural binding proteins</w:t>
      </w:r>
      <w:r>
        <w:rPr>
          <w:rFonts w:ascii="Times New Roman" w:cs="Times New Roman" w:eastAsia="Times New Roman" w:hAnsi="Times New Roman"/>
          <w:sz w:val="19"/>
          <w:szCs w:val="19"/>
          <w:color w:val="auto"/>
        </w:rPr>
        <w:t>:</w:t>
      </w:r>
    </w:p>
    <w:p>
      <w:pPr>
        <w:spacing w:after="0" w:line="22" w:lineRule="exact"/>
        <w:rPr>
          <w:rFonts w:ascii="Times New Roman" w:cs="Times New Roman" w:eastAsia="Times New Roman" w:hAnsi="Times New Roman"/>
          <w:sz w:val="19"/>
          <w:szCs w:val="19"/>
          <w:color w:val="auto"/>
        </w:rPr>
      </w:pPr>
    </w:p>
    <w:p>
      <w:pPr>
        <w:ind w:left="1220" w:right="140" w:hanging="307"/>
        <w:spacing w:after="0" w:line="247" w:lineRule="auto"/>
        <w:tabs>
          <w:tab w:leader="none" w:pos="120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DARPins are based on natural protein binders that mediate protein interactions in most living cells: ankyrin repeat domains. Evolved by nature and engineered by us, we believe ankyrin repeat domains are the ideal foundation for an efficient, versatile and innovative approach to biologic drug design. An individual DARPin is a radically simple unit consisting of a robust backbone, or scaffold, supporting a binding surface that is shaped to bind its target with exquisite precision and strength. Unlike larger, more complex binding proteins, the basic repeating unit can be engineered against a vast array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91" w:name="page92"/>
    <w:bookmarkEnd w:id="91"/>
    <w:p>
      <w:pPr>
        <w:ind w:left="1220"/>
        <w:spacing w:after="0"/>
        <w:rPr>
          <w:sz w:val="20"/>
          <w:szCs w:val="20"/>
          <w:color w:val="auto"/>
        </w:rPr>
      </w:pPr>
      <w:r>
        <w:rPr>
          <w:rFonts w:ascii="Times New Roman" w:cs="Times New Roman" w:eastAsia="Times New Roman" w:hAnsi="Times New Roman"/>
          <w:sz w:val="19"/>
          <w:szCs w:val="19"/>
          <w:color w:val="auto"/>
        </w:rPr>
        <w:t>different targets with very low risk of off-target effects or interactions outside the binding surface.</w:t>
      </w:r>
    </w:p>
    <w:p>
      <w:pPr>
        <w:spacing w:after="0" w:line="23" w:lineRule="exact"/>
        <w:rPr>
          <w:sz w:val="20"/>
          <w:szCs w:val="20"/>
          <w:color w:val="auto"/>
        </w:rPr>
      </w:pPr>
    </w:p>
    <w:p>
      <w:pPr>
        <w:ind w:left="600" w:hanging="295"/>
        <w:spacing w:after="0"/>
        <w:tabs>
          <w:tab w:leader="none" w:pos="6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High affinity and specificity</w:t>
      </w:r>
      <w:r>
        <w:rPr>
          <w:rFonts w:ascii="Times New Roman" w:cs="Times New Roman" w:eastAsia="Times New Roman" w:hAnsi="Times New Roman"/>
          <w:sz w:val="19"/>
          <w:szCs w:val="19"/>
          <w:color w:val="auto"/>
        </w:rPr>
        <w:t>:</w:t>
      </w:r>
    </w:p>
    <w:p>
      <w:pPr>
        <w:spacing w:after="0" w:line="3" w:lineRule="exact"/>
        <w:rPr>
          <w:rFonts w:ascii="Times New Roman" w:cs="Times New Roman" w:eastAsia="Times New Roman" w:hAnsi="Times New Roman"/>
          <w:sz w:val="19"/>
          <w:szCs w:val="19"/>
          <w:color w:val="auto"/>
        </w:rPr>
      </w:pPr>
    </w:p>
    <w:p>
      <w:pPr>
        <w:ind w:left="1220" w:right="440" w:hanging="307"/>
        <w:spacing w:after="0" w:line="243"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DARPin’s intrinsic potential for high affinity and high specificity mean DARPin candidates can tightly bind to their targets. This binding strength is matched by the specificity of DARPins to bind only to the intended target, limiting the potential of off-target effects.</w:t>
      </w:r>
    </w:p>
    <w:p>
      <w:pPr>
        <w:spacing w:after="0" w:line="1" w:lineRule="exact"/>
        <w:rPr>
          <w:rFonts w:ascii="Times New Roman" w:cs="Times New Roman" w:eastAsia="Times New Roman" w:hAnsi="Times New Roman"/>
          <w:sz w:val="19"/>
          <w:szCs w:val="19"/>
          <w:color w:val="auto"/>
        </w:rPr>
      </w:pPr>
    </w:p>
    <w:p>
      <w:pPr>
        <w:ind w:left="640" w:hanging="335"/>
        <w:spacing w:after="0"/>
        <w:tabs>
          <w:tab w:leader="none" w:pos="64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Small size</w:t>
      </w:r>
      <w:r>
        <w:rPr>
          <w:rFonts w:ascii="Times New Roman" w:cs="Times New Roman" w:eastAsia="Times New Roman" w:hAnsi="Times New Roman"/>
          <w:sz w:val="19"/>
          <w:szCs w:val="19"/>
          <w:color w:val="auto"/>
        </w:rPr>
        <w:t>:</w:t>
      </w:r>
    </w:p>
    <w:p>
      <w:pPr>
        <w:spacing w:after="0" w:line="9" w:lineRule="exact"/>
        <w:rPr>
          <w:rFonts w:ascii="Times New Roman" w:cs="Times New Roman" w:eastAsia="Times New Roman" w:hAnsi="Times New Roman"/>
          <w:sz w:val="19"/>
          <w:szCs w:val="19"/>
          <w:color w:val="auto"/>
        </w:rPr>
      </w:pPr>
    </w:p>
    <w:p>
      <w:pPr>
        <w:ind w:left="1220" w:right="320" w:hanging="307"/>
        <w:spacing w:after="0" w:line="243"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 when linked together, multispecific DARPins are smaller than large proteins such as antibodies, which allows a potentially greater tissue penetration. Additionally, every dose given to a patient contains more molecules per gram than larger molecules like antibodies.</w:t>
      </w:r>
    </w:p>
    <w:p>
      <w:pPr>
        <w:spacing w:after="0" w:line="1"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Multispecificity</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19"/>
          <w:szCs w:val="19"/>
          <w:color w:val="auto"/>
        </w:rPr>
      </w:pPr>
    </w:p>
    <w:p>
      <w:pPr>
        <w:ind w:left="1220" w:hanging="307"/>
        <w:spacing w:after="0" w:line="245"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DARPins can be used in a radically simple format with single-target specificity or can be easily be linked together to enable multispecific drug candidates. DARPin candidates comprised of up to six DARPins and five target specificities have been tested in the clinic without impacting affinity, potency, stability, or production yields compared to the single DARPin units.</w:t>
      </w:r>
    </w:p>
    <w:p>
      <w:pPr>
        <w:spacing w:after="0" w:line="2"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“Either-or” specificity</w:t>
      </w:r>
      <w:r>
        <w:rPr>
          <w:rFonts w:ascii="Times New Roman" w:cs="Times New Roman" w:eastAsia="Times New Roman" w:hAnsi="Times New Roman"/>
          <w:sz w:val="19"/>
          <w:szCs w:val="19"/>
          <w:color w:val="auto"/>
        </w:rPr>
        <w:t>:</w:t>
      </w:r>
    </w:p>
    <w:p>
      <w:pPr>
        <w:spacing w:after="0" w:line="3" w:lineRule="exact"/>
        <w:rPr>
          <w:rFonts w:ascii="Times New Roman" w:cs="Times New Roman" w:eastAsia="Times New Roman" w:hAnsi="Times New Roman"/>
          <w:sz w:val="19"/>
          <w:szCs w:val="19"/>
          <w:color w:val="auto"/>
        </w:rPr>
      </w:pPr>
    </w:p>
    <w:p>
      <w:pPr>
        <w:ind w:left="1220" w:right="200" w:hanging="307"/>
        <w:spacing w:after="0" w:line="245"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repeat structure of DARPins allows to fuse two different DARPins with different target specificities into one DARPin domain thereby enabling mutually exclusive, “Either-Or” binding properties for either of the targets. We believe this opens the possibility of creating “smart drugs” that are conditionally activated only where activity is desired.</w:t>
      </w:r>
    </w:p>
    <w:p>
      <w:pPr>
        <w:spacing w:after="0" w:line="2"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High stability</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19"/>
          <w:szCs w:val="19"/>
          <w:color w:val="auto"/>
        </w:rPr>
      </w:pPr>
    </w:p>
    <w:p>
      <w:pPr>
        <w:jc w:val="both"/>
        <w:ind w:left="1220" w:right="320" w:hanging="307"/>
        <w:spacing w:after="0" w:line="248" w:lineRule="auto"/>
        <w:tabs>
          <w:tab w:leader="none" w:pos="121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very high stability intrinsic to DARPins allows novel engineering approaches, such as those applied to the DARPin backbone surface enabling the Stealth-DARPin design developed for RDT, without impact on the structure and binding characteristics of the engineered DARPins.</w:t>
      </w:r>
    </w:p>
    <w:p>
      <w:pPr>
        <w:spacing w:after="0" w:line="19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9"/>
          <w:szCs w:val="19"/>
          <w:color w:val="auto"/>
        </w:rPr>
        <w:t>We believe that our DARPin platform has the potential to yield novel product candidates with broad therapeutic application given their ability to overcome many of the limitations of antibody and other conventional protein-based therapeutics.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Benefits and Advantages of our DARPin Platform over Traditional Approaches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believe the benefits of our DARPin platform include:</w:t>
      </w:r>
    </w:p>
    <w:p>
      <w:pPr>
        <w:spacing w:after="0" w:line="130" w:lineRule="exact"/>
        <w:rPr>
          <w:sz w:val="20"/>
          <w:szCs w:val="20"/>
          <w:color w:val="auto"/>
        </w:rPr>
      </w:pPr>
    </w:p>
    <w:p>
      <w:pPr>
        <w:ind w:left="600" w:hanging="295"/>
        <w:spacing w:after="0"/>
        <w:tabs>
          <w:tab w:leader="none" w:pos="6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Capacity to find and address new biology on known targets</w:t>
      </w:r>
    </w:p>
    <w:p>
      <w:pPr>
        <w:spacing w:after="0" w:line="28" w:lineRule="exact"/>
        <w:rPr>
          <w:rFonts w:ascii="Times New Roman" w:cs="Times New Roman" w:eastAsia="Times New Roman" w:hAnsi="Times New Roman"/>
          <w:sz w:val="19"/>
          <w:szCs w:val="19"/>
          <w:color w:val="auto"/>
        </w:rPr>
      </w:pPr>
    </w:p>
    <w:p>
      <w:pPr>
        <w:ind w:left="600" w:right="60"/>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Using our DARPin approach, we are able to select proteins that bind to known targets in novel ways, thereby unlocking additional therapeutic solutions. For example, we can achieve conditional activation where the molecule will activate only in the presence of a particular tumor-associated antigen, or TAA. One of our product candidates, MP0533 utilizes the power of multi-specific targeting to potentially enhance efficacy and minimize tumor resistance through simultaneously targeting three known antigens associated with AML, which, to our knowledge, had not previously been addressed in one molecule. In addition, the RDT platform highlights the potential to use DARPins specifically tailored for use with radio-isotopes, can potentially expand the universe of targets for the treatment of cancer with radiotherapy.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92" w:name="page93"/>
    <w:bookmarkEnd w:id="92"/>
    <w:p>
      <w:pPr>
        <w:ind w:left="600" w:hanging="295"/>
        <w:spacing w:after="0"/>
        <w:tabs>
          <w:tab w:leader="none" w:pos="6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Flexible architecture to engage and locally activate immune cells</w:t>
      </w:r>
    </w:p>
    <w:p>
      <w:pPr>
        <w:spacing w:after="0" w:line="28" w:lineRule="exact"/>
        <w:rPr>
          <w:rFonts w:ascii="Times New Roman" w:cs="Times New Roman" w:eastAsia="Times New Roman" w:hAnsi="Times New Roman"/>
          <w:sz w:val="19"/>
          <w:szCs w:val="19"/>
          <w:color w:val="auto"/>
        </w:rPr>
      </w:pPr>
    </w:p>
    <w:p>
      <w:pPr>
        <w:ind w:left="600"/>
        <w:spacing w:after="0" w:line="24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Immune-mediated therapies rely on the activation of a patient’s immune response to fight tumors. In some cases, blocking negative checkpoint signals can produce a deep and durable effect in stopping the growth of, and regressing, tumors. We believe that our DARPin platform is well suited for the combined approaches of blocking negative checkpoint signals and engaging and activating immune cells. We have unlocked approaches that utilize DARPins to direct tumor-localized activation of immune cells, resulting in the selective activation of immune cells within a tumor, which may potentially avoid systemic adverse events. One such DARPin product candidate, MP0317, is designed to cluster, thereby locally activating immune cells more effectively. MP0317 is a tumor-restricted CD40 immune-cell activator for the potential treatment of FAP-positive cancers. Our current Phase 1 program for the treatment of AML and MDS, MP0533, has shown initial clinical activity with our first T-cell engaging CD3 DARPin. Since demonstrating this initial activity, the use of CD3 DARPins in future programs could prove highly useful in treating cancers. Additionally, our Switch-DARPin platform uses a dual-binding logic-gated DARPin (i.e. the Switch) to provide an "on/off" function to the multispecific DARPin candidate. The Switch function is modulated according to the presence of defined targets as well as their relative proximity and affinity to the Switch, thereby allowing conditional activation of targets. The goal of the Switch-DARPin platform is the activation of a highly specific targeted immune response.</w:t>
      </w:r>
    </w:p>
    <w:p>
      <w:pPr>
        <w:spacing w:after="0" w:line="102"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Ability of DARPin product candidates to target multiple escape pathways in parallel</w:t>
      </w:r>
    </w:p>
    <w:p>
      <w:pPr>
        <w:spacing w:after="0" w:line="28" w:lineRule="exact"/>
        <w:rPr>
          <w:rFonts w:ascii="Times New Roman" w:cs="Times New Roman" w:eastAsia="Times New Roman" w:hAnsi="Times New Roman"/>
          <w:sz w:val="19"/>
          <w:szCs w:val="19"/>
          <w:color w:val="auto"/>
        </w:rPr>
      </w:pPr>
    </w:p>
    <w:p>
      <w:pPr>
        <w:ind w:left="600" w:right="100"/>
        <w:spacing w:after="0" w:line="24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cancer cells are targeted by conventional therapies, they often develop resistance by loss of target, mutational escape or activating multiple escape pathways at once. To create effective products, we believe that we must understand the dynamics of these escape pathways and then target their key components in parallel. We believe our DARPin product candidates are ideally suited for this approach because of their ability to bind to multiple targets and inhibit multiple escape pathways at once. Our approach allows us to efficiently test product candidates to determine the affinity and target binding of our DARPins in the relevant setting. The most effective combination of DARPins is assembled into one DARPin product candidate for further product development. These DARPin product candidates can demonstrate cooperative binding, leading to high potency and preventing escape.</w:t>
      </w:r>
    </w:p>
    <w:p>
      <w:pPr>
        <w:spacing w:after="0" w:line="192"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High stability and microbial manufacturing to enable high yields at scale</w:t>
      </w:r>
    </w:p>
    <w:p>
      <w:pPr>
        <w:spacing w:after="0" w:line="28" w:lineRule="exact"/>
        <w:rPr>
          <w:rFonts w:ascii="Times New Roman" w:cs="Times New Roman" w:eastAsia="Times New Roman" w:hAnsi="Times New Roman"/>
          <w:sz w:val="19"/>
          <w:szCs w:val="19"/>
          <w:color w:val="auto"/>
        </w:rPr>
      </w:pPr>
    </w:p>
    <w:p>
      <w:pPr>
        <w:ind w:left="600" w:right="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DARPin product candidates are constructed to benefit from high-yield microbial manufacturing. Unlike manufacturing using mammalian cell lines, productions of DARPin molecules via microbial manufacturing allow for several key competitive advantages, including the ability to manufacture clinical batches every seven to ten days, versus a 30-day mammalian campaign. This advantage is critical to allow drug supply on a global scale. Additional benefits include high production yield of raw drug substance, 12-15g/L for example, as well as high thermal stability, with certain programs demonstrating shelf stability at 4 degrees centigrade for several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of Our DARPin Platform: A Source of Virtually Unlimited Binding Proteins</w:t>
      </w:r>
    </w:p>
    <w:p>
      <w:pPr>
        <w:spacing w:after="0" w:line="1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The fundamental building block for all of our DARPin product candidates is the single DARPin. A DARPin consists of an engineered protein base structure, which we refer to as the scaffold. The DARPin scaffold is formed from consecutive copies of ankyrin repeat proteins, which are chains of 33 amino acids stacked together. The scaffold can be generated to provide a binding site to specifically recognize, or permit binding to, a desired target protein or other molecule, similar to how monoclonal antibodies can be generated to recognize a single target antigen. We have developed and upgraded our libraries to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93" w:name="page94"/>
    <w:bookmarkEnd w:id="93"/>
    <w:p>
      <w:pPr>
        <w:ind w:right="20"/>
        <w:spacing w:after="0" w:line="304" w:lineRule="auto"/>
        <w:rPr>
          <w:sz w:val="20"/>
          <w:szCs w:val="20"/>
          <w:color w:val="auto"/>
        </w:rPr>
      </w:pPr>
      <w:r>
        <w:rPr>
          <w:rFonts w:ascii="Times New Roman" w:cs="Times New Roman" w:eastAsia="Times New Roman" w:hAnsi="Times New Roman"/>
          <w:sz w:val="18"/>
          <w:szCs w:val="18"/>
          <w:color w:val="auto"/>
        </w:rPr>
        <w:t>over one trillion DARPins, each of which can potentially bind to a specific target structure. From this library we can screen and select DARPins within weeks that are highly specific and have high affinity for any given target structure. We use these selected DARPins to build our product candidates.</w:t>
      </w:r>
    </w:p>
    <w:p>
      <w:pPr>
        <w:spacing w:after="0" w:line="5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DARPins are small, with a molecular weight of approximately 14–18 kilodaltons, or approximately the tenth of the size of a monoclonal antibody. We believe this smaller size enables increased tissue penetration and a higher potency at lower doses. The natural biophysical properties of DARPins,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for their targets.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We Use DARPins</w:t>
      </w:r>
    </w:p>
    <w:p>
      <w:pPr>
        <w:spacing w:after="0" w:line="15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9"/>
          <w:szCs w:val="19"/>
          <w:color w:val="auto"/>
        </w:rPr>
        <w:t>We can select DARPins to bind to a given target and form the basis of a product candidate, or we can genetically assemble DARPins into DARPin product candidates using different linkers. This allows us to screen our libraries that contain over one trillion DARPins to select those with the optimal properties. We believe this process is more difficult with multi-specific antibodies or other complex proteins. Further, we can add additional elements either to increase the half-life of our product candidates to match the therapeutic need or to add functionality. While antibodies generally have a long systemic half-life, most repeat proteins have a short half-life. The half-life of a single DARPin is usually a few hours when injected into the blood stream. To increase the half-life of DARPin product candidates, we have created multiple proprietary, patent protected, specific DARPins that bind to human serum albumin, or HSA. HSA is the most abundant protein in human blood and has a half-life of approximately three weeks. When administered intravenously, the HSA-DARPin binds to its target to extend its half-life to the same period as HSA. This approach allows us to tailor the half-life of our individual product candidates.</w:t>
      </w:r>
    </w:p>
    <w:p>
      <w:pPr>
        <w:spacing w:after="0" w:line="1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Our accumulated preclinical and clinical experience of developing and testing DARPin candidates has allowed us to establish an intellectual property portfolio that, as of December 31, 2024, included over 200 granted patents and over 200 additional pending U.S. and foreign patent applications across more than 30 patent families, covering both core and derivative aspects of our DARPin platform.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Oncology Programs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Cancer Background and Treatment</w:t>
      </w:r>
    </w:p>
    <w:p>
      <w:pPr>
        <w:spacing w:after="0" w:line="14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rapid development of immune-mediated therapies for multiple types of cancer has transformed the oncology treatment landscape and improved the long-term outlook for many cancer patients. Rather than targeting treatments directly at the tumor, these therapies generally engage the immune system to promote its recognition and eradication of tumor cells. Key features of immune-mediated therapy include specificity, breadth of response, and memory. These features can contribute to complete tumor regressions, often providing more durable clinical outcomes and improved quality of life relative to other therapies. However, despite the early success observed with immune mediated therapies, it has become clear that these treatments can currently help only a minority of patients and are more effective in some tumor types than others. This limit arises from various factors, including differential target expression patterns by cancer cells (and expression thereof on healthy cells), variable immune responses to the treatment, and cancer immune-escape via mutagenesis and proliferation of non-targeted cellular populations and an immune-suppressive tumor microenvironment.</w:t>
      </w:r>
    </w:p>
    <w:p>
      <w:pPr>
        <w:spacing w:after="0" w:line="98"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9"/>
          <w:szCs w:val="19"/>
          <w:color w:val="auto"/>
        </w:rPr>
        <w:t>We believe that, through years of building our DARPin expertise, we have developed DARPin candidates that can unlock and expand these immune-mediated capabilities through several mechanisms, which include targeting immuno-stimulatory proteins through multi-specific DARPin candidates and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94" w:name="page95"/>
    <w:bookmarkEnd w:id="94"/>
    <w:p>
      <w:pPr>
        <w:ind w:right="220"/>
        <w:spacing w:after="0" w:line="275" w:lineRule="auto"/>
        <w:rPr>
          <w:sz w:val="20"/>
          <w:szCs w:val="20"/>
          <w:color w:val="auto"/>
        </w:rPr>
      </w:pPr>
      <w:r>
        <w:rPr>
          <w:rFonts w:ascii="Times New Roman" w:cs="Times New Roman" w:eastAsia="Times New Roman" w:hAnsi="Times New Roman"/>
          <w:sz w:val="19"/>
          <w:szCs w:val="19"/>
          <w:color w:val="auto"/>
        </w:rPr>
        <w:t>delayed and/or conditional activation of our immune engagers. These attributes allow us to optimize the potency, localization and/or exposure of our product candidates and reduce the risk of off-target toxicity in order to improve their therapeutic index and overall profile.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Tumor-Localized Immune Activation: MP0533 and MP0317 Product Candidates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are currently developing and assessing two oncology product candidates which activate immune cells at the tumor site:</w:t>
      </w:r>
    </w:p>
    <w:p>
      <w:pPr>
        <w:spacing w:after="0" w:line="136" w:lineRule="exact"/>
        <w:rPr>
          <w:sz w:val="20"/>
          <w:szCs w:val="20"/>
          <w:color w:val="auto"/>
        </w:rPr>
      </w:pPr>
    </w:p>
    <w:p>
      <w:pPr>
        <w:ind w:left="600" w:hanging="295"/>
        <w:spacing w:after="0"/>
        <w:tabs>
          <w:tab w:leader="none" w:pos="6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MP0533, which targets CD3, CD70, CD123 and CD33 for the treatment of AML and MDS;</w:t>
      </w:r>
    </w:p>
    <w:p>
      <w:pPr>
        <w:spacing w:after="0" w:line="148"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MP0317, which allows for tumor-restricted immune-cell CD40 activation for the treatment of FAP positive cancers;</w:t>
      </w:r>
    </w:p>
    <w:p>
      <w:pPr>
        <w:spacing w:after="0" w:line="36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color w:val="auto"/>
        </w:rPr>
        <w:t>MP0533 and MP0317 both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Candidates—Some of our product candidates utilize a novel mechanism of action which may result in greater research and development expenses, regulatory issues that could delay or prevent approval, or discovery of unknown or unanticipated adverse effects.”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MP0533: DARPin Product Candidate Targeting CD3, CD70, CD123 and CD33 for the Treatment of AML and MDS (r/r AML and AML/MDS</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95250</wp:posOffset>
            </wp:positionV>
            <wp:extent cx="4857115" cy="1069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57115" cy="106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MP0533 is our novel tetra-specific T cell-engaging DARPin, which simultaneously targets the antigens CD33, CD123 and CD70 on AML cells as well as the immune activator CD3 on T cells.</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unmet medical need in AML remains high. Despite the achievement of remission for a majority of patients, up to 70% of adults and 30% of children will not survive beyond five years after initial clinical response due to relapsing disease. Further, the treatment of relapsed/refractory AML, or r/r AML, is therapeutically challenging due to high relapse rates with current standard of care treatments and the aggressive nature of the disease. Currently, a variety of highly potent mono-targeting TCE (T cell engager) and CAR-T therapies have entered clinical development, but those therapies are often accompanied by dose limiting toxicities, such as cytokine release syndrome, or CRS, and myelotoxicities, preventing dose escalation to induce robust anti-tumor efficacy. More selective therapies addressing the growing number of subclasses and rationally designed target combinations are needed to allow for extended dose escalation with a more acceptable safety profile and to achieve more durable responses.</w:t>
      </w:r>
    </w:p>
    <w:p>
      <w:pPr>
        <w:spacing w:after="0" w:line="91" w:lineRule="exact"/>
        <w:rPr>
          <w:sz w:val="20"/>
          <w:szCs w:val="20"/>
          <w:color w:val="auto"/>
        </w:rPr>
      </w:pPr>
    </w:p>
    <w:p>
      <w:pPr>
        <w:ind w:right="600"/>
        <w:spacing w:after="0" w:line="254" w:lineRule="auto"/>
        <w:rPr>
          <w:sz w:val="20"/>
          <w:szCs w:val="20"/>
          <w:color w:val="auto"/>
        </w:rPr>
      </w:pPr>
      <w:r>
        <w:rPr>
          <w:rFonts w:ascii="Times New Roman" w:cs="Times New Roman" w:eastAsia="Times New Roman" w:hAnsi="Times New Roman"/>
          <w:sz w:val="19"/>
          <w:szCs w:val="19"/>
          <w:color w:val="auto"/>
        </w:rPr>
        <w:t>In AML, leukemic stem cells, or LSCs, produce all the leukemic cells in the patient and therefore a lasting cure for this disease is dependent on eradication of these cells. However, LSCs are relatively resistant to standard therapies. For example, these cells are less sensitive to killing by daunorubicin and cytarabine, two commonly used chemotherapeutic agents. This is partially due to increased expression by LSCs of multidrug resistance genes, and also to their quiescent state, which reduces the 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95" w:name="page96"/>
    <w:bookmarkEnd w:id="95"/>
    <w:p>
      <w:pPr>
        <w:ind w:right="480"/>
        <w:spacing w:after="0" w:line="275" w:lineRule="auto"/>
        <w:rPr>
          <w:sz w:val="20"/>
          <w:szCs w:val="20"/>
          <w:color w:val="auto"/>
        </w:rPr>
      </w:pPr>
      <w:r>
        <w:rPr>
          <w:rFonts w:ascii="Times New Roman" w:cs="Times New Roman" w:eastAsia="Times New Roman" w:hAnsi="Times New Roman"/>
          <w:sz w:val="19"/>
          <w:szCs w:val="19"/>
          <w:color w:val="auto"/>
        </w:rPr>
        <w:t>cytotoxic agents that target rapidly replicating cells. It is therefore essential to target LSCs, in addition to AML blasts, to achieve durable disease control.</w:t>
      </w:r>
    </w:p>
    <w:p>
      <w:pPr>
        <w:spacing w:after="0" w:line="8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Some cancer antigens are also present on many healthy cells, but at a lower density, and as such it is difficult to select any single target to sufficiently differentiate between cancer cells and healthy tissue. To overcome this limitation and increase specificity, we leveraged our unique DARPin platform to generate a multi-specific T-cell engager (TCE) DARPin molecule, targeting CD33, CD70 and CD123, by a fine-tuned and tailored avidity-driven affinity to these TAAs, in conjunction with our CD3-binding DARPin molecule.</w:t>
      </w:r>
    </w:p>
    <w:p>
      <w:pPr>
        <w:spacing w:after="0" w:line="10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In avidity-driven selectivity, the presence of two or more binding targets on the cell, and the molecular interaction with these targets increases the effective concentration of the binder and the resulting binding strength. This dependency of binding strength on the presence of more than one cancer antigen conveys a far superior selectivity to these multi-specific binders. This approach is a concept that is well known in the scientific community but has so far been limited by the availability of an optimal therapeutic platform to address the associated technical challenges. In order to find the right target combination, the optimal affinity to increase tumor specificity via avidity, as well as the best molecular architecture, we took advantage of our unique modular DARPin platform and screened thousands of combinations of multi-specific DARPin molecules, binding simultaneously to the three different TAAs — CD33, CD70 and CD123. We combined our three TAA-binding DARPins with our CD3-binding T-cell engaging DARPin into our candidate, MP0533.</w:t>
      </w:r>
    </w:p>
    <w:p>
      <w:pPr>
        <w:spacing w:after="0" w:line="1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Our approach allows for the design of multi-specific TCEs which are designed to simultaneously target CD33, CD70 and CD123, three well-known AML antigens that are co-expressed on approximately 50% of AML cells and of which at least two are expressed on approximately 70% of AML cells. Healthy cells generally express only one or none of these TAAs. To further optimize our molecules, we have devised a concentration dependent MoA utilizing moderate affinity binders rather than high affinity ones. When such a DARPin encounters a cell expressing only one antigen, we believe there should only be a transient interaction and the DARPin should quickly disengage the target with limited cytotoxic effect. However, when there are two or three targets, the mechanism of avidity driven selectivity is activated.</w:t>
      </w:r>
    </w:p>
    <w:p>
      <w:pPr>
        <w:spacing w:after="0" w:line="12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9"/>
          <w:szCs w:val="19"/>
          <w:color w:val="auto"/>
        </w:rPr>
        <w:t>In preclinical tests against AML cells, we observed MP0533 delivered highly potent and specific activity and the potential for a reduced effect on healthy normal cells. As well as its increased selectivity, MP0533's ability to target three TAAs simultaneously gives it additional potential to counteract target escape mechanisms expected due to tumor heterogeneity. In addition, this mechanism is designed to capture a larger population of AML patients due to its ability to engage with any two of these targets simultaneously, while maintaining specificity.</w:t>
      </w:r>
    </w:p>
    <w:p>
      <w:pPr>
        <w:spacing w:after="0" w:line="11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In January 2023, the first patient was dosed in our Phase 1/2a clinical trial of MP0533 for patients with r/r AML and AML/MDS. In December 2023, we presented positive initial data from the first four dosing cohorts at the 65th American Society of Hematology (ASH Annual Meeting and Exposition). The results from the first 11 patients treated with MP0533 indicated an acceptable safety profile as of the data cut-off across all four dosing regimens, or DRs, with no dose-limiting toxicities observed. The most frequently reported MP0533-related adverse events were infusion-related reactions and CRS (all Grade 1-2). Two responders were observed at the time of presentation, including a patient achieving complete response (CR) in DR 4 and another patient with morphological leukemia-free state (MLFS) in DR 3. These responses are particularly notable for having occurred at dose levels below those predicted as therapeutically active.</w:t>
      </w:r>
    </w:p>
    <w:p>
      <w:pPr>
        <w:spacing w:after="0" w:line="11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9"/>
          <w:szCs w:val="19"/>
          <w:color w:val="auto"/>
        </w:rPr>
        <w:t>Dose escalation in cohorts 1–7 showed an acceptable safety profile and initial activity, yet with unsustained responses (four responders reported and encouraging blast reductions were observed across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9"/>
          <w:szCs w:val="19"/>
          <w:color w:val="auto"/>
        </w:rPr>
        <w:t>additional patients), as presented in December 2024 at the American Society of Hematology (ASH) meeting.</w:t>
      </w:r>
    </w:p>
    <w:p>
      <w:pPr>
        <w:spacing w:after="0" w:line="11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The study protocol is being amended to improve the exposure profile of MP0533 based on the learnings from the dose escalation. In the ongoing cohort 8, an additional dosing timepoint was introduced to allow steeper step-up and more frequent dosing to reach the MP0533 target dose faster. Initial data of this cohort indicates increased rates and depth of responses, with three out of eight patients currently being evaluated demonstrating responses to date (data cutoff December 16, 2024). The amended protocol foresees, pending regulatory approval, further dose densification and premedication to mitigate loss of exposure for cohorts 9–10, with the objective of further increasing the rate, depth and duration of responses observed in cohort 8. Data on the amended dosing scheme is expected in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MP0317: DARPin Product Candidate Targeting FAP x CD40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second DARPin product candidate, MP0317, has the following features:</w:t>
      </w:r>
    </w:p>
    <w:p>
      <w:pPr>
        <w:spacing w:after="0" w:line="161" w:lineRule="exact"/>
        <w:rPr>
          <w:sz w:val="20"/>
          <w:szCs w:val="20"/>
          <w:color w:val="auto"/>
        </w:rPr>
      </w:pPr>
    </w:p>
    <w:p>
      <w:pPr>
        <w:ind w:left="600" w:hanging="295"/>
        <w:spacing w:after="0"/>
        <w:tabs>
          <w:tab w:leader="none" w:pos="6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Designed to activate CD40 only in FAP-high tumor tissue.</w:t>
      </w:r>
    </w:p>
    <w:p>
      <w:pPr>
        <w:spacing w:after="0" w:line="17" w:lineRule="exact"/>
        <w:rPr>
          <w:rFonts w:ascii="Times New Roman" w:cs="Times New Roman" w:eastAsia="Times New Roman" w:hAnsi="Times New Roman"/>
          <w:sz w:val="20"/>
          <w:szCs w:val="20"/>
          <w:color w:val="auto"/>
        </w:rPr>
      </w:pPr>
    </w:p>
    <w:p>
      <w:pPr>
        <w:ind w:left="600" w:hanging="295"/>
        <w:spacing w:after="0"/>
        <w:tabs>
          <w:tab w:leader="none" w:pos="6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Localized activation by FAP targeting underpins the therapeutic benefits while expanding the range of immune cell activation.</w:t>
      </w:r>
    </w:p>
    <w:p>
      <w:pPr>
        <w:spacing w:after="0" w:line="116"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to reinforce the effect of other immune stimulating therapies.</w:t>
      </w:r>
    </w:p>
    <w:p>
      <w:pPr>
        <w:spacing w:after="0" w:line="148" w:lineRule="exact"/>
        <w:rPr>
          <w:rFonts w:ascii="Times New Roman" w:cs="Times New Roman" w:eastAsia="Times New Roman" w:hAnsi="Times New Roman"/>
          <w:sz w:val="19"/>
          <w:szCs w:val="19"/>
          <w:color w:val="auto"/>
        </w:rPr>
      </w:pPr>
    </w:p>
    <w:p>
      <w:pPr>
        <w:ind w:left="600" w:right="40" w:hanging="295"/>
        <w:spacing w:after="0" w:line="261" w:lineRule="auto"/>
        <w:tabs>
          <w:tab w:leader="none" w:pos="58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Positive dose-escalation data from the Phase 1 clinical trial in patients with advanced solid tumors presented at the Society for Immunotherapy of Cancer, or SITC,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306705</wp:posOffset>
            </wp:positionV>
            <wp:extent cx="4857115" cy="1101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57115" cy="110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The tumor-localized immune agonist MP0317 is one of our product candidates currently being developed in our oncology pipeline. MP0317 comprises a localizer to FAP and immune stimulator binding to CD40. FAP is found in the tumor stroma in high density and its binding is intended to create a cluster of CD40 on immune cells enabling immune activation. MP0317 is designed to simultaneously engage FAP and CD40 to create tightly bound clusters around tumors, which are necessary to induce CD40-mediated local immune activation. CD40 plays a critical role in antigen presentation and the monocyte maturation process, and therefore, indirectly, T-cell activation. One of the main functions of CD40 signaling is to enhance antigen-presentation to T-cells by activating dendritic cells, or DCs. CD40 engagement on the surface of DCs promotes cytokine and chemokine production, induces expression of costimulatory molecules, and facilitates the cross-presentation of antigens. This step increases the interaction of DCs with T-cells by upregulating surface proteins such as CD54 and CD86, thereby activating the surface proteins.</w:t>
      </w:r>
    </w:p>
    <w:p>
      <w:pPr>
        <w:spacing w:after="0" w:line="10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color w:val="auto"/>
        </w:rPr>
        <w:t>Agonist anti-CD40 antibody treatments have been associated with mild to moderate toxicity in the clinic, which we believe is related to on-target but off tumor effects causing CRS and liver toxicity.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97" w:name="page98"/>
    <w:bookmarkEnd w:id="97"/>
    <w:p>
      <w:pPr>
        <w:spacing w:after="0" w:line="256" w:lineRule="auto"/>
        <w:rPr>
          <w:sz w:val="20"/>
          <w:szCs w:val="20"/>
          <w:color w:val="auto"/>
        </w:rPr>
      </w:pPr>
      <w:r>
        <w:rPr>
          <w:rFonts w:ascii="Times New Roman" w:cs="Times New Roman" w:eastAsia="Times New Roman" w:hAnsi="Times New Roman"/>
          <w:sz w:val="19"/>
          <w:szCs w:val="19"/>
          <w:color w:val="auto"/>
        </w:rPr>
        <w:t>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w:t>
      </w:r>
    </w:p>
    <w:p>
      <w:pPr>
        <w:spacing w:after="0" w:line="9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In November 2023, we presented additional positive dose-escalation data from the Phase 1 clinical trial of MP0317 in patients with advanced solid tumors at the 38th Annual Meeting of SITC. These data from 46 patients supported our earlier reported findings at the 2023 ASCO Annual Meeting of MP0317-induced CD40 activation and related remodeling of the tumor microenvironment. At the time of the presentation, MP0317, as a monotherapy, continued to display a favorable safety profile across all dosing cohorts up to the highest planned dose (0.03-10 mg/kg in every 3-weeks or weekly schedules). In November 2024, we presented comprehensive biomarker analyses from the completed Phase 1 dose escalation trial of the localized CD40 agonist MP0317 in solid tumors at the 39th Annual Meeting of SITC.</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Discussion are ongoing with leading academic centers regarding potential investigator-initiated combination trials of MP0317 in 2025, in combination with immune checkpoint inhibitors and additional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b w:val="1"/>
          <w:bCs w:val="1"/>
          <w:color w:val="auto"/>
        </w:rPr>
        <w:t>Our Radio-DARPin Therapy (RDT)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327025</wp:posOffset>
            </wp:positionV>
            <wp:extent cx="3474085" cy="1374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74085" cy="137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9"/>
          <w:szCs w:val="19"/>
          <w:color w:val="auto"/>
        </w:rPr>
        <w:t>Targeted radiotherapies delivering radioisotope selectively to the tumor while sparing healthy tissues continue to make significant progress with positive clinical results. A key limiting factor in expanding this treatment modality to a broad range of relevant cancer types is the lack of vectors matching targeted radiotherapy requirements and spanning a broad tumor target space.</w:t>
      </w:r>
    </w:p>
    <w:p>
      <w:pPr>
        <w:spacing w:after="0" w:line="3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Our Radio-DARPin Therapy (RDT) platform represents a unique targeting approach for highly effective and selective delivery of radioactive payloads to a broad range of tumors while sparing healthy tissues. The unique nature of DARPins as an engineered protein drug class may allow us to overcome the limitations of other radioligand therapies. DARPins have great intrinsic properties as vector – such as small size, high affinity and specificity – to enable robust, tumor-specific delivery of therapeutic radionuclides.</w:t>
      </w: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built on these innate advantages by making further engineering advancements across our RDT portfolio. We have designed our candidates to minimize kidney retention, one of the key challenges of the broader radiotherapy class, through our use of Stealth-DARPins— DARPins whose backbone is surface engineered to be excreted by kidneys in urine instead of being re-absorbed. These results were presented at several conferences in 2023 including AACR and at SNMMI. Building on these results, we established a half-life engineering (HLE) toolbox which led to increased tumor uptake across multiple tumor targets, which we presented at EANM 2023 and at the J.P. Morgan Healthcare Conference in January 2024.</w:t>
      </w:r>
    </w:p>
    <w:p>
      <w:pPr>
        <w:spacing w:after="0" w:line="19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Taken together, our half-life engineering (HLE) toolbox combined with Stealth-DARPin technology has enabled us to reach improved tumor uptake and reduced kidney reabsorption, which supports expansion of the RDT pipeline and the development of a first generation of RDT pipeline candidates, including for Delta-like ligand 3 (DLL3).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MP0712 &amp; Radio-DARPin Therapy</w:t>
      </w:r>
    </w:p>
    <w:p>
      <w:pPr>
        <w:spacing w:after="0" w:line="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 xml:space="preserve">We are preparing to submit the Investigational New Drug, or IND, application for MP0712, a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Pb Radio-DARPin therapy (RDT) candidate targeting the tumor-associated protein delta-like ligand 3 (DLL3) and co-developed with Orano Med for the treatment of SCLC and neuroendocrine tumors. Dialogue with the U.S. Food and Drug Administration, or FDA, is ongoing, and Molecular Partners and Orano Med anticipate submitting the IND application for MP0712 in the first half of 2025, with the first-in-human trial to start following regulatory 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0" w:right="379" w:bottom="1440" w:gutter="0" w:footer="0" w:header="0"/>
        </w:sectPr>
      </w:pPr>
    </w:p>
    <w:bookmarkStart w:id="99" w:name="page100"/>
    <w:bookmarkEnd w:id="99"/>
    <w:p>
      <w:pPr>
        <w:jc w:val="both"/>
        <w:ind w:right="60"/>
        <w:spacing w:after="0" w:line="272" w:lineRule="auto"/>
        <w:rPr>
          <w:sz w:val="20"/>
          <w:szCs w:val="20"/>
          <w:color w:val="auto"/>
        </w:rPr>
      </w:pPr>
      <w:r>
        <w:rPr>
          <w:rFonts w:ascii="Times New Roman" w:cs="Times New Roman" w:eastAsia="Times New Roman" w:hAnsi="Times New Roman"/>
          <w:sz w:val="18"/>
          <w:szCs w:val="18"/>
          <w:color w:val="auto"/>
        </w:rPr>
        <w:t>The IND submission is being built, in part, on strong MP0712 preclinical results, including new in vivo data presented at the European Association of Nuclear Medicine (EANM) Congress in October 2024 and the European Targeted Radiopharmaceuticals (TRP) Summit in December 2024. MP0712 demonstrated high affinity and specificity for DLL3, which is a highly relevant target for radiopharmaceutical therapy. DLL3 has been shown to have homogeneous expression in tumors of patients with small cell lung cancer (present in &gt;85% of patients), and expression in healthy tissues is low.</w:t>
      </w:r>
    </w:p>
    <w:p>
      <w:pPr>
        <w:spacing w:after="0" w:line="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second RDT program co-developed with Orano Med targets MSLN, which is overexpressed across several cancers with high unmet need, such as ovarian cancer, and largely absent from healthy tissues. The development of therapeutics against MSLN has been hampered by high shedding of MSLN, leading to high levels of soluble MSLN. Leveraging the unique DARPin properties, Molecular Partners has developed Radio-DARPins able to selectively bind to the membrane-bound form of MSLN while not recognizing shed MSLN. We anticipate that initial preclinical data for the MSLN program will be presented at the Annual Meeting of the American Association of Cancer Research (AACR) in the second quarter of 2025.</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9"/>
          <w:szCs w:val="19"/>
          <w:color w:val="auto"/>
        </w:rPr>
        <w:t>Molecular Partners has leveraged the intrinsic properties of DARPins, such as small size, high affinity and specificity, to develop Radio-DARPins as ideal vector candidates for radiopharmaceutical therapeutics and to create a Radio-DARPin platform amenable to a broad range of tumor targets. Historically, small protein-based vectors faced challenges with kidney accumulation and toxicity, as well as suboptimal tumor uptake. Molecular Partners’ RDT platform addresses these limitations with the company’s half-life extension technologies and surface engineering approaches, while preserving the advantages of the small protein format.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Global Partnership with Orano Med to Develop </w:t>
      </w:r>
      <w:r>
        <w:rPr>
          <w:rFonts w:ascii="Times New Roman" w:cs="Times New Roman" w:eastAsia="Times New Roman" w:hAnsi="Times New Roman"/>
          <w:sz w:val="24"/>
          <w:szCs w:val="24"/>
          <w:b w:val="1"/>
          <w:bCs w:val="1"/>
          <w:color w:val="auto"/>
          <w:vertAlign w:val="superscript"/>
        </w:rPr>
        <w:t>212</w:t>
      </w:r>
      <w:r>
        <w:rPr>
          <w:rFonts w:ascii="Times New Roman" w:cs="Times New Roman" w:eastAsia="Times New Roman" w:hAnsi="Times New Roman"/>
          <w:sz w:val="19"/>
          <w:szCs w:val="19"/>
          <w:b w:val="1"/>
          <w:bCs w:val="1"/>
          <w:color w:val="auto"/>
        </w:rPr>
        <w:t>Pb-labeled Targeted Radiotherapy</w:t>
      </w:r>
    </w:p>
    <w:p>
      <w:pPr>
        <w:spacing w:after="0" w:line="5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 xml:space="preserve">In January 2024, Molecular Partners entered into a strategic collaboration with Orano Med to co-develop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 xml:space="preserve">Pb-based RDTs. The partnership combines Molecular Partners' leadership in DARPins with Orano Med’s leading expertise and capabilities in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 xml:space="preserve">Pb-based Targeted Alpha Therapy (TAT). In January 2025, we announced the expansion of our strategic collaboration to include the development of an additional six targeted alpha therapeutic candidates, representing a total of ten potential programs. Molecular Partners holds commercialization rights to MP0712, which is the most advanced program within the strategic collaboration, and to the MSLN RDT program. Orano Med will ensure the production of the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 xml:space="preserve">Pb-based Radio-DARPins for clinical trials and commercialization. Orano Med possesses 22,000 drums of 232Th providing significant raw material for </w:t>
      </w:r>
      <w:r>
        <w:rPr>
          <w:rFonts w:ascii="Times New Roman" w:cs="Times New Roman" w:eastAsia="Times New Roman" w:hAnsi="Times New Roman"/>
          <w:sz w:val="23"/>
          <w:szCs w:val="23"/>
          <w:color w:val="auto"/>
          <w:vertAlign w:val="superscript"/>
        </w:rPr>
        <w:t>212</w:t>
      </w:r>
      <w:r>
        <w:rPr>
          <w:rFonts w:ascii="Times New Roman" w:cs="Times New Roman" w:eastAsia="Times New Roman" w:hAnsi="Times New Roman"/>
          <w:sz w:val="18"/>
          <w:szCs w:val="18"/>
          <w:color w:val="auto"/>
        </w:rPr>
        <w:t>Pb production and has established large scale GMP manufacturing capabilities and a robust supply chain for the seamless delivery of TAT to clinical sites.</w:t>
      </w:r>
    </w:p>
    <w:p>
      <w:pPr>
        <w:spacing w:after="0" w:line="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In December 2021, we announced a collaboration with Novartis in the form of a license and collaboration agreement to develop, manufacture and commercialize DARPin-based radiotherapy to target solid tumors. Under the terms of the agreement, we intend to collaborate with Novartis to discover DARPin-based radiotherapy candidates that target specific tumor associated antigens. Novartis is responsible for all clinical development and commercialization activities. Under the terms of the agreement, we received a $20 million upfront payment from Novartis in January 2022. As per contract terms, the research collaboration comes to a close in March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Switch-DARPin Platform</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Switch-DARPin platform represents a further evolution of our capabilities to deliver multispecific candidates to address different disease needs. It uses a dual-binding logic-gated DARPin (the Switch) to provides an "on/off" function to the multispecific DARPin candidate. The Switch’s function is modulated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00" w:name="page101"/>
    <w:bookmarkEnd w:id="100"/>
    <w:p>
      <w:pPr>
        <w:ind w:right="60"/>
        <w:spacing w:after="0" w:line="275" w:lineRule="auto"/>
        <w:rPr>
          <w:sz w:val="20"/>
          <w:szCs w:val="20"/>
          <w:color w:val="auto"/>
        </w:rPr>
      </w:pPr>
      <w:r>
        <w:rPr>
          <w:rFonts w:ascii="Times New Roman" w:cs="Times New Roman" w:eastAsia="Times New Roman" w:hAnsi="Times New Roman"/>
          <w:sz w:val="19"/>
          <w:szCs w:val="19"/>
          <w:color w:val="auto"/>
        </w:rPr>
        <w:t>according to the presence of defined antigens as well as their relative proximity and affinity to the Switch. The goal of the Switch-DARPin platform is the activation of a targeted immune response.</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T cell engagers (TCE) are a powerful class of immuno-oncology therapies, but their clinical development has faced a range of challenges, such as high toxicity (such as cytokine release syndrome, CRS) and limited specificity, particularly against solid tumors. By employing a multi-specific Switch-DARPin, Molecular Partners aims to increase the safety and potency of TCEs.</w:t>
      </w:r>
    </w:p>
    <w:p>
      <w:pPr>
        <w:spacing w:after="0" w:line="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Preclinical proof-of-concept in a solid tumor model for a novel CD3 Switch-DARPin TCE was presented at the Annual Meeting of the Society for Immunotherapy of Cancer (SITC) in November 2024. Specifically, the CD3 Switch-DARPin molecule was shown to effectively induce potent tumor regression in vivo, and reduced off-tumor T cell-mediated toxicity. Co-engagement of CD2 led to sustained T-cell activation and cytotoxic capacity, enabling the development of potent TCEs with an improved therapeutic window. The presented data provide further validation of Switch-DARPins and show that conditional T-cell activation with potent co-stimulation in solid tumors, but not in healthy tissues, is feasible.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Molecular Partners plans to present further pre-clinical data on the CD3 Switch-DARPin at the AACR Annual Meeting in the second quarter of 2025.</w:t>
      </w:r>
    </w:p>
    <w:p>
      <w:pPr>
        <w:spacing w:after="0" w:line="1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Molecular Partners’ first Switch-DARPin program, MP0621, is designed to induce killing of hematopoietic stem cells (HSCs) as a next-generation conditioning regimen for HSC transplantation (HSCT). Pre-clinical proof-of-mechanism data were presented at the Annual Meetings of the European Hematology Association (EHA) and ASH in June and December 2024, respectively.</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The blockade of CD47 exclusively on target cells allows MP0621 to enhance the efficacy of cKit-targeting, while reducing off-target effects seen with systemic anti-CD47 blockade. The currently available non-human primate data, however, do not allow Molecular Partners to conclude that MP0621 would serve as a treatment for AML patients, as previously hypothesized. As Molecular Partners’ portfolio strategy prioritizes therapeutic candidates for oncology, MP0621 is being evaluated for partnering.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4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Our success depends in part on our ability to obtain, maintain, enforce and defend patents and other intellectual property and proprietary protection for our product candidates and technology, to preserve the confidentiality of our trade secrets, 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aspects of our business that are not amenable to, or that we do not consider appropriate for, patent protection, we rely on 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1" w:name="page102"/>
    <w:bookmarkEnd w:id="101"/>
    <w:p>
      <w:pPr>
        <w:ind w:right="360"/>
        <w:spacing w:after="0" w:line="275" w:lineRule="auto"/>
        <w:rPr>
          <w:sz w:val="20"/>
          <w:szCs w:val="20"/>
          <w:color w:val="auto"/>
        </w:rPr>
      </w:pPr>
      <w:r>
        <w:rPr>
          <w:rFonts w:ascii="Times New Roman" w:cs="Times New Roman" w:eastAsia="Times New Roman" w:hAnsi="Times New Roman"/>
          <w:sz w:val="19"/>
          <w:szCs w:val="19"/>
          <w:color w:val="auto"/>
        </w:rPr>
        <w:t>We maintain three categories of patent protection for, respectively, our DARPin platform, key single-binding domain DARPins binding to specific targets and our DARPin product candidates. The first category of protection covers our DARPin platform:</w:t>
      </w:r>
    </w:p>
    <w:p>
      <w:pPr>
        <w:spacing w:after="0" w:line="82" w:lineRule="exact"/>
        <w:rPr>
          <w:sz w:val="20"/>
          <w:szCs w:val="20"/>
          <w:color w:val="auto"/>
        </w:rPr>
      </w:pPr>
    </w:p>
    <w:p>
      <w:pPr>
        <w:ind w:left="300" w:hanging="299"/>
        <w:spacing w:after="0" w:line="263"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effort to stay a leader in the field of repeat protein technology, we have continued to work on improving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intellectual property and have expanded our patent portfolio in the last couple of years. Taken together, we have made progress in protecting improvements of the DARPin base technology and innovative new aspects and applications of the DARPin technology in newly filed patent applications. However, we can provide no assurances that any such patent applications will be issued as patents.</w:t>
      </w:r>
    </w:p>
    <w:p>
      <w:pPr>
        <w:spacing w:after="0" w:line="109" w:lineRule="exact"/>
        <w:rPr>
          <w:rFonts w:ascii="Times New Roman" w:cs="Times New Roman" w:eastAsia="Times New Roman" w:hAnsi="Times New Roman"/>
          <w:sz w:val="18"/>
          <w:szCs w:val="18"/>
          <w:color w:val="auto"/>
        </w:rPr>
      </w:pPr>
    </w:p>
    <w:p>
      <w:pPr>
        <w:ind w:left="300" w:right="60" w:hanging="299"/>
        <w:spacing w:after="0" w:line="249" w:lineRule="auto"/>
        <w:tabs>
          <w:tab w:leader="none" w:pos="28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example of a patent family that we own in this category is based on international patent application WO 2012/069655, relating to DARPin binding proteins comprising certain improved N-terminal capping modules. As of December 31, 2024, we owned three issued U.S. patents and twelve issued foreign patents (i.e. patents granted in jurisdictions other than the U.S.) in this family. Any issued patents in this family are expected to expire in 2031. The disclosed improvement of the DARPin platform is included, for example, in our DARPin product candidates MP0310, MP0317, MP0533, MP0621, and MP0712.</w:t>
      </w:r>
    </w:p>
    <w:p>
      <w:pPr>
        <w:spacing w:after="0" w:line="107" w:lineRule="exact"/>
        <w:rPr>
          <w:rFonts w:ascii="Times New Roman" w:cs="Times New Roman" w:eastAsia="Times New Roman" w:hAnsi="Times New Roman"/>
          <w:sz w:val="19"/>
          <w:szCs w:val="19"/>
          <w:color w:val="auto"/>
        </w:rPr>
      </w:pPr>
    </w:p>
    <w:p>
      <w:pPr>
        <w:ind w:left="300" w:hanging="299"/>
        <w:spacing w:after="0" w:line="249" w:lineRule="auto"/>
        <w:tabs>
          <w:tab w:leader="none" w:pos="28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that we own in this category is based on international patent application WO 2023/110983, relating to DARPin domains which have binding specificity for two different targets, wherein binding of such a DARPin domain to its two targets is mutually exclusive. Such novel DARPin domains (also called “Switch DARPins”) may be used as molecular switches, such as, e.g., switches to control activation or deactivation of a therapeutic molecule. As of December 31, 2024, we owned one pending US and seven pending foreign patent application in this family. Any patents that may issue in this family are expected to expire in 2042. The disclosed Switch DARPin platform is applied, for example, in our multispecific MP0621 program.</w:t>
      </w:r>
    </w:p>
    <w:p>
      <w:pPr>
        <w:spacing w:after="0" w:line="210" w:lineRule="exact"/>
        <w:rPr>
          <w:rFonts w:ascii="Times New Roman" w:cs="Times New Roman" w:eastAsia="Times New Roman" w:hAnsi="Times New Roman"/>
          <w:sz w:val="19"/>
          <w:szCs w:val="19"/>
          <w:color w:val="auto"/>
        </w:rPr>
      </w:pPr>
    </w:p>
    <w:p>
      <w:pPr>
        <w:ind w:left="300" w:right="60" w:hanging="299"/>
        <w:spacing w:after="0" w:line="248" w:lineRule="auto"/>
        <w:tabs>
          <w:tab w:leader="none" w:pos="28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that we own in this category is based on international patent application WO 2024/028278, relating to charge-modified DARPin domains. Such charge modification can reduce renal accumulation of a linked drug moiety (such as, e.g., a radionuclide). As of December 31, 2024, we owned one pending US and one pending PCT patent application in this family. Any patents that may issue in this family are expected to expire in 2043.</w:t>
      </w:r>
    </w:p>
    <w:p>
      <w:pPr>
        <w:spacing w:after="0" w:line="3" w:lineRule="exact"/>
        <w:rPr>
          <w:rFonts w:ascii="Times New Roman" w:cs="Times New Roman" w:eastAsia="Times New Roman" w:hAnsi="Times New Roman"/>
          <w:sz w:val="19"/>
          <w:szCs w:val="19"/>
          <w:color w:val="auto"/>
        </w:rPr>
      </w:pPr>
    </w:p>
    <w:p>
      <w:pPr>
        <w:ind w:left="300" w:right="160" w:hanging="299"/>
        <w:spacing w:after="0" w:line="246" w:lineRule="auto"/>
        <w:tabs>
          <w:tab w:leader="none" w:pos="28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that we own in this category is based on international patent application WO 2024/179981, relating to co-administration of a non-radiolabeled (cold) DARPin. Such co-administration can reduce renal accumulation of a therapeutic or diagnostic agent (e.g. in radiotherapy). As of December 31, 2024, we owned one pending PCT patent application in this family. Any patents that may issue in this family are expected to expire in 2044.</w:t>
      </w:r>
    </w:p>
    <w:p>
      <w:pPr>
        <w:spacing w:after="0" w:line="21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patent applications falling in this category have been filed and are currently being prosecuted.</w:t>
      </w:r>
    </w:p>
    <w:p>
      <w:pPr>
        <w:spacing w:after="0" w:line="13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9"/>
          <w:szCs w:val="19"/>
          <w:color w:val="auto"/>
        </w:rPr>
        <w:t>A second category of protection covers our key single-binding domain DARPins binding to specific targets. These single domain DARPin binding proteins can be used in multiple DARPin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color w:val="auto"/>
        </w:rPr>
        <w:t>candidates. Our patent applications and corresponding patents directed to key single domain DARPin binding proteins currently include:</w:t>
      </w:r>
    </w:p>
    <w:p>
      <w:pPr>
        <w:spacing w:after="0" w:line="136" w:lineRule="exact"/>
        <w:rPr>
          <w:sz w:val="20"/>
          <w:szCs w:val="20"/>
          <w:color w:val="auto"/>
        </w:rPr>
      </w:pPr>
    </w:p>
    <w:p>
      <w:pPr>
        <w:ind w:left="300" w:right="40" w:hanging="299"/>
        <w:spacing w:after="0" w:line="253" w:lineRule="auto"/>
        <w:tabs>
          <w:tab w:leader="none" w:pos="2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example of a patent family that we own in this category is based on international patent application WO 2010/060748, relating to single domain DARPin binding proteins with specificity for vascular endothelial growth factor A, or VEGF-A. As of December 31, 2024, we owned one issued U.S. patent and 31 issued foreign patents in this family. Any issued patents in this family are expected to expire in 2029, with the exception of one U.S. patent that received patent term adjustment and is expected to expire in 2031. VEGF-specific DARPin binding proteins are used, for example, in our DARPin product candidate abicipar.</w:t>
      </w:r>
    </w:p>
    <w:p>
      <w:pPr>
        <w:spacing w:after="0" w:line="102" w:lineRule="exact"/>
        <w:rPr>
          <w:rFonts w:ascii="Times New Roman" w:cs="Times New Roman" w:eastAsia="Times New Roman" w:hAnsi="Times New Roman"/>
          <w:sz w:val="19"/>
          <w:szCs w:val="19"/>
          <w:color w:val="auto"/>
        </w:rPr>
      </w:pPr>
    </w:p>
    <w:p>
      <w:pPr>
        <w:ind w:left="300" w:hanging="299"/>
        <w:spacing w:after="0" w:line="254" w:lineRule="auto"/>
        <w:tabs>
          <w:tab w:leader="none" w:pos="2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2012/069654, relating to single domain DARPin binding proteins with specificity for human serum albumin, or HSA. As of December 31, 2024, we owned two issued U.S. patents and 30 issued foreign patents in this family. Any issued patents in this family are expected to expire in 2031. HSA-specific DARPin binding proteins are used, for example, in our DARPin product candidates MP0310, MP0317, MP0533, MP0621, and MP0712.</w:t>
      </w:r>
    </w:p>
    <w:p>
      <w:pPr>
        <w:spacing w:after="0" w:line="100" w:lineRule="exact"/>
        <w:rPr>
          <w:rFonts w:ascii="Times New Roman" w:cs="Times New Roman" w:eastAsia="Times New Roman" w:hAnsi="Times New Roman"/>
          <w:sz w:val="19"/>
          <w:szCs w:val="19"/>
          <w:color w:val="auto"/>
        </w:rPr>
      </w:pPr>
    </w:p>
    <w:p>
      <w:pPr>
        <w:ind w:left="300" w:right="140" w:hanging="299"/>
        <w:spacing w:after="0" w:line="272"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example of a patent family in this category is based on international patent application WO 2020/245173, relating to single domain DARPin binding proteins with specificity for fibroblast activation protein, or FAP. As of December 31, 2024, we owned one pending U.S. patent application, one granted foreign patent and twelve pending foreign patent applications in this family. Any patents that may be granted in this family are expected to expire in 2040. FAP-specific DARPin binding proteins are used in our DARPin product candidates MP0310 and MP0317.</w:t>
      </w:r>
    </w:p>
    <w:p>
      <w:pPr>
        <w:spacing w:after="0" w:line="87" w:lineRule="exact"/>
        <w:rPr>
          <w:rFonts w:ascii="Times New Roman" w:cs="Times New Roman" w:eastAsia="Times New Roman" w:hAnsi="Times New Roman"/>
          <w:sz w:val="18"/>
          <w:szCs w:val="18"/>
          <w:color w:val="auto"/>
        </w:rPr>
      </w:pPr>
    </w:p>
    <w:p>
      <w:pPr>
        <w:ind w:left="300" w:right="180" w:hanging="299"/>
        <w:spacing w:after="0" w:line="254" w:lineRule="auto"/>
        <w:tabs>
          <w:tab w:leader="none" w:pos="2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2020/245175, relating to single domain DARPin binding proteins with specificity for 4-1BB. As of December 31, 2024, we owned one pending U.S. patent application and six pending foreign patent applications in this family. Any patents that may be granted in this family are expected to expire in 2040. 4-1BB-specific DARPin binding proteins are used in our DARPin product candidate MP0310.</w:t>
      </w:r>
    </w:p>
    <w:p>
      <w:pPr>
        <w:spacing w:after="0" w:line="100" w:lineRule="exact"/>
        <w:rPr>
          <w:rFonts w:ascii="Times New Roman" w:cs="Times New Roman" w:eastAsia="Times New Roman" w:hAnsi="Times New Roman"/>
          <w:sz w:val="19"/>
          <w:szCs w:val="19"/>
          <w:color w:val="auto"/>
        </w:rPr>
      </w:pPr>
    </w:p>
    <w:p>
      <w:pPr>
        <w:ind w:left="300" w:right="140" w:hanging="299"/>
        <w:spacing w:after="0" w:line="272"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example of a patent family in this category is based on international patent application WO 2020/245171, relating to improved single domain DARPin binding proteins with specificity for HSA. As of December 31, 2024, we owned one pending U.S. patent application and 13 pending foreign patent applications in this family. Any patents that may be granted in this family are expected to expire in 2040. Disclosed HSA-specific DARPin binding proteins are used in our DARPin product candidates MP0310, MP0317, MP0533, MP0621, and MP0712.</w:t>
      </w:r>
    </w:p>
    <w:p>
      <w:pPr>
        <w:spacing w:after="0" w:line="87" w:lineRule="exact"/>
        <w:rPr>
          <w:rFonts w:ascii="Times New Roman" w:cs="Times New Roman" w:eastAsia="Times New Roman" w:hAnsi="Times New Roman"/>
          <w:sz w:val="18"/>
          <w:szCs w:val="18"/>
          <w:color w:val="auto"/>
        </w:rPr>
      </w:pPr>
    </w:p>
    <w:p>
      <w:pPr>
        <w:ind w:left="300" w:right="220" w:hanging="299"/>
        <w:spacing w:after="0" w:line="254" w:lineRule="auto"/>
        <w:tabs>
          <w:tab w:leader="none" w:pos="2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2021/229076, relating to single domain DARPin binding proteins with specificity for CD40. As of December 31, 2024, we owned one pending U.S. patent application and five pending foreign patent applications in this family. Any patents that may be granted in this family are expected to expire in 2041. CD40-specific DARPin binding proteins are used in our DARPin product candidate MP0317.</w:t>
      </w:r>
    </w:p>
    <w:p>
      <w:pPr>
        <w:spacing w:after="0" w:line="189" w:lineRule="exact"/>
        <w:rPr>
          <w:rFonts w:ascii="Times New Roman" w:cs="Times New Roman" w:eastAsia="Times New Roman" w:hAnsi="Times New Roman"/>
          <w:sz w:val="19"/>
          <w:szCs w:val="19"/>
          <w:color w:val="auto"/>
        </w:rPr>
      </w:pPr>
    </w:p>
    <w:p>
      <w:pPr>
        <w:ind w:left="300" w:right="20" w:hanging="299"/>
        <w:spacing w:after="0" w:line="254" w:lineRule="auto"/>
        <w:tabs>
          <w:tab w:leader="none" w:pos="2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2022/129428, relating to single domain DARPin binding proteins with specificity for CD3. As of December 31, 2024, we owned one pending U.S. patent application and thirteen pending foreign patent applications in this family. Any patents that may be granted in this family are expected to expire in 2041. CD3-specific DARPin binding proteins are used in our DARPin product candidate MP0533.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3" w:name="page104"/>
    <w:bookmarkEnd w:id="103"/>
    <w:p>
      <w:pPr>
        <w:ind w:left="300" w:right="240" w:hanging="299"/>
        <w:spacing w:after="0" w:line="254" w:lineRule="auto"/>
        <w:tabs>
          <w:tab w:leader="none" w:pos="28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2022/190010, relating to single domain DARPin binding proteins with specificity for CD33. As of December 31, 2024, we owned one pending U.S. patent application and five pending foreign patent applications in this family. Any patents that may be granted in this family are expected to expire in 2042. CD33-specific DARPin binding proteins are used in our DARPin product candidate MP0533.</w:t>
      </w:r>
    </w:p>
    <w:p>
      <w:pPr>
        <w:spacing w:after="0" w:line="189" w:lineRule="exact"/>
        <w:rPr>
          <w:rFonts w:ascii="Times New Roman" w:cs="Times New Roman" w:eastAsia="Times New Roman" w:hAnsi="Times New Roman"/>
          <w:sz w:val="19"/>
          <w:szCs w:val="19"/>
          <w:color w:val="auto"/>
        </w:rPr>
      </w:pPr>
    </w:p>
    <w:p>
      <w:pPr>
        <w:ind w:left="300" w:hanging="299"/>
        <w:spacing w:after="0" w:line="254" w:lineRule="auto"/>
        <w:tabs>
          <w:tab w:leader="none" w:pos="28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2024/251628, relating to single domain DARPin binding proteins with specificity for CD16a. As of December 31, 2024, we owned one pending PCT patent application in this family. Any patents that may be granted in this family are expected to expire in 2044. CD16a-specific DARPin binding proteins are used in our DARPin product candidate MP0621.</w:t>
      </w:r>
    </w:p>
    <w:p>
      <w:pPr>
        <w:spacing w:after="0" w:line="202" w:lineRule="exact"/>
        <w:rPr>
          <w:rFonts w:ascii="Times New Roman" w:cs="Times New Roman" w:eastAsia="Times New Roman" w:hAnsi="Times New Roman"/>
          <w:sz w:val="19"/>
          <w:szCs w:val="19"/>
          <w:color w:val="auto"/>
        </w:rPr>
      </w:pPr>
    </w:p>
    <w:p>
      <w:pPr>
        <w:ind w:left="300" w:hanging="299"/>
        <w:spacing w:after="0" w:line="254" w:lineRule="auto"/>
        <w:tabs>
          <w:tab w:leader="none" w:pos="289"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2024/251695, relating to single domain DARPin binding proteins with specificity for CD47. As of December 31, 2024, we owned one pending PCT patent application in this family. Any patents that may be granted in this family are expected to expire in 2044. CD47-specific DARPin binding proteins are used in our DARPin product candidate MP0621.</w:t>
      </w:r>
    </w:p>
    <w:p>
      <w:pPr>
        <w:spacing w:after="0" w:line="189"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patent applications falling in this category have been filed and are currently being prosecuted.</w:t>
      </w:r>
    </w:p>
    <w:p>
      <w:pPr>
        <w:spacing w:after="0" w:line="136"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9"/>
          <w:szCs w:val="19"/>
          <w:color w:val="auto"/>
        </w:rPr>
        <w:t>A third category of protection covers the composition of matter of certain of our DARPin product candidates (e.g., the specific combination and structure of DARPin binding proteins and additional elements that constitute the DARPin product candidate) as well as other product-specific inventions (e.g. formulation, manufacturing process or dosing schedule). Our patent applications and corresponding patents related to our DARPin product candidates currently include:</w:t>
      </w:r>
    </w:p>
    <w:p>
      <w:pPr>
        <w:spacing w:after="0" w:line="101" w:lineRule="exact"/>
        <w:rPr>
          <w:sz w:val="20"/>
          <w:szCs w:val="20"/>
          <w:color w:val="auto"/>
        </w:rPr>
      </w:pPr>
    </w:p>
    <w:p>
      <w:pPr>
        <w:jc w:val="both"/>
        <w:ind w:left="300" w:right="40" w:hanging="299"/>
        <w:spacing w:after="0" w:line="254" w:lineRule="auto"/>
        <w:tabs>
          <w:tab w:leader="none" w:pos="28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example of a patent family that we own in this category is based on international patent application WO 2011/135067, relating to abicipar. As of December 31, 2024, we owned four issued U.S. patents, one pending U.S. patent application, 65 issued foreign patents and two pending foreign patent applications in this family. Any issued patents in this family are expected to expire in 2031, not considering any patent term extensions that may be available in various jurisdictions if abicipar obtains regulatory approval there.</w:t>
      </w:r>
    </w:p>
    <w:p>
      <w:pPr>
        <w:spacing w:after="0" w:line="100" w:lineRule="exact"/>
        <w:rPr>
          <w:rFonts w:ascii="Times New Roman" w:cs="Times New Roman" w:eastAsia="Times New Roman" w:hAnsi="Times New Roman"/>
          <w:sz w:val="19"/>
          <w:szCs w:val="19"/>
          <w:color w:val="auto"/>
        </w:rPr>
      </w:pPr>
    </w:p>
    <w:p>
      <w:pPr>
        <w:ind w:left="300" w:right="280" w:hanging="299"/>
        <w:spacing w:after="0" w:line="254" w:lineRule="auto"/>
        <w:tabs>
          <w:tab w:leader="none" w:pos="28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2021/229067, relating to MP0317. As of December 31, 2024, we owned two pending U.S. patent applications and 20 pending foreign patent applications in this family. Any patents that may be granted in this patent family are expected to expire in 2041, not considering any patent term extensions that may be available in various jurisdictions if MP0317 obtains regulatory approval there.</w:t>
      </w:r>
    </w:p>
    <w:p>
      <w:pPr>
        <w:spacing w:after="0" w:line="202" w:lineRule="exact"/>
        <w:rPr>
          <w:rFonts w:ascii="Times New Roman" w:cs="Times New Roman" w:eastAsia="Times New Roman" w:hAnsi="Times New Roman"/>
          <w:sz w:val="19"/>
          <w:szCs w:val="19"/>
          <w:color w:val="auto"/>
        </w:rPr>
      </w:pPr>
    </w:p>
    <w:p>
      <w:pPr>
        <w:ind w:left="300" w:right="60" w:hanging="299"/>
        <w:spacing w:after="0" w:line="254" w:lineRule="auto"/>
        <w:tabs>
          <w:tab w:leader="none" w:pos="28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Another example of a patent family in this category is based on international patent application WO 2022/190016, relating to MP0533. As of December 31, 2024, we owned one issued U.S. patent, one pending U.S. patent application and 18 pending foreign patent applications in this family. Any issued patents in this patent family are expected to expire in 2042, not considering any patent term extensions that may be available in various jurisdictions if MP0533 obtains regulatory approval there.</w:t>
      </w:r>
    </w:p>
    <w:p>
      <w:pPr>
        <w:spacing w:after="0" w:line="189"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patent applications falling in this category have been filed.</w:t>
      </w:r>
    </w:p>
    <w:p>
      <w:pPr>
        <w:spacing w:after="0" w:line="13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4" w:name="page105"/>
    <w:bookmarkEnd w:id="104"/>
    <w:p>
      <w:pPr>
        <w:spacing w:after="0" w:line="260" w:lineRule="auto"/>
        <w:rPr>
          <w:sz w:val="20"/>
          <w:szCs w:val="20"/>
          <w:color w:val="auto"/>
        </w:rPr>
      </w:pPr>
      <w:r>
        <w:rPr>
          <w:rFonts w:ascii="Times New Roman" w:cs="Times New Roman" w:eastAsia="Times New Roman" w:hAnsi="Times New Roman"/>
          <w:sz w:val="18"/>
          <w:szCs w:val="18"/>
          <w:color w:val="auto"/>
        </w:rPr>
        <w:t>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FDA approval, only one patent applicable to each regulatory review period may be extended and only those claims covering the approved drug, a method for using it or a method of manufacturing it may be extended. In the future, if and when our product candidates, including abicipar, MP0310, MP0317 and MP0533, receive approval by the FDA, EMA or any other 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spacing w:after="0" w:line="119"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9"/>
          <w:szCs w:val="19"/>
          <w:color w:val="auto"/>
        </w:rPr>
        <w:t>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w:t>
      </w:r>
    </w:p>
    <w:p>
      <w:pPr>
        <w:spacing w:after="0" w:line="11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We may rely, in some circumstances, on trade secrets and know-how to protect our technology. However, trade secrets and know-how can be difficult to protect. We seek to protect our proprietary technology and processes, in part, through confidentiality agreements and invention assignment agreements with our employees, consultants, scientific advisors, contractors and commercial partners. We also seek to preserve the integrity and confidentiality of our data and trade secrets by maintaining physical security of our premises and physical and electronic security of our information technology systems.</w:t>
      </w:r>
    </w:p>
    <w:p>
      <w:pPr>
        <w:spacing w:after="0" w:line="108"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19"/>
          <w:szCs w:val="19"/>
          <w:color w:val="auto"/>
        </w:rPr>
        <w:t>We own registrations for certain trademarks, including “Molecular Partners”, in Switzerland, the European Union, the United States and Japan. Further, we intend to build up a trademark portfolio for our technologies and product candidates as potential branding and commercialization approaches.</w:t>
      </w:r>
    </w:p>
    <w:p>
      <w:pPr>
        <w:spacing w:after="0" w:line="111" w:lineRule="exact"/>
        <w:rPr>
          <w:sz w:val="20"/>
          <w:szCs w:val="20"/>
          <w:color w:val="auto"/>
        </w:rPr>
      </w:pPr>
    </w:p>
    <w:p>
      <w:pPr>
        <w:ind w:right="640"/>
        <w:spacing w:after="0" w:line="386" w:lineRule="auto"/>
        <w:rPr>
          <w:sz w:val="20"/>
          <w:szCs w:val="20"/>
          <w:color w:val="auto"/>
        </w:rPr>
      </w:pPr>
      <w:r>
        <w:rPr>
          <w:rFonts w:ascii="Times New Roman" w:cs="Times New Roman" w:eastAsia="Times New Roman" w:hAnsi="Times New Roman"/>
          <w:sz w:val="19"/>
          <w:szCs w:val="19"/>
          <w:color w:val="auto"/>
        </w:rPr>
        <w:t xml:space="preserve">For more information regarding the risks related to our intellectual property, please see “Risk Factors—Risks Related to Intellectual Property.” </w:t>
      </w:r>
      <w:r>
        <w:rPr>
          <w:rFonts w:ascii="Times New Roman" w:cs="Times New Roman" w:eastAsia="Times New Roman" w:hAnsi="Times New Roman"/>
          <w:sz w:val="19"/>
          <w:szCs w:val="19"/>
          <w:b w:val="1"/>
          <w:bCs w:val="1"/>
          <w:color w:val="auto"/>
        </w:rPr>
        <w:t>License and Collaboration Agreements</w:t>
      </w:r>
    </w:p>
    <w:p>
      <w:pPr>
        <w:ind w:right="3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Research and Development Collaboration and Option Agreement with Orano Med in the area of Radio-DARPin Therapies, or the Orano Med Agreement</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On January 5, 2024, we announced we entered into a co-development agreement with Orano Med to co-develop 212Pb-based Radio-DARPin Therapies (RDT). Under the terms of the co-development agreement, our previously disclosed RDT target DLL3 (delta-like ligand 3) will be included in the collaboration with Orano Med. Both companies are developing additional radioligand therapy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color w:val="auto"/>
        </w:rPr>
        <w:t>in partnership with other companies, with us having announced our first collaboration with Novartis in December 2021.</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Expression of DLL3 is low in healthy tissue but significantly increased in certain tumor types, such as small-cell lung cancer, providing an opportunity for selective tumor-targeting. DLL3 will be exclusively developed by us and Orano Med as a RDT target.</w:t>
      </w:r>
    </w:p>
    <w:p>
      <w:pPr>
        <w:spacing w:after="0" w:line="8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We maintain the option to explore DLL3 for targeted therapy outside of the radiotherapy space. Both companies have committed to sharing the cost of preclinical and clinical development, including for supply of their respective materials.</w:t>
      </w:r>
    </w:p>
    <w:p>
      <w:pPr>
        <w:spacing w:after="0" w:line="17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 January 2025 Orano Med and Molecular Partners signed an expansion agreement to the initial co-development agreement. The terms of the expansion agreement include the development of an additional six targeted alpha therapeutics candidates, now representing a total of ten potential programs between the two companies. Molecular Partners will lead development of the additional six programs, subject to a royalty arrangement. The expansion agreement also include an option for Orano Med to opt-in to two of the six programs and thereby move these programs into a 50/50 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development where Orano Med will hold commercialization rights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Novartis in the Area of DARPin Conjugated Radioligand Therapies</w:t>
      </w:r>
    </w:p>
    <w:p>
      <w:pPr>
        <w:spacing w:after="0" w:line="15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On December 14, 2021, we entered into a license and collaboration agreement with Novartis to develop DARPin-conjugated radioligand therapeutic candidates for oncology, or the Novartis Radioligand Agreement. Under the agreement, both parties will collaborate on the discovery and optimization of the therapeutic candidates. We are primarily responsible for the generation of DARPins for tumor-specific delivery of radioligands. We are eligible to invoice Novartis for our employee-related expenses associated with the research activities. Novartis is responsible for all clinical development and commercialization activities. In January 2022, Novartis paid us an upfront fee of $20 million (CHF 18.6 million). The full amount of the the upfront payment has now been recognized into revenue as the collaboration activities have come to an end in Q3 2024. Unless a development candidate is nominated by Novartis, the initial term of the agreement with Novartis will expire in March 2025.</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Option and Equity Rights Agreement with Novartis for Ensovibep</w:t>
      </w:r>
    </w:p>
    <w:p>
      <w:pPr>
        <w:spacing w:after="0" w:line="15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In October 2020, we entered into an agreement with Novartis, granting Novartis the exclusive option to in-license global rights in relation to MP0420 (ensovibep), or the Option and Equity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6" w:name="page107"/>
    <w:bookmarkEnd w:id="106"/>
    <w:p>
      <w:pPr>
        <w:ind w:right="1080"/>
        <w:spacing w:after="0" w:line="275" w:lineRule="auto"/>
        <w:rPr>
          <w:sz w:val="20"/>
          <w:szCs w:val="20"/>
          <w:color w:val="auto"/>
        </w:rPr>
      </w:pPr>
      <w:r>
        <w:rPr>
          <w:rFonts w:ascii="Times New Roman" w:cs="Times New Roman" w:eastAsia="Times New Roman" w:hAnsi="Times New Roman"/>
          <w:sz w:val="19"/>
          <w:szCs w:val="19"/>
          <w:color w:val="auto"/>
        </w:rPr>
        <w:t>Under the terms of the agreement, we in 2020 received an upfront, non-refundable fee of CHF 20 million for the technology transfer and manufacturing of MP0420.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Ensovibep License Agreement</w:t>
      </w:r>
    </w:p>
    <w:p>
      <w:pPr>
        <w:spacing w:after="0" w:line="14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9"/>
          <w:szCs w:val="19"/>
          <w:color w:val="auto"/>
        </w:rPr>
        <w:t>In January 2022, following positive Phase 2 clinical trial results, Novartis exercised its option for ensovibep, triggering a milestone payment of CHF 150 million due to us, which was received in 2022. Relatedly, we were eligible to invoice Novartis CHF 13.1 million for other items related to ensovibep.</w:t>
      </w:r>
    </w:p>
    <w:p>
      <w:pPr>
        <w:spacing w:after="0" w:line="11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9"/>
          <w:szCs w:val="19"/>
          <w:color w:val="auto"/>
        </w:rPr>
        <w:t>In January 2023, Novartis informed us that it has submitted a request to withdraw, with an effective date of January 25, 2023 the Emergency Use Authorization (EUA) application from the U.S. Food and Drug Administration (FDA) for ensovibep.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January 5 2024, the License Agreement for ensovibep has been terminated and Novartis has returned the rights to the ensovibep program to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Clinical work on the ensovibep program ended in 2022 and the program remains terminated.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Reservation agreement with the Swiss Federal Office of Public Health / Bundesamt für Gesundheit</w:t>
      </w:r>
    </w:p>
    <w:p>
      <w:pPr>
        <w:spacing w:after="0" w:line="16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On August 11, 2020, we announced the reservation by the Federal Office of Public Health, or FOPH, of a defined number of initial doses of our anti-COVID-19 candidate, MP0420. Under the terms of the agreement, we received a reservation fee of CHF 7.0 million. With the exercise of the option by Novartis in January 2022 and the subsequent assignment of the agreement to Novartis, we recognized the CHF 7.0 million as revenue in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Amgen</w:t>
      </w:r>
    </w:p>
    <w:p>
      <w:pPr>
        <w:spacing w:after="0" w:line="15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In December 2018, we entered into a license and collaboration agreement with Amgen for the clinical development and commercialization of MP0310 / AMG 506, or the Amgen Collaboration Agreement. Under the agreement we received a non-refundable upfront payment of USD 50 million.</w:t>
      </w:r>
    </w:p>
    <w:p>
      <w:pPr>
        <w:spacing w:after="0" w:line="7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9"/>
          <w:szCs w:val="19"/>
          <w:color w:val="auto"/>
        </w:rPr>
        <w:t>On April 26, 2022 we announced that Amgen, had informed us of its decision to return the global rights of MP0310 following a strategic pipeline review. With no remaining performance obligations under the Amgen Collaboration Agreement, we recognized the remaining balance of the Amgen contract liability of TCHF 9,653 as revenue in 2022.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 and Product Approval</w:t>
      </w:r>
    </w:p>
    <w:p>
      <w:pPr>
        <w:spacing w:after="0" w:line="1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i w:val="1"/>
          <w:iCs w:val="1"/>
          <w:color w:val="auto"/>
        </w:rPr>
        <w:t>U.S. Product Development Process</w:t>
      </w:r>
    </w:p>
    <w:p>
      <w:pPr>
        <w:spacing w:after="0" w:line="1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spacing w:after="0" w:line="108" w:lineRule="exact"/>
        <w:rPr>
          <w:sz w:val="20"/>
          <w:szCs w:val="20"/>
          <w:color w:val="auto"/>
        </w:rPr>
      </w:pPr>
    </w:p>
    <w:p>
      <w:pPr>
        <w:ind w:left="300" w:right="80" w:hanging="299"/>
        <w:spacing w:after="0" w:line="275" w:lineRule="auto"/>
        <w:tabs>
          <w:tab w:leader="none" w:pos="28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completion of nonclinical laboratory tests and animal studies according to good laboratory practices, or GLPs, and applicable requirements for the humane use of laboratory animals or other applicable regulations;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submission to the FDA of an IND, which must become effective before human clinical trials may begin;</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approval by an independent Institutional Review Board, or IRB, or ethics committee at each clinical site before the trial is commenced;</w:t>
      </w:r>
    </w:p>
    <w:p>
      <w:pPr>
        <w:spacing w:after="0" w:line="148" w:lineRule="exact"/>
        <w:rPr>
          <w:rFonts w:ascii="Times New Roman" w:cs="Times New Roman" w:eastAsia="Times New Roman" w:hAnsi="Times New Roman"/>
          <w:sz w:val="19"/>
          <w:szCs w:val="19"/>
          <w:color w:val="auto"/>
        </w:rPr>
      </w:pPr>
    </w:p>
    <w:p>
      <w:pPr>
        <w:ind w:left="300" w:right="360" w:hanging="299"/>
        <w:spacing w:after="0" w:line="256" w:lineRule="auto"/>
        <w:tabs>
          <w:tab w:leader="none" w:pos="28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of adequate and well-controlled human clinical trials according to the FDA’s regulations commonly referred to as good clinical practices, or GCPs, and any additional requirements for the protection of human research patients and their health information, to establish the safety and efficacy of the proposed biological product for its intended use;</w:t>
      </w:r>
    </w:p>
    <w:p>
      <w:pPr>
        <w:spacing w:after="0" w:line="98" w:lineRule="exact"/>
        <w:rPr>
          <w:rFonts w:ascii="Times New Roman" w:cs="Times New Roman" w:eastAsia="Times New Roman" w:hAnsi="Times New Roman"/>
          <w:sz w:val="19"/>
          <w:szCs w:val="19"/>
          <w:color w:val="auto"/>
        </w:rPr>
      </w:pPr>
    </w:p>
    <w:p>
      <w:pPr>
        <w:ind w:left="300" w:right="180" w:hanging="299"/>
        <w:spacing w:after="0" w:line="275" w:lineRule="auto"/>
        <w:tabs>
          <w:tab w:leader="none" w:pos="28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submission to the FDA of a Biologics Licensing Application, or BLA, for marketing approval that includes substantial evidence of safety, purity, and potency from results of nonclinical testing and clinical trials;</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an FDA Advisory Committee review, if applicable;</w:t>
      </w:r>
    </w:p>
    <w:p>
      <w:pPr>
        <w:spacing w:after="0" w:line="136" w:lineRule="exact"/>
        <w:rPr>
          <w:rFonts w:ascii="Times New Roman" w:cs="Times New Roman" w:eastAsia="Times New Roman" w:hAnsi="Times New Roman"/>
          <w:sz w:val="19"/>
          <w:szCs w:val="19"/>
          <w:color w:val="auto"/>
        </w:rPr>
      </w:pPr>
    </w:p>
    <w:p>
      <w:pPr>
        <w:ind w:left="300" w:right="500" w:hanging="299"/>
        <w:spacing w:after="0" w:line="256" w:lineRule="auto"/>
        <w:tabs>
          <w:tab w:leader="none" w:pos="28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1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FDA audit of the nonclinical study and clinical trial sites that generated the data in support of the BLA;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FDA review and approval or licensure of the BLA.</w:t>
      </w:r>
    </w:p>
    <w:p>
      <w:pPr>
        <w:spacing w:after="0" w:line="1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08" w:name="page109"/>
    <w:bookmarkEnd w:id="108"/>
    <w:p>
      <w:pPr>
        <w:ind w:right="80"/>
        <w:spacing w:after="0" w:line="249" w:lineRule="auto"/>
        <w:rPr>
          <w:sz w:val="20"/>
          <w:szCs w:val="20"/>
          <w:color w:val="auto"/>
        </w:rPr>
      </w:pPr>
      <w:r>
        <w:rPr>
          <w:rFonts w:ascii="Times New Roman" w:cs="Times New Roman" w:eastAsia="Times New Roman" w:hAnsi="Times New Roman"/>
          <w:sz w:val="19"/>
          <w:szCs w:val="19"/>
          <w:color w:val="auto"/>
        </w:rPr>
        <w:t>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Human clinical trials are typically conducted in three sequential phases that may overlap or be combined:</w:t>
      </w:r>
    </w:p>
    <w:p>
      <w:pPr>
        <w:spacing w:after="0" w:line="132" w:lineRule="exact"/>
        <w:rPr>
          <w:sz w:val="20"/>
          <w:szCs w:val="20"/>
          <w:color w:val="auto"/>
        </w:rPr>
      </w:pPr>
    </w:p>
    <w:p>
      <w:pPr>
        <w:ind w:left="300" w:right="60" w:hanging="299"/>
        <w:spacing w:after="0" w:line="258" w:lineRule="auto"/>
        <w:tabs>
          <w:tab w:leader="none" w:pos="28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Phase 1</w:t>
      </w:r>
      <w:r>
        <w:rPr>
          <w:rFonts w:ascii="Times New Roman" w:cs="Times New Roman" w:eastAsia="Times New Roman" w:hAnsi="Times New Roman"/>
          <w:sz w:val="19"/>
          <w:szCs w:val="19"/>
          <w:color w:val="auto"/>
        </w:rPr>
        <w:t>. The biological product is initially introduced into healthy human subjects and tested for safety. In the case of some products for severe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life-threatening diseases, especially when the product may be too inherently toxic to ethically administer to healthy volunteers, the initial human testing is often conducted in patients.</w:t>
      </w:r>
    </w:p>
    <w:p>
      <w:pPr>
        <w:spacing w:after="0" w:line="93" w:lineRule="exact"/>
        <w:rPr>
          <w:rFonts w:ascii="Times New Roman" w:cs="Times New Roman" w:eastAsia="Times New Roman" w:hAnsi="Times New Roman"/>
          <w:sz w:val="19"/>
          <w:szCs w:val="19"/>
          <w:color w:val="auto"/>
        </w:rPr>
      </w:pPr>
    </w:p>
    <w:p>
      <w:pPr>
        <w:ind w:left="300" w:right="260" w:hanging="299"/>
        <w:spacing w:after="0" w:line="308" w:lineRule="auto"/>
        <w:tabs>
          <w:tab w:leader="none" w:pos="2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efficacy of the product for specific targeted diseases and to determine dosage tolerance, optimal dosage and dosing schedule.</w:t>
      </w:r>
    </w:p>
    <w:p>
      <w:pPr>
        <w:spacing w:after="0" w:line="51" w:lineRule="exact"/>
        <w:rPr>
          <w:rFonts w:ascii="Times New Roman" w:cs="Times New Roman" w:eastAsia="Times New Roman" w:hAnsi="Times New Roman"/>
          <w:sz w:val="18"/>
          <w:szCs w:val="18"/>
          <w:color w:val="auto"/>
        </w:rPr>
      </w:pPr>
    </w:p>
    <w:p>
      <w:pPr>
        <w:ind w:left="300" w:right="40" w:hanging="299"/>
        <w:spacing w:after="0" w:line="265" w:lineRule="auto"/>
        <w:tabs>
          <w:tab w:leader="none" w:pos="28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Phase 3</w:t>
      </w:r>
      <w:r>
        <w:rPr>
          <w:rFonts w:ascii="Times New Roman" w:cs="Times New Roman" w:eastAsia="Times New Roman" w:hAnsi="Times New Roman"/>
          <w:sz w:val="19"/>
          <w:szCs w:val="19"/>
          <w:color w:val="auto"/>
        </w:rPr>
        <w:t>. Clinical trials are undertaken to further evaluate dosage, clinical efficacy, potency, and safety in an expanded patient population 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geographically dispersed clinical trial sites. These clinical trials are intended to establish the overall risk to benefit ratio of the product and provide an adequate basis for product labeling.</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09" w:name="page110"/>
    <w:bookmarkEnd w:id="109"/>
    <w:p>
      <w:pPr>
        <w:ind w:right="60"/>
        <w:spacing w:after="0" w:line="248" w:lineRule="auto"/>
        <w:rPr>
          <w:sz w:val="20"/>
          <w:szCs w:val="20"/>
          <w:color w:val="auto"/>
        </w:rPr>
      </w:pPr>
      <w:r>
        <w:rPr>
          <w:rFonts w:ascii="Times New Roman" w:cs="Times New Roman" w:eastAsia="Times New Roman" w:hAnsi="Times New Roman"/>
          <w:sz w:val="19"/>
          <w:szCs w:val="19"/>
          <w:color w:val="auto"/>
        </w:rPr>
        <w:t xml:space="preserve">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testing that suggest a significant risk for human patients,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0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Review and Approval Processes</w:t>
      </w:r>
    </w:p>
    <w:p>
      <w:pPr>
        <w:spacing w:after="0" w:line="14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2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9"/>
          <w:szCs w:val="19"/>
          <w:color w:val="auto"/>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1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0" w:name="page111"/>
    <w:bookmarkEnd w:id="110"/>
    <w:p>
      <w:pPr>
        <w:spacing w:after="0" w:line="266" w:lineRule="auto"/>
        <w:rPr>
          <w:sz w:val="20"/>
          <w:szCs w:val="20"/>
          <w:color w:val="auto"/>
        </w:rPr>
      </w:pPr>
      <w:r>
        <w:rPr>
          <w:rFonts w:ascii="Times New Roman" w:cs="Times New Roman" w:eastAsia="Times New Roman" w:hAnsi="Times New Roman"/>
          <w:sz w:val="18"/>
          <w:szCs w:val="18"/>
          <w:color w:val="auto"/>
        </w:rPr>
        <w:t>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spacing w:after="0" w:line="9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1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b w:val="1"/>
          <w:bCs w:val="1"/>
          <w:i w:val="1"/>
          <w:iCs w:val="1"/>
          <w:color w:val="auto"/>
        </w:rPr>
        <w:t>Post-Approval Requirements</w:t>
      </w:r>
    </w:p>
    <w:p>
      <w:pPr>
        <w:spacing w:after="0" w:line="14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 Violations, including 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1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spacing w:after="0" w:line="110" w:lineRule="exact"/>
        <w:rPr>
          <w:sz w:val="20"/>
          <w:szCs w:val="20"/>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marketing or manufacturing of the product;</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fines, warning letters, untitled letters, or clinical holds;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refusal of the FDA to approve pending applications or supplements to approved applications, or suspension or revocation of product approvals;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adverse publicity, FDA mandated corrective advertising or communications with doctors;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seizure or detention, or refusal to permit the import or export of products; or</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injunctions or the imposition of civil or criminal penalties.</w:t>
      </w:r>
    </w:p>
    <w:p>
      <w:pPr>
        <w:spacing w:after="0" w:line="14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FDA’s policies may change, which could delay or prevent regulatory approval of our products under development.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Marketing Exclusivity</w:t>
      </w:r>
    </w:p>
    <w:p>
      <w:pPr>
        <w:spacing w:after="0" w:line="1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Healthcare Laws</w:t>
      </w:r>
    </w:p>
    <w:p>
      <w:pPr>
        <w:spacing w:after="0" w:line="1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 drug products. In addition, a biopharmaceutical company may be subject to patient data privacy and security regulation by both the federal government and the states in which it conducts its business. The laws that may affect a biopharmaceutical company’s ability to operate include:</w:t>
      </w:r>
    </w:p>
    <w:p>
      <w:pPr>
        <w:spacing w:after="0" w:line="106" w:lineRule="exact"/>
        <w:rPr>
          <w:sz w:val="20"/>
          <w:szCs w:val="20"/>
          <w:color w:val="auto"/>
        </w:rPr>
      </w:pPr>
    </w:p>
    <w:p>
      <w:pPr>
        <w:ind w:left="300" w:right="80" w:hanging="299"/>
        <w:spacing w:after="0" w:line="254" w:lineRule="auto"/>
        <w:tabs>
          <w:tab w:leader="none" w:pos="2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100" w:lineRule="exact"/>
        <w:rPr>
          <w:rFonts w:ascii="Times New Roman" w:cs="Times New Roman" w:eastAsia="Times New Roman" w:hAnsi="Times New Roman"/>
          <w:sz w:val="19"/>
          <w:szCs w:val="19"/>
          <w:color w:val="auto"/>
        </w:rPr>
      </w:pPr>
    </w:p>
    <w:p>
      <w:pPr>
        <w:ind w:left="300" w:right="20" w:hanging="299"/>
        <w:spacing w:after="0" w:line="253" w:lineRule="auto"/>
        <w:tabs>
          <w:tab w:leader="none" w:pos="2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w:t>
      </w:r>
    </w:p>
    <w:p>
      <w:pPr>
        <w:spacing w:after="0" w:line="102" w:lineRule="exact"/>
        <w:rPr>
          <w:rFonts w:ascii="Times New Roman" w:cs="Times New Roman" w:eastAsia="Times New Roman" w:hAnsi="Times New Roman"/>
          <w:sz w:val="19"/>
          <w:szCs w:val="19"/>
          <w:color w:val="auto"/>
        </w:rPr>
      </w:pPr>
    </w:p>
    <w:p>
      <w:pPr>
        <w:ind w:left="300" w:right="80" w:hanging="299"/>
        <w:spacing w:after="0" w:line="254" w:lineRule="auto"/>
        <w:tabs>
          <w:tab w:leader="none" w:pos="2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13" w:name="page114"/>
    <w:bookmarkEnd w:id="113"/>
    <w:p>
      <w:pPr>
        <w:ind w:left="300" w:hanging="299"/>
        <w:spacing w:after="0" w:line="249" w:lineRule="auto"/>
        <w:tabs>
          <w:tab w:leader="none" w:pos="28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08" w:lineRule="exact"/>
        <w:rPr>
          <w:rFonts w:ascii="Times New Roman" w:cs="Times New Roman" w:eastAsia="Times New Roman" w:hAnsi="Times New Roman"/>
          <w:sz w:val="19"/>
          <w:szCs w:val="19"/>
          <w:color w:val="auto"/>
        </w:rPr>
      </w:pPr>
    </w:p>
    <w:p>
      <w:pPr>
        <w:ind w:left="300" w:right="220" w:hanging="299"/>
        <w:spacing w:after="0" w:line="275" w:lineRule="auto"/>
        <w:tabs>
          <w:tab w:leader="none" w:pos="28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Food, Drug, and Cosmetic Act which prohibits, among other things, the adulteration or misbranding of drugs, biologics and medical devices;</w:t>
      </w:r>
    </w:p>
    <w:p>
      <w:pPr>
        <w:spacing w:after="0" w:line="81" w:lineRule="exact"/>
        <w:rPr>
          <w:rFonts w:ascii="Times New Roman" w:cs="Times New Roman" w:eastAsia="Times New Roman" w:hAnsi="Times New Roman"/>
          <w:sz w:val="19"/>
          <w:szCs w:val="19"/>
          <w:color w:val="auto"/>
        </w:rPr>
      </w:pPr>
    </w:p>
    <w:p>
      <w:pPr>
        <w:ind w:left="300" w:hanging="299"/>
        <w:spacing w:after="0" w:line="248" w:lineRule="auto"/>
        <w:tabs>
          <w:tab w:leader="none" w:pos="28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or CMS, information related to certain payments and other transfers of value to physicians (defined to include doctors, dentists, optometrists, podiatrists and chiropractors), certain other health care professionals (such as physicians assistants and nurse practitioners), and teaching hospitals, as well as ownership and investment interests held by physicians and their immediate family members; and</w:t>
      </w:r>
    </w:p>
    <w:p>
      <w:pPr>
        <w:spacing w:after="0" w:line="1" w:lineRule="exact"/>
        <w:rPr>
          <w:rFonts w:ascii="Times New Roman" w:cs="Times New Roman" w:eastAsia="Times New Roman" w:hAnsi="Times New Roman"/>
          <w:sz w:val="19"/>
          <w:szCs w:val="19"/>
          <w:color w:val="auto"/>
        </w:rPr>
      </w:pPr>
    </w:p>
    <w:p>
      <w:pPr>
        <w:ind w:left="300" w:hanging="299"/>
        <w:spacing w:after="0" w:line="244" w:lineRule="auto"/>
        <w:tabs>
          <w:tab w:leader="none" w:pos="28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2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w:t>
      </w:r>
    </w:p>
    <w:p>
      <w:pPr>
        <w:spacing w:after="0" w:line="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14" w:name="page115"/>
    <w:bookmarkEnd w:id="114"/>
    <w:p>
      <w:pPr>
        <w:ind w:right="20"/>
        <w:spacing w:after="0" w:line="248" w:lineRule="auto"/>
        <w:rPr>
          <w:sz w:val="20"/>
          <w:szCs w:val="20"/>
          <w:color w:val="auto"/>
        </w:rPr>
      </w:pPr>
      <w:r>
        <w:rPr>
          <w:rFonts w:ascii="Times New Roman" w:cs="Times New Roman" w:eastAsia="Times New Roman" w:hAnsi="Times New Roman"/>
          <w:sz w:val="19"/>
          <w:szCs w:val="19"/>
          <w:color w:val="auto"/>
        </w:rPr>
        <w:t>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Healthcare Reform</w:t>
      </w:r>
    </w:p>
    <w:p>
      <w:pPr>
        <w:spacing w:after="0" w:line="15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There have been executive, judicial and Congressional challenges and amendments to certain aspects of the ACA.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the healthcare reform measures of the new administration will impact the ACA.</w:t>
      </w:r>
    </w:p>
    <w:p>
      <w:pPr>
        <w:spacing w:after="0" w:line="109"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ACA was enacted. For example, on August 2, 2011, the Budget Control Act of 2011, among other things, includes aggregate reductions of Medicare payments to providers of 2% per fiscal year. These reductions went into effect on April 1, 2013 and, due to subsequent legislative amendments to the statute will remain in effect through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on January 1, 2024.</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Further, there has also been heightened governmental scrutiny over the manner in which manufacturers set prices for their marketed products. Specifically, there have been several recent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IRA, among other things (i) directs the U.S. Department of Health and Human Services ("HHS") to negotiate the price of certain high-expenditure, single-source biologics that have been on the market for 11 years covered under Medicare (the "Medicare Drug Price Negotiation Program") and (ii) imposes rebates under Medicare Part B and Medicare Part D to penalize price increases that outpace inflation. These provisions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5" w:name="page116"/>
    <w:bookmarkEnd w:id="115"/>
    <w:p>
      <w:pPr>
        <w:ind w:right="420"/>
        <w:spacing w:after="0" w:line="275" w:lineRule="auto"/>
        <w:rPr>
          <w:sz w:val="20"/>
          <w:szCs w:val="20"/>
          <w:color w:val="auto"/>
        </w:rPr>
      </w:pPr>
      <w:r>
        <w:rPr>
          <w:rFonts w:ascii="Times New Roman" w:cs="Times New Roman" w:eastAsia="Times New Roman" w:hAnsi="Times New Roman"/>
          <w:sz w:val="19"/>
          <w:szCs w:val="19"/>
          <w:color w:val="auto"/>
        </w:rPr>
        <w:t>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7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9"/>
          <w:szCs w:val="19"/>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Clinical Trials in the European Union</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Clinical trials of medicinal products in the European Union must be conducted in accordance with European Union and national regulations and the international council for harmonization, or ICH, guidelines on GCP. Additional GCP guidelines from the EC, focusing in particular on traceability, apply to clinical trials of advanced therapy medicinal products. The sponsor must take out a clinical trial insurance policy, and in most European Union countries, the sponsor is liable to provide “no fault” compensation to any study subject injured in the clinical trial.</w:t>
      </w:r>
    </w:p>
    <w:p>
      <w:pPr>
        <w:spacing w:after="0" w:line="1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Previously, in the European Union, pursuant to the EU Clinical Trials Directive 2001/20/EC, a CTA had to be submitted to each country’s national regulatory authority in which the clinical trial was to take place, together with an independent ethics committee, much like the FDA and IRB, respectively. Although the Directive had sought to harmonize the EU clinical trials regulatory framework, EU Member States transposed and applied the provisions of the Directive differently, leading to significant variation in the regulatory regimes of the member states. In 2014, a new Clinical Trials Regulation 536/2014, replacing the current Directive, was adopted. The new Regulation is directly applicable in all EU Member States (without national implementation) and entered into application on 31 January 2022. The new Regulation seeks to simplify and streamline the approval of clinical trials in the European Union. Pursuant to the Regulation, the sponsor shall submit a single CTA via the EMA's Clinical Trials Information System, or CTIS, which will cover all regulatory and ethics assessments from the member states concerned.</w:t>
      </w:r>
    </w:p>
    <w:p>
      <w:pPr>
        <w:spacing w:after="0" w:line="11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Any submissions made from January 31, 2023 onwards must be made through CTIS and all trials authorized pursuant to the Directive that are still ongoing on January 31, 2025 must be made through CTIS. Once the CTA is approved in accordance with a member state's requirements, clinical trial development may proceed. Approval and monitoring of clinical trials in the European Union is, as it was under the Directive, the responsibility of individual member states, but compared to the position prior to the applicability of the Clinical Trials Regulation there is likely to be more collaboration, information-sharing, and decision-making between member states. The new Regulation also aims to streamline and simplify the rules on safety reporting and introduces enhanced transparency requirements, such as mandatory submission of a summary of the clinical trial results to a new E.U. Database. The requirements and process governing the conduct of clinical trials, product licensing, pricing and reimbursement vary from country to country. In all cases, the clinical trials are conducted in accordance with GCP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6" w:name="page117"/>
    <w:bookmarkEnd w:id="116"/>
    <w:p>
      <w:pPr>
        <w:ind w:right="20"/>
        <w:spacing w:after="0" w:line="275" w:lineRule="auto"/>
        <w:rPr>
          <w:sz w:val="20"/>
          <w:szCs w:val="20"/>
          <w:color w:val="auto"/>
        </w:rPr>
      </w:pPr>
      <w:r>
        <w:rPr>
          <w:rFonts w:ascii="Times New Roman" w:cs="Times New Roman" w:eastAsia="Times New Roman" w:hAnsi="Times New Roman"/>
          <w:sz w:val="19"/>
          <w:szCs w:val="19"/>
          <w:color w:val="auto"/>
        </w:rPr>
        <w:t>applicable regulatory requirements and the ethical principles that have their origin in the Declaration of Helsinki. Medicines used in clinical trials must be manufactured in accordance with cGMP.</w:t>
      </w:r>
    </w:p>
    <w:p>
      <w:pPr>
        <w:spacing w:after="0" w:line="82"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9"/>
          <w:szCs w:val="19"/>
          <w:color w:val="auto"/>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Marketing Authorizations in the European Union</w:t>
      </w:r>
    </w:p>
    <w:p>
      <w:pPr>
        <w:spacing w:after="0" w:line="1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order to market a new medicinal product in the European Union, a company must submit a marketing authorization application, or MAA, to either the EMA using the centralized procedure, or competent authorities in European Union Member States using the other procedures (decentralized procedure, national procedure, or mutual recognition procedure). A marketing authorization, or MA may only be granted to an applicant established in the European Union, or Norway, Iceland, and Liechtenstein, who are members of the European Economic Area, or European Economic Area. Medicinal products can only be commercialized after obtaining an MA pursuant to one of the three processes outlined below:</w:t>
      </w:r>
    </w:p>
    <w:p>
      <w:pPr>
        <w:spacing w:after="0" w:line="94" w:lineRule="exact"/>
        <w:rPr>
          <w:sz w:val="20"/>
          <w:szCs w:val="20"/>
          <w:color w:val="auto"/>
        </w:rPr>
      </w:pPr>
    </w:p>
    <w:p>
      <w:pPr>
        <w:ind w:left="300" w:hanging="299"/>
        <w:spacing w:after="0" w:line="250" w:lineRule="auto"/>
        <w:tabs>
          <w:tab w:leader="none" w:pos="28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Centralized MA, which is issued by the European Commission through the Centralized Procedure, based on the scientific opinion of the Committee for Medicinal Products for Human Use of the EMA, and which is valid throughout the entire territory of the European Union/European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Union/European Economic Area, or for products that constitute a significant therapeutic, scientific or technical innovation or which are in the interest of public health in the European Union.</w:t>
      </w:r>
    </w:p>
    <w:p>
      <w:pPr>
        <w:spacing w:after="0" w:line="104" w:lineRule="exact"/>
        <w:rPr>
          <w:rFonts w:ascii="Times New Roman" w:cs="Times New Roman" w:eastAsia="Times New Roman" w:hAnsi="Times New Roman"/>
          <w:sz w:val="19"/>
          <w:szCs w:val="19"/>
          <w:color w:val="auto"/>
        </w:rPr>
      </w:pPr>
    </w:p>
    <w:p>
      <w:pPr>
        <w:ind w:left="300" w:right="20" w:hanging="299"/>
        <w:spacing w:after="0" w:line="262" w:lineRule="auto"/>
        <w:tabs>
          <w:tab w:leader="none" w:pos="2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MAs are available for products not falling within the mandatory scope of the Centralized Procedure. An identical dossier is submitted to the competent authorities of each of the Member States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17" w:name="page118"/>
    <w:bookmarkEnd w:id="117"/>
    <w:p>
      <w:pPr>
        <w:ind w:left="300" w:right="200" w:hanging="299"/>
        <w:spacing w:after="0" w:line="254" w:lineRule="auto"/>
        <w:tabs>
          <w:tab w:leader="none" w:pos="28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National MAs, which are issued by a single competent authority of the Member States of the European Economic Area and only covers their respective territory, are also available for products not falling within the mandatory scope of the Centralized Procedure. Once a product has been authorized for marketing in a Member State of the European Economic Area through the National Procedure, this National MA can also be recognized in other Member States through the Mutual Recognition Procedure.</w:t>
      </w:r>
    </w:p>
    <w:p>
      <w:pPr>
        <w:spacing w:after="0" w:line="101"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8"/>
          <w:szCs w:val="18"/>
          <w:color w:val="auto"/>
        </w:rPr>
        <w:t>Under the procedures described above, before granting the MA, the EMA or the competent authority(ies) of the member state(s) of the European Economic Area prepare an assessment of the risk-benefit balance of the product against the scientific criteria concerning its quality, safety and efficacy.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Data Exclusivity in the European Union</w:t>
      </w:r>
    </w:p>
    <w:p>
      <w:pPr>
        <w:spacing w:after="0" w:line="14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9"/>
          <w:szCs w:val="19"/>
          <w:color w:val="auto"/>
        </w:rPr>
        <w:t>Under Regulation (EC) No 726/2004/EC and Directive 2001/83/EC (each as amended), the European Union has adopted a harmonized approach to data and market protection or exclusivity (known as the 8 + 2 + 1 formula). The data exclusivity period begins to run on the date when the first MA is granted in the European Union. It confers on the MA holder of the reference medicinal product eight years of data exclusivity and ten years of market exclusivity. A reference medicinal product is defined to mean a medicinal product authorized based on a full dossier consisting of pharmaceutical and preclinical testing results and clinical trial data, such as a medicinal product containing a new active substance. The ten-year market protection can be extended cumulatively to a maximum period of eleven years if during the first eight years of those ten years of protection period, the MA holder obtains an authorization for one or more new therapeutic indications that are deemed to bring a significant clinical benefit compared to existing therapies.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exclusivity period means that an applicant for a generic medicinal product is not permitted to rely on preclinical pharmacological, toxicological, and clinical data contained in the file of the reference medicinal product of the originator until the first eight years of data exclusivity have expired. Thereafter, a generic product application may be submitted and generic companies may rely on the preclinical and clinical data relating to the reference medicinal product to support approval of the generic product. However, a generic product cannot market until ten years have elapsed from the initial authorization of the reference medicinal product or eleven years if the protection period is extended, based on the formula of 8+2+1.</w:t>
      </w:r>
    </w:p>
    <w:p>
      <w:pPr>
        <w:spacing w:after="0" w:line="9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In addition to the above, where an application is made for a new indication for a well-established substance, a non-cumulative period of one year of data exclusivity may be granted, provided that significant preclinical or clinical studies were carried out in relation to the new indication. Finally, where a change of classification of a medicinal product has been authorized on the basis of significant preclinical tests or clinical trials, the competent authority shall not refer to the results of those tests or trials when examining an application by another applicant for or holder of marketing authorization for a change of classification of the same substance for one year after the initial change was authorized.</w:t>
      </w:r>
    </w:p>
    <w:p>
      <w:pPr>
        <w:spacing w:after="0" w:line="10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9"/>
          <w:szCs w:val="19"/>
          <w:color w:val="auto"/>
        </w:rPr>
        <w:t>The 8 + 2 + 1 exclusivity scheme applies to products that have been authorized in the European Union by the European Commission through the Centralized Procedure or the competent authorities of the Member States of the European Economic Area nationally, including through the Decentralized and Mutual Recognition procedures.</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For a medicinal product which has received orphan designation under Regulation 141/2000, it will, benefit from a period of ten years of orphan market exclusivity which essentially constitutes a period of market monopoly. During this period of orphan market exclusivity, no European Union regulatory authority is permitted to accept or approve an application for marketing authorization for a similar medicinal product or an extension application for the same therapeutic indication. This period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8" w:name="page119"/>
    <w:bookmarkEnd w:id="118"/>
    <w:p>
      <w:pPr>
        <w:ind w:right="560"/>
        <w:spacing w:after="0" w:line="275" w:lineRule="auto"/>
        <w:rPr>
          <w:sz w:val="20"/>
          <w:szCs w:val="20"/>
          <w:color w:val="auto"/>
        </w:rPr>
      </w:pPr>
      <w:r>
        <w:rPr>
          <w:rFonts w:ascii="Times New Roman" w:cs="Times New Roman" w:eastAsia="Times New Roman" w:hAnsi="Times New Roman"/>
          <w:sz w:val="19"/>
          <w:szCs w:val="19"/>
          <w:color w:val="auto"/>
        </w:rPr>
        <w:t>extended cumulatively to a total of twelve years if the marketing authorization holder or applicant complies with the requirements for an agreed pediatric investigation plan pursuant to Regulation 1901/2006.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Post Authorization Obligations in the European Union</w:t>
      </w:r>
    </w:p>
    <w:p>
      <w:pPr>
        <w:spacing w:after="0" w:line="1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 of a Centralized MA or National MA is subject to various obligations under the applicable European Union laws, such as 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The holder must also ensure that the manufacturing and batch release of its product is in compliance with the applicable requirements. The MA holder is further obligated to ensure that the advertising and promotion of its products complies with applicable European Union laws and industry code of practice as implemented in the domestic laws of the Member States of the European Union/European Economic Area. The advertising and promotional rules are enforced nationally by the European Union/European Economic Area Member 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Pediatric Development in the European Union</w:t>
      </w:r>
    </w:p>
    <w:p>
      <w:pPr>
        <w:spacing w:after="0" w:line="155"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9"/>
          <w:szCs w:val="19"/>
          <w:color w:val="auto"/>
        </w:rPr>
        <w:t>In the European Union, companies developing a new medicinal product must agree to a Pediatric Investigation Plan, or PIP, with the EMA and must conduct pediatric clinical trials in accordance with that PIP, unless a deferral or waiver applies, (e.g.,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Pricing and Reimbursement in the European Union</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Governments influence the price of medicinal products in the European Union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medicines, but monitor and control company profits. The downward pressure on healthcare costs in general, particularly prescription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19" w:name="page120"/>
    <w:bookmarkEnd w:id="119"/>
    <w:p>
      <w:pPr>
        <w:ind w:right="2180"/>
        <w:spacing w:after="0" w:line="396" w:lineRule="auto"/>
        <w:rPr>
          <w:sz w:val="20"/>
          <w:szCs w:val="20"/>
          <w:color w:val="auto"/>
        </w:rPr>
      </w:pPr>
      <w:r>
        <w:rPr>
          <w:rFonts w:ascii="Times New Roman" w:cs="Times New Roman" w:eastAsia="Times New Roman" w:hAnsi="Times New Roman"/>
          <w:sz w:val="19"/>
          <w:szCs w:val="19"/>
          <w:color w:val="auto"/>
        </w:rPr>
        <w:t xml:space="preserve">medicines, has become very intense. As a result, increasingly high barriers are being erected to the entry of new products. </w:t>
      </w:r>
      <w:r>
        <w:rPr>
          <w:rFonts w:ascii="Times New Roman" w:cs="Times New Roman" w:eastAsia="Times New Roman" w:hAnsi="Times New Roman"/>
          <w:sz w:val="19"/>
          <w:szCs w:val="19"/>
          <w:b w:val="1"/>
          <w:bCs w:val="1"/>
          <w:color w:val="auto"/>
        </w:rPr>
        <w:t>Coverage and Reimbursement</w:t>
      </w:r>
    </w:p>
    <w:p>
      <w:pPr>
        <w:spacing w:after="0" w:line="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w:t>
      </w:r>
    </w:p>
    <w:p>
      <w:pPr>
        <w:spacing w:after="0" w:line="11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w:t>
      </w:r>
    </w:p>
    <w:p>
      <w:pPr>
        <w:spacing w:after="0" w:line="1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w:t>
      </w:r>
    </w:p>
    <w:p>
      <w:pPr>
        <w:spacing w:after="0" w:line="1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Additionally, coverage policies and third-party reimbursement rates may change at any time. Even if favorable coverage and reimbursement status is attained for one or more of our tests, less favorable coverage policies and reimbursement rates may be implemented in the future. Furthermore, rules and regulations regarding reimbursement change frequently and, in some cases, upon short notice.</w:t>
      </w:r>
    </w:p>
    <w:p>
      <w:pPr>
        <w:spacing w:after="0" w:line="12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20" w:name="page121"/>
    <w:bookmarkEnd w:id="120"/>
    <w:p>
      <w:pPr>
        <w:ind w:right="100"/>
        <w:spacing w:after="0" w:line="254" w:lineRule="auto"/>
        <w:rPr>
          <w:sz w:val="20"/>
          <w:szCs w:val="20"/>
          <w:color w:val="auto"/>
        </w:rPr>
      </w:pPr>
      <w:r>
        <w:rPr>
          <w:rFonts w:ascii="Times New Roman" w:cs="Times New Roman" w:eastAsia="Times New Roman" w:hAnsi="Times New Roman"/>
          <w:sz w:val="19"/>
          <w:szCs w:val="19"/>
          <w:color w:val="auto"/>
        </w:rPr>
        <w:t>Outside the United States, international operations are generally subject to extensive governmental price controls and other market regulations. Increasing emphasis on cost-containment initiatives in Europe, Canada and other 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w:t>
      </w:r>
    </w:p>
    <w:p>
      <w:pPr>
        <w:spacing w:after="0" w:line="10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9"/>
          <w:szCs w:val="19"/>
          <w:color w:val="auto"/>
        </w:rPr>
        <w:t>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Increasing efforts by governmental and third-party payors in the European Union, the United States and abroad to cap or reduce healthcare costs can cause such organizations to limit coverage and reimbursement for drug products.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biological targets, new technologies for optimizing antibodies, new scaffolds such as antibody fragments and other small protein-based therapeutics, talent, financial resources, intellectual property rights and collaboration opportunities. Many of our competitors have substantially greater scientific, research and product development capabilities, and greater financial, manufacturing, marketing and sales, and human resources than we do. In addition, there is intense competition for securing clinical trial sites as well as recruiting and registering patients for clinical trials. Many specialized biotechnology companies have formed collaborations with large, established companies to support the research, development and commercialization of products that may be competing with ours. Accordingly, our competitors may be more successful than we may be in developing, commercializing and achieving widespread market acceptance. Any product candidates that we successfully develop and commercialize from our platforms may compete with existing products and new products that may become available in the future.Finally, we also face competition on the DARPin technology, with other companies filing intellectual property on DARPins and striking collaborations with partners to develop DARPin therapeutics; however only we have gathered 20 years of experience with DARPin therapeutics in clinical development.</w:t>
      </w:r>
    </w:p>
    <w:p>
      <w:pPr>
        <w:spacing w:after="0" w:line="10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Competition in the oncology space is intense: common methods of treatment for cancer patients with cancer include surgery, radiation and drug therapy, and approved drugs and methods are widely accepted by physicians, patients and third-party payors. Yet, and in spite of recent progress, and intense competition, unmet medical needs remain high in oncology and call for new treatment options for patients. Competition is especially fierce in hematologic cancers, where several novel approaches including immune engagers, antibody-drug conjugates and cell therapies are becoming part of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21" w:name="page122"/>
    <w:bookmarkEnd w:id="121"/>
    <w:p>
      <w:pPr>
        <w:ind w:right="100"/>
        <w:spacing w:after="0" w:line="249" w:lineRule="auto"/>
        <w:rPr>
          <w:sz w:val="20"/>
          <w:szCs w:val="20"/>
          <w:color w:val="auto"/>
        </w:rPr>
      </w:pPr>
      <w:r>
        <w:rPr>
          <w:rFonts w:ascii="Times New Roman" w:cs="Times New Roman" w:eastAsia="Times New Roman" w:hAnsi="Times New Roman"/>
          <w:sz w:val="19"/>
          <w:szCs w:val="19"/>
          <w:color w:val="auto"/>
        </w:rPr>
        <w:t>practice, with next generation molecules and novel targeted approaches under development. AML is a particularly aggressive hematologic cancer and despite recent advancements in the field, most patients relapse after initial treatment. Less than a third of patients are still alive after five years, likely due to the inability of current approaches to effectively eliminate all AML cells (blasts and leukemic stem cells). MP0533, if approved, will enter a competitive market populated by other biologics and small molecules. However, we believe that MP0533 by virtue of its unique multi-targeting molecular design, has the potential to become a more effective and tolerable treatment option for AML and MDS patients, where significant unmet need remains.</w:t>
      </w:r>
    </w:p>
    <w:p>
      <w:pPr>
        <w:spacing w:after="0" w:line="2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Our multispecific cKIT x CD16a x CD47 Switch-DARPin is designed as a next-generation conditioning regimen for hematopoietic stem cell transplantation (HSCT) in AML and beyond. HSCT is an effective treatment against hematological conditions, and it is often performed after administration of intensive chemotherapy regimens and immunosuppressants to maximize its efficacy. However, many older and frailer patients are often ineligible for such conditioning regimens, and instead undergo more tolerable treatments that are associated with relatively shorter durability and poorer outcomes. Additionally, novel therapies recently approved for non-malignant hematologic conditions such as sickle cell disease also require a conditioning step. Many patients affected by such non-lethal conditions need a safer option to avoid treatment-related toxicities and other complications such as infertility. The field of HSCT conditioning continues to see multiple treatment modalities and new approaches emerging from different competitors that our Switch-DARPin program will likely face. By acting only on hematopoietic stem cells, our Switch-DARPin candidate has the potential to offer a more tolerable, highly effective option to prepare patients with malignant and non-malignant hematologic conditions for HSCT and maximize their chances to increase long-term disease control or even be cured in some cases.</w:t>
      </w:r>
    </w:p>
    <w:p>
      <w:pPr>
        <w:spacing w:after="0" w:line="20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Radioligand therapy (RLT) is a rapidly emerging field in oncology, with over 100 companies developing therapeutic candidates across indications. In addition to a few already approved drugs, several alpha and beta emitting isotopes are being tested, as well as a variety of vectors, including monoclonal antibodies, small molecules and other low molecular weight protein-based scaffolds. Our DARPin radioconjugates, beginning with our frontrunner DLL3 program, will face competition from several other RLT developers. However, we believe DARPin features make them especially well suited as vectors due to their tunability and manufacturing properties.</w:t>
      </w:r>
    </w:p>
    <w:p>
      <w:pPr>
        <w:spacing w:after="0" w:line="196"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9"/>
          <w:szCs w:val="19"/>
          <w:color w:val="auto"/>
        </w:rPr>
        <w:t>If approved for solid tumors, MP0317 would compete with agents that are currently in development such as monoclonal antibodies, or mAbs, including bispecifics and fusion proteins, and small molecule approaches.</w:t>
      </w:r>
    </w:p>
    <w:p>
      <w:pPr>
        <w:spacing w:after="0" w:line="18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approval. In addition, the level of generic competition and the availability of reimbursement from government and other third-party payors will impact the commercial viability of our programs.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We do not currently own or operate manufacturing facilities for the production of clinical or commercial quantities of our DARPin product candidates. We utilize third-party contract manufacturers for the manufacture of drug substances and product candidates for human use. Since we rely on third-party contract manufacturers to produce our proprietary product candidates, we have recruited personnel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experience to manage the third-party contract manufacturers that will produce our proprietary product candidates in clinical or commercial quantities.</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design and develop the manufacturing process for the mono-DARPins and multi-DARPin product candidates that are included in our DARPin product candidates, whether or not they are partnered. For purposes of our and our partner’s DARPin preclinical studies, we supply high quality gram scale DARPin material that we produce in our own facilities. We have fermenter volumes up to ten liters, which provides us with sufficient capacity to produce the quantities needed for DARPin preclinical studies.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Organizational Structure.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2412365" cy="15278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12365" cy="152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Property, Plants and Equipment.</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lease our principal executive office and laboratory space, animal facility and other facilities, consisting of an aggregate of 3,200 square meters, in Zurich-Schlieren, Switzerland. The leases for our principal executive office and laboratory space expire on December 31, 2026. We also have an office in Massachusetts for our U.S. subsidiary, Molecular Partners Inc. consisting of 122 square meters.</w:t>
      </w:r>
    </w:p>
    <w:p>
      <w:pPr>
        <w:spacing w:after="0" w:line="9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9"/>
          <w:szCs w:val="19"/>
          <w:color w:val="auto"/>
        </w:rPr>
        <w:t>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4A. Unresolved Staff Comments.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Operating and Financial Review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are a clinical-stage biotechnology company pioneering the design and development of DARPin therapeutics for medical challenges that other drug modalities cannot readily address. We have programs in various stages of preclinical and clinical development, currently with main focus on oncology. DARPin therapeutics are a new class of custom-built protein drug candidates based on natural binding proteins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23" w:name="page124"/>
    <w:bookmarkEnd w:id="123"/>
    <w:p>
      <w:pPr>
        <w:ind w:right="200"/>
        <w:spacing w:after="0" w:line="249" w:lineRule="auto"/>
        <w:rPr>
          <w:sz w:val="20"/>
          <w:szCs w:val="20"/>
          <w:color w:val="auto"/>
        </w:rPr>
      </w:pPr>
      <w:r>
        <w:rPr>
          <w:rFonts w:ascii="Times New Roman" w:cs="Times New Roman" w:eastAsia="Times New Roman" w:hAnsi="Times New Roman"/>
          <w:sz w:val="19"/>
          <w:szCs w:val="19"/>
          <w:color w:val="auto"/>
        </w:rPr>
        <w:t>have the potential to unlock new dimensions of multi-functionality and multi-target specificity in drug design. Our DARPin candidates have been extensively tested in preclinical studies and clinical trials, including in more than 2,500 patients, and have been observed to be highly active and generally well-tolerated. By harnessing DARPins’ intrinsic advantages and leveraging our two decades of experience and leadership with DARPins, we believe our DARPin platform can close the gap between small molecule and antibody medicines as a new therapeutic modality poised to offer clinical breakthroughs.</w:t>
      </w:r>
    </w:p>
    <w:p>
      <w:pPr>
        <w:spacing w:after="0" w:line="20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We were founded in 2004 by the inventors of our DARPin platform. Our senior management, which includes two of our company's co-founders, has significant prior experience in oncology, research, drug development and finance. Members of our team have served as senior executives at other well-established companies including Amgen, Bavarian Nordic, GSK, Genentech, J&amp;J, Novartis, Roche, and Tesaro. Additionally, our board of directors includes current and former senior executives of AbbVie, Biogen, Novartis, Roche and Takeda (Millennium Pharmaceuticals, Shire). We have collaboration agreements with Novartis and Orano Med, as well as other third party collaborators.</w:t>
      </w:r>
    </w:p>
    <w:p>
      <w:pPr>
        <w:spacing w:after="0" w:line="120"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8"/>
          <w:szCs w:val="18"/>
          <w:color w:val="auto"/>
        </w:rPr>
        <w:t>Our operations to date have focused upon organizing and staffing our company, business planning, raising capital, developing our DARPin platform and conducting research, preclinical studies and clinical trials with DARPin therapeutics. We do not have any products approved for sale.</w:t>
      </w:r>
    </w:p>
    <w:p>
      <w:pPr>
        <w:spacing w:after="0" w:line="7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For the year ended December 31, 2024, we incurred a negative net result, attributable to shareholders of CHF 54.0 million; for the year ended December 31, 2023, we incurred a negative net result, attributable to shareholders of CHF 62.0 million; and for the year ended December 31, 2022, we incurred a positive net result of CHF 117.9 million. As of December 31, 2024, we had cumulative losses of CHF 246.3 million.</w:t>
      </w:r>
    </w:p>
    <w:p>
      <w:pPr>
        <w:spacing w:after="0" w:line="9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color w:val="auto"/>
        </w:rPr>
        <w:t>From inception through December 31, 2024, we have received a total of CHF 446.2 million in funding from our major partnership agreements and we have obtained a total of CHF 338.1 million in nine equity financing rounds, net of cost of capital increases. Since November 2014, we have been listed on the SIX Swiss Exchange, or SIX, under the symbol “MOLN.” Since June 16, 2021, we have also been listed on the Nasdaq Global Select Market, under the symbol “MOLN.” As of December 31, 2024, we had cash and cash equivalents plus short-term time deposits of CHF 149.4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Macroeconomic Considerations</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inflation, the U.S. Federal Reserve and other financial regulatory agencies raising interest rates, political conditions, changes in trade policies and the geopolitical conflicts in Europe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Licensing and Collaboration Agreements</w:t>
      </w:r>
    </w:p>
    <w:p>
      <w:pPr>
        <w:spacing w:after="0" w:line="14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Research and Development Collaboration and Option Agreement with Orano Med in the area of Radio DARPin Therapies, or the Orano Med Agreement</w:t>
      </w:r>
    </w:p>
    <w:p>
      <w:pPr>
        <w:spacing w:after="0" w:line="8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On January 5, 2024 we announced we entered into a co-development agreement with Orano Med to co-develop 212Pb-based Radio Darpin Therapies (RDT). Under the terms of the co-development agreement, our previously disclosed RDT target DLL3 (delta-like ligand 3) will be included in the collaboration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24" w:name="page125"/>
    <w:bookmarkEnd w:id="124"/>
    <w:p>
      <w:pPr>
        <w:spacing w:after="0" w:line="272" w:lineRule="auto"/>
        <w:rPr>
          <w:sz w:val="20"/>
          <w:szCs w:val="20"/>
          <w:color w:val="auto"/>
        </w:rPr>
      </w:pPr>
      <w:r>
        <w:rPr>
          <w:rFonts w:ascii="Times New Roman" w:cs="Times New Roman" w:eastAsia="Times New Roman" w:hAnsi="Times New Roman"/>
          <w:sz w:val="18"/>
          <w:szCs w:val="18"/>
          <w:color w:val="auto"/>
        </w:rPr>
        <w:t>Orano Med. which was further amended in October 2024 to include four programs. In January 2025, we announced the expansion of our strategic collaboration to include the development of an additional six targeted alpha therapeutics candidates, representing a total of ten potential programs.Both companies are developing additional radioligand therapy candidates in partnership with other companies, with us having announced our first collaboration with Novartis in December 2021. DLL3 will be exclusively developed by Molecular Partners and Orano Med as a RDT target.</w:t>
      </w:r>
    </w:p>
    <w:p>
      <w:pPr>
        <w:spacing w:after="0" w:line="17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We maintain the option to explore DLL3 for targeted therapy outside of the radiotherapy space. Both companies have committed to sharing the cost of preclinical and clinical development, including for supply of their respective materials.</w:t>
      </w:r>
    </w:p>
    <w:p>
      <w:pPr>
        <w:spacing w:after="0" w:line="3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Novartis in the Area of DARPIN-Conjugated Radioligand Therapies, or the Novartis Radioligand Agreement</w:t>
      </w:r>
    </w:p>
    <w:p>
      <w:pPr>
        <w:spacing w:after="0" w:line="7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On December 14, 2021, we entered into the Novartis Radioligand Agreement with Novartis to develop DARPin-conjugated radioligand therapeutic candidates for oncology. In January 2022, we received a non-refundable upfront payment of $20 million (CHF 18.6 million) from Novartis. The full amount of the the upfront payment has now been recognized into revenue as the collaboration came to an end in the third quarter of 2024. As per contract terms, the research collaboration agreement comes to a close in March 2025.</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Novartis Option and Equity Rights Agreement</w:t>
      </w:r>
    </w:p>
    <w:p>
      <w:pPr>
        <w:spacing w:after="0" w:line="14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In October 2020, we entered into an agreement with Novartis, granting Novartis the exclusive option to in-license global rights in relation to MP0420 (ensovibep).</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Ensovibep License Agreement</w:t>
      </w:r>
    </w:p>
    <w:p>
      <w:pPr>
        <w:spacing w:after="0" w:line="16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In January 2022, following positive Phase 2 clinical trial results, Novartis exercised its option for ensovibep, triggering a milestone payment of CHF 150 million due to us, which was received in 2022. Relatedly, we were eligible to invoice Novartis CHF 13.1 million for other items related to ensovibep.</w:t>
      </w:r>
    </w:p>
    <w:p>
      <w:pPr>
        <w:spacing w:after="0" w:line="9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9"/>
          <w:szCs w:val="19"/>
          <w:color w:val="auto"/>
        </w:rPr>
        <w:t>In January 2023, Novartis informed us that it has submitted a request to withdraw, with an effective date of January 25, 2023, the Emergency Use Authorization (EUA) application from the FDA for ensovibep.</w:t>
      </w:r>
    </w:p>
    <w:p>
      <w:pPr>
        <w:spacing w:after="0" w:line="8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9"/>
          <w:szCs w:val="19"/>
          <w:color w:val="auto"/>
        </w:rPr>
        <w:t>On January 5, 2024, the Ensovibep License Agreement for the treatment of COVID-19 was terminated and Novartis has returned the rights to the ensovibep program to us. Clinical work on the ensovibep program ended in 2022 and the program remains terminated.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Reservation Agreement with the Swiss Federal Office of Public Health / Bundesamt für Gesundheit, or the FOPH Agreement</w:t>
      </w:r>
    </w:p>
    <w:p>
      <w:pPr>
        <w:spacing w:after="0" w:line="14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On August 11, 2020, we announced the reservation by the FOPH of a defined number of initial doses of our anti-COVID-19 candidate, MP0420. Under the terms of the agreement, we received a reservation fee that resulted in a contract liability of CHF 7.0 million. With the exercise of the option by Novartis in January 2022 and the subsequent assignment of the agreement to Novartis, we recognized the CHF 7.0 million contract liability as revenue in 2022. The agreement had no further financial impact in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Amgen, or the Amgen Collaboration Agreement</w:t>
      </w:r>
    </w:p>
    <w:p>
      <w:pPr>
        <w:spacing w:after="0" w:line="14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In December 2018, we entered into the Amgen Collaboration Agreement for the clinical development and commercialization of MP0310 / AMG 506. Under the agreement we received a non-refundable upfront payment of USD 50 million. Under the agreement, we granted to Amgen an exclusive worldwide, royalty-bearing, sublicensable license under our patents and know-how relating to MP0310 / AMG 506 to develop and commercialize MP0310 / AMG 506.</w:t>
      </w:r>
    </w:p>
    <w:p>
      <w:pPr>
        <w:spacing w:after="0" w:line="101" w:lineRule="exact"/>
        <w:rPr>
          <w:sz w:val="20"/>
          <w:szCs w:val="20"/>
          <w:color w:val="auto"/>
        </w:rPr>
      </w:pPr>
    </w:p>
    <w:p>
      <w:pPr>
        <w:ind w:right="1520"/>
        <w:spacing w:after="0" w:line="389" w:lineRule="auto"/>
        <w:rPr>
          <w:sz w:val="20"/>
          <w:szCs w:val="20"/>
          <w:color w:val="auto"/>
        </w:rPr>
      </w:pPr>
      <w:r>
        <w:rPr>
          <w:rFonts w:ascii="Times New Roman" w:cs="Times New Roman" w:eastAsia="Times New Roman" w:hAnsi="Times New Roman"/>
          <w:sz w:val="19"/>
          <w:szCs w:val="19"/>
          <w:color w:val="auto"/>
        </w:rPr>
        <w:t xml:space="preserve">In April 2022, Amgen informed us of its decision to return the global rights of MP0310 to us following a strategic pipeline review. </w:t>
      </w:r>
      <w:r>
        <w:rPr>
          <w:rFonts w:ascii="Times New Roman" w:cs="Times New Roman" w:eastAsia="Times New Roman" w:hAnsi="Times New Roman"/>
          <w:sz w:val="19"/>
          <w:szCs w:val="19"/>
          <w:b w:val="1"/>
          <w:bCs w:val="1"/>
          <w:color w:val="auto"/>
        </w:rPr>
        <w:t>Royalties and License Fees</w:t>
      </w:r>
    </w:p>
    <w:p>
      <w:pPr>
        <w:spacing w:after="0" w:line="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9"/>
          <w:szCs w:val="19"/>
          <w:color w:val="auto"/>
        </w:rPr>
        <w:t>We currently hold a non-exclusive perpetual license from the University of Zurich on patent applications and patents relating to Phage Display technology. The amount we are required to pay is CHF 10,000 per annum.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described above, we have entered into licensing and collaboration agreements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spacing w:after="0" w:line="10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9"/>
          <w:szCs w:val="19"/>
          <w:color w:val="auto"/>
        </w:rPr>
        <w:t>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4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9"/>
          <w:szCs w:val="19"/>
          <w:color w:val="auto"/>
        </w:rPr>
        <w:t>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w:t>
      </w:r>
    </w:p>
    <w:p>
      <w:pPr>
        <w:spacing w:after="0" w:line="9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Our operating expenses may vary substantially from period to period mainly driven by the timing of enrollment of patients in clinical trials and other research and development activities.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Research and development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Research and development expenses consist primarily of compensation and other expenses related to:</w:t>
      </w:r>
    </w:p>
    <w:p>
      <w:pPr>
        <w:spacing w:after="0" w:line="149" w:lineRule="exact"/>
        <w:rPr>
          <w:sz w:val="20"/>
          <w:szCs w:val="20"/>
          <w:color w:val="auto"/>
        </w:rPr>
      </w:pPr>
    </w:p>
    <w:p>
      <w:pPr>
        <w:ind w:left="300" w:hanging="299"/>
        <w:spacing w:after="0"/>
        <w:tabs>
          <w:tab w:leader="none" w:pos="3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development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126" w:name="page127"/>
    <w:bookmarkEnd w:id="126"/>
    <w:p>
      <w:pPr>
        <w:ind w:left="300" w:hanging="299"/>
        <w:spacing w:after="0"/>
        <w:tabs>
          <w:tab w:leader="none" w:pos="3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Preclinical studies and clinical trials of our product candidates, including the costs of manufacturing the product candidates;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services under our partnership agreements; and</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Attributable facility expenses, including depreciation and amortization of equipment and any intangible research and development assets.</w:t>
      </w:r>
    </w:p>
    <w:p>
      <w:pPr>
        <w:spacing w:after="0" w:line="13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9"/>
          <w:szCs w:val="19"/>
          <w:color w:val="auto"/>
        </w:rPr>
        <w:t>From inception through December 31, 2024, we cumulatively have spent approximately CHF 528 million on research and development activities which we classify as research and development expense for financial reporting purposes.</w:t>
      </w:r>
    </w:p>
    <w:p>
      <w:pPr>
        <w:spacing w:after="0" w:line="1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w:t>
      </w:r>
    </w:p>
    <w:p>
      <w:pPr>
        <w:spacing w:after="0" w:line="99" w:lineRule="exact"/>
        <w:rPr>
          <w:sz w:val="20"/>
          <w:szCs w:val="20"/>
          <w:color w:val="auto"/>
        </w:rPr>
      </w:pPr>
    </w:p>
    <w:p>
      <w:pPr>
        <w:ind w:left="300" w:hanging="299"/>
        <w:spacing w:after="0"/>
        <w:tabs>
          <w:tab w:leader="none" w:pos="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rate of progress, results and cost of our clinical trials, preclinical studies and other related activities;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products that we may develop;</w:t>
      </w:r>
    </w:p>
    <w:p>
      <w:pPr>
        <w:spacing w:after="0" w:line="160"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and characteristics of product candidates that we pursue;</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timing, and outcomes of regulatory approvals;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 and timing of establishing sales, marketing and distribution capabilities; and</w:t>
      </w:r>
    </w:p>
    <w:p>
      <w:pPr>
        <w:spacing w:after="0" w:line="136" w:lineRule="exact"/>
        <w:rPr>
          <w:rFonts w:ascii="Times New Roman" w:cs="Times New Roman" w:eastAsia="Times New Roman" w:hAnsi="Times New Roman"/>
          <w:sz w:val="19"/>
          <w:szCs w:val="19"/>
          <w:color w:val="auto"/>
        </w:rPr>
      </w:pPr>
    </w:p>
    <w:p>
      <w:pPr>
        <w:ind w:left="300" w:right="220" w:hanging="299"/>
        <w:spacing w:after="0" w:line="275" w:lineRule="auto"/>
        <w:tabs>
          <w:tab w:leader="none" w:pos="2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timing of any collaborative, licensing and other arrangements that we may establish, including any required milestone and royalty payments thereunder.</w:t>
      </w:r>
    </w:p>
    <w:p>
      <w:pPr>
        <w:spacing w:after="0" w:line="8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9"/>
          <w:szCs w:val="19"/>
          <w:color w:val="auto"/>
        </w:rPr>
        <w:t>A change in the outcome of any of these variables with respect to the development of any of our current or future product candidates could mean a significant change in the costs and timing associated with the development of such product candidates.</w:t>
      </w:r>
    </w:p>
    <w:p>
      <w:pPr>
        <w:spacing w:after="0" w:line="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 nomination to the development candidate stage. Included in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27" w:name="page128"/>
    <w:bookmarkEnd w:id="127"/>
    <w:p>
      <w:pPr>
        <w:ind w:right="740"/>
        <w:spacing w:after="0" w:line="275" w:lineRule="auto"/>
        <w:rPr>
          <w:sz w:val="20"/>
          <w:szCs w:val="20"/>
          <w:color w:val="auto"/>
        </w:rPr>
      </w:pPr>
      <w:r>
        <w:rPr>
          <w:rFonts w:ascii="Times New Roman" w:cs="Times New Roman" w:eastAsia="Times New Roman" w:hAnsi="Times New Roman"/>
          <w:sz w:val="19"/>
          <w:szCs w:val="19"/>
          <w:color w:val="auto"/>
        </w:rPr>
        <w:t>below are our external research and development expenses as well as external clinical and regulatory costs, presented by our most significant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06056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60565" cy="1587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c>
          <w:tcPr>
            <w:tcW w:w="1580" w:type="dxa"/>
            <w:vAlign w:val="bottom"/>
          </w:tcPr>
          <w:p>
            <w:pPr>
              <w:jc w:val="center"/>
              <w:ind w:right="67"/>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r>
      <w:tr>
        <w:trPr>
          <w:trHeight w:val="245"/>
        </w:trPr>
        <w:tc>
          <w:tcPr>
            <w:tcW w:w="6160" w:type="dxa"/>
            <w:vAlign w:val="bottom"/>
          </w:tcPr>
          <w:p>
            <w:pPr>
              <w:spacing w:after="0"/>
              <w:rPr>
                <w:sz w:val="21"/>
                <w:szCs w:val="21"/>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1580" w:type="dxa"/>
            <w:vAlign w:val="bottom"/>
          </w:tcPr>
          <w:p>
            <w:pPr>
              <w:jc w:val="center"/>
              <w:ind w:right="47"/>
              <w:spacing w:after="0"/>
              <w:rPr>
                <w:sz w:val="20"/>
                <w:szCs w:val="20"/>
                <w:color w:val="auto"/>
              </w:rPr>
            </w:pPr>
            <w:r>
              <w:rPr>
                <w:rFonts w:ascii="Times New Roman" w:cs="Times New Roman" w:eastAsia="Times New Roman" w:hAnsi="Times New Roman"/>
                <w:sz w:val="19"/>
                <w:szCs w:val="19"/>
                <w:b w:val="1"/>
                <w:bCs w:val="1"/>
                <w:color w:val="auto"/>
                <w:w w:val="98"/>
              </w:rPr>
              <w:t>ended</w:t>
            </w:r>
          </w:p>
        </w:tc>
      </w:tr>
      <w:tr>
        <w:trPr>
          <w:trHeight w:val="248"/>
        </w:trPr>
        <w:tc>
          <w:tcPr>
            <w:tcW w:w="6160" w:type="dxa"/>
            <w:vAlign w:val="bottom"/>
          </w:tcPr>
          <w:p>
            <w:pPr>
              <w:spacing w:after="0"/>
              <w:rPr>
                <w:sz w:val="21"/>
                <w:szCs w:val="21"/>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1580" w:type="dxa"/>
            <w:vAlign w:val="bottom"/>
          </w:tcPr>
          <w:p>
            <w:pPr>
              <w:jc w:val="center"/>
              <w:ind w:right="47"/>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r>
      <w:tr>
        <w:trPr>
          <w:trHeight w:val="245"/>
        </w:trPr>
        <w:tc>
          <w:tcPr>
            <w:tcW w:w="6160" w:type="dxa"/>
            <w:vAlign w:val="bottom"/>
          </w:tcPr>
          <w:p>
            <w:pPr>
              <w:spacing w:after="0"/>
              <w:rPr>
                <w:sz w:val="21"/>
                <w:szCs w:val="21"/>
                <w:color w:val="auto"/>
              </w:rPr>
            </w:pPr>
          </w:p>
        </w:tc>
        <w:tc>
          <w:tcPr>
            <w:tcW w:w="1560" w:type="dxa"/>
            <w:vAlign w:val="bottom"/>
          </w:tcPr>
          <w:p>
            <w:pPr>
              <w:jc w:val="center"/>
              <w:ind w:right="47"/>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140" w:type="dxa"/>
            <w:vAlign w:val="bottom"/>
          </w:tcPr>
          <w:p>
            <w:pPr>
              <w:spacing w:after="0"/>
              <w:rPr>
                <w:sz w:val="21"/>
                <w:szCs w:val="21"/>
                <w:color w:val="auto"/>
              </w:rPr>
            </w:pPr>
          </w:p>
        </w:tc>
        <w:tc>
          <w:tcPr>
            <w:tcW w:w="1560" w:type="dxa"/>
            <w:vAlign w:val="bottom"/>
          </w:tcPr>
          <w:p>
            <w:pPr>
              <w:jc w:val="center"/>
              <w:ind w:right="67"/>
              <w:spacing w:after="0"/>
              <w:rPr>
                <w:sz w:val="20"/>
                <w:szCs w:val="20"/>
                <w:color w:val="auto"/>
              </w:rPr>
            </w:pPr>
            <w:r>
              <w:rPr>
                <w:rFonts w:ascii="Times New Roman" w:cs="Times New Roman" w:eastAsia="Times New Roman" w:hAnsi="Times New Roman"/>
                <w:sz w:val="19"/>
                <w:szCs w:val="19"/>
                <w:b w:val="1"/>
                <w:bCs w:val="1"/>
                <w:color w:val="auto"/>
                <w:w w:val="94"/>
              </w:rPr>
              <w:t>2023</w:t>
            </w:r>
          </w:p>
        </w:tc>
        <w:tc>
          <w:tcPr>
            <w:tcW w:w="120" w:type="dxa"/>
            <w:vAlign w:val="bottom"/>
          </w:tcPr>
          <w:p>
            <w:pPr>
              <w:spacing w:after="0"/>
              <w:rPr>
                <w:sz w:val="21"/>
                <w:szCs w:val="21"/>
                <w:color w:val="auto"/>
              </w:rPr>
            </w:pPr>
          </w:p>
        </w:tc>
        <w:tc>
          <w:tcPr>
            <w:tcW w:w="1580" w:type="dxa"/>
            <w:vAlign w:val="bottom"/>
          </w:tcPr>
          <w:p>
            <w:pPr>
              <w:jc w:val="center"/>
              <w:ind w:right="47"/>
              <w:spacing w:after="0"/>
              <w:rPr>
                <w:sz w:val="20"/>
                <w:szCs w:val="20"/>
                <w:color w:val="auto"/>
              </w:rPr>
            </w:pPr>
            <w:r>
              <w:rPr>
                <w:rFonts w:ascii="Times New Roman" w:cs="Times New Roman" w:eastAsia="Times New Roman" w:hAnsi="Times New Roman"/>
                <w:sz w:val="19"/>
                <w:szCs w:val="19"/>
                <w:b w:val="1"/>
                <w:bCs w:val="1"/>
                <w:color w:val="auto"/>
                <w:w w:val="94"/>
              </w:rPr>
              <w:t>2022</w:t>
            </w:r>
          </w:p>
        </w:tc>
      </w:tr>
      <w:tr>
        <w:trPr>
          <w:trHeight w:val="33"/>
        </w:trPr>
        <w:tc>
          <w:tcPr>
            <w:tcW w:w="616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9"/>
        </w:trPr>
        <w:tc>
          <w:tcPr>
            <w:tcW w:w="6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in CHF thousands</w:t>
            </w:r>
          </w:p>
        </w:tc>
      </w:tr>
      <w:tr>
        <w:trPr>
          <w:trHeight w:val="33"/>
        </w:trPr>
        <w:tc>
          <w:tcPr>
            <w:tcW w:w="6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External research and development expense</w:t>
            </w:r>
          </w:p>
        </w:tc>
        <w:tc>
          <w:tcPr>
            <w:tcW w:w="1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46"/>
        </w:trPr>
        <w:tc>
          <w:tcPr>
            <w:tcW w:w="61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Legacy programs</w:t>
            </w: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157</w:t>
            </w:r>
          </w:p>
        </w:tc>
        <w:tc>
          <w:tcPr>
            <w:tcW w:w="140" w:type="dxa"/>
            <w:vAlign w:val="bottom"/>
          </w:tcPr>
          <w:p>
            <w:pPr>
              <w:spacing w:after="0"/>
              <w:rPr>
                <w:sz w:val="21"/>
                <w:szCs w:val="21"/>
                <w:color w:val="auto"/>
              </w:rPr>
            </w:pP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874</w:t>
            </w:r>
          </w:p>
        </w:tc>
        <w:tc>
          <w:tcPr>
            <w:tcW w:w="120" w:type="dxa"/>
            <w:vAlign w:val="bottom"/>
          </w:tcPr>
          <w:p>
            <w:pPr>
              <w:spacing w:after="0"/>
              <w:rPr>
                <w:sz w:val="21"/>
                <w:szCs w:val="21"/>
                <w:color w:val="auto"/>
              </w:rPr>
            </w:pPr>
          </w:p>
        </w:tc>
        <w:tc>
          <w:tcPr>
            <w:tcW w:w="15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3,904</w:t>
            </w:r>
          </w:p>
        </w:tc>
      </w:tr>
      <w:tr>
        <w:trPr>
          <w:trHeight w:val="33"/>
        </w:trPr>
        <w:tc>
          <w:tcPr>
            <w:tcW w:w="6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MP0317</w:t>
            </w:r>
          </w:p>
        </w:tc>
        <w:tc>
          <w:tcPr>
            <w:tcW w:w="15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1,573</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3,739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2,967</w:t>
            </w:r>
          </w:p>
        </w:tc>
      </w:tr>
      <w:tr>
        <w:trPr>
          <w:trHeight w:val="246"/>
        </w:trPr>
        <w:tc>
          <w:tcPr>
            <w:tcW w:w="61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MP0533</w:t>
            </w: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8,341</w:t>
            </w:r>
          </w:p>
        </w:tc>
        <w:tc>
          <w:tcPr>
            <w:tcW w:w="140" w:type="dxa"/>
            <w:vAlign w:val="bottom"/>
          </w:tcPr>
          <w:p>
            <w:pPr>
              <w:spacing w:after="0"/>
              <w:rPr>
                <w:sz w:val="21"/>
                <w:szCs w:val="21"/>
                <w:color w:val="auto"/>
              </w:rPr>
            </w:pP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5,609</w:t>
            </w:r>
          </w:p>
        </w:tc>
        <w:tc>
          <w:tcPr>
            <w:tcW w:w="120" w:type="dxa"/>
            <w:vAlign w:val="bottom"/>
          </w:tcPr>
          <w:p>
            <w:pPr>
              <w:spacing w:after="0"/>
              <w:rPr>
                <w:sz w:val="21"/>
                <w:szCs w:val="21"/>
                <w:color w:val="auto"/>
              </w:rPr>
            </w:pPr>
          </w:p>
        </w:tc>
        <w:tc>
          <w:tcPr>
            <w:tcW w:w="15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6,647</w:t>
            </w:r>
          </w:p>
        </w:tc>
      </w:tr>
      <w:tr>
        <w:trPr>
          <w:trHeight w:val="33"/>
        </w:trPr>
        <w:tc>
          <w:tcPr>
            <w:tcW w:w="6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MP0712</w:t>
            </w:r>
          </w:p>
        </w:tc>
        <w:tc>
          <w:tcPr>
            <w:tcW w:w="15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1,381</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61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RDT research</w:t>
            </w: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1,564</w:t>
            </w:r>
          </w:p>
        </w:tc>
        <w:tc>
          <w:tcPr>
            <w:tcW w:w="140" w:type="dxa"/>
            <w:vAlign w:val="bottom"/>
          </w:tcPr>
          <w:p>
            <w:pPr>
              <w:spacing w:after="0"/>
              <w:rPr>
                <w:sz w:val="21"/>
                <w:szCs w:val="21"/>
                <w:color w:val="auto"/>
              </w:rPr>
            </w:pP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1,571</w:t>
            </w:r>
          </w:p>
        </w:tc>
        <w:tc>
          <w:tcPr>
            <w:tcW w:w="120" w:type="dxa"/>
            <w:vAlign w:val="bottom"/>
          </w:tcPr>
          <w:p>
            <w:pPr>
              <w:spacing w:after="0"/>
              <w:rPr>
                <w:sz w:val="21"/>
                <w:szCs w:val="21"/>
                <w:color w:val="auto"/>
              </w:rPr>
            </w:pPr>
          </w:p>
        </w:tc>
        <w:tc>
          <w:tcPr>
            <w:tcW w:w="15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166</w:t>
            </w:r>
          </w:p>
        </w:tc>
      </w:tr>
      <w:tr>
        <w:trPr>
          <w:trHeight w:val="279"/>
        </w:trPr>
        <w:tc>
          <w:tcPr>
            <w:tcW w:w="61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research and development expense</w:t>
            </w: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5,244</w:t>
            </w:r>
          </w:p>
        </w:tc>
        <w:tc>
          <w:tcPr>
            <w:tcW w:w="140" w:type="dxa"/>
            <w:vAlign w:val="bottom"/>
          </w:tcPr>
          <w:p>
            <w:pPr>
              <w:spacing w:after="0"/>
              <w:rPr>
                <w:sz w:val="24"/>
                <w:szCs w:val="24"/>
                <w:color w:val="auto"/>
              </w:rPr>
            </w:pPr>
          </w:p>
        </w:tc>
        <w:tc>
          <w:tcPr>
            <w:tcW w:w="156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4,604</w:t>
            </w:r>
          </w:p>
        </w:tc>
        <w:tc>
          <w:tcPr>
            <w:tcW w:w="120" w:type="dxa"/>
            <w:vAlign w:val="bottom"/>
          </w:tcPr>
          <w:p>
            <w:pPr>
              <w:spacing w:after="0"/>
              <w:rPr>
                <w:sz w:val="24"/>
                <w:szCs w:val="24"/>
                <w:color w:val="auto"/>
              </w:rPr>
            </w:pPr>
          </w:p>
        </w:tc>
        <w:tc>
          <w:tcPr>
            <w:tcW w:w="15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4,856</w:t>
            </w:r>
          </w:p>
        </w:tc>
      </w:tr>
      <w:tr>
        <w:trPr>
          <w:trHeight w:val="33"/>
        </w:trPr>
        <w:tc>
          <w:tcPr>
            <w:tcW w:w="6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1"/>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5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18,260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16,397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18,540</w:t>
            </w:r>
          </w:p>
        </w:tc>
      </w:tr>
      <w:tr>
        <w:trPr>
          <w:trHeight w:val="20"/>
        </w:trPr>
        <w:tc>
          <w:tcPr>
            <w:tcW w:w="6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w:t>
      </w:r>
      <w:r>
        <w:rPr>
          <w:rFonts w:ascii="Times New Roman" w:cs="Times New Roman" w:eastAsia="Times New Roman" w:hAnsi="Times New Roman"/>
          <w:sz w:val="13"/>
          <w:szCs w:val="13"/>
          <w:color w:val="auto"/>
        </w:rPr>
        <w:t>Legacy programs refer to MP0250, MP0274, MP0310 and the COVID-19 related programs</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We charge all research and development expenses, including internal patent filing and patent maintenance costs, to research and development expenses when incurred, as the criteria for capitalization are currently not met.</w:t>
      </w:r>
    </w:p>
    <w:p>
      <w:pPr>
        <w:spacing w:after="0" w:line="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9"/>
          <w:szCs w:val="19"/>
          <w:color w:val="auto"/>
        </w:rPr>
        <w:t>Research and development costs incurred by either party in a collaboration agreement which qualifies as a joint operation are reported under research and development expenses. We may either receive an invoice from or issue an invoice to a collaboration partner, therefore the cost may include a reduction of cost if they are refunded by the collaboration partner.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5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both in Switzerland on the SIX and in the United States on Nasdaq.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Financial income and financial expenses</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Financial income consists primarily of interest earned on our cash and cash equivalents and short-term time deposits as well as realized and unrealized gains of foreign exchange. The financial expenses are driven by realized and unrealized foreign exchange losses and negative interest on certain cash balances.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 and taxation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4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8"/>
          <w:szCs w:val="18"/>
          <w:color w:val="auto"/>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i w:val="1"/>
          <w:iCs w:val="1"/>
          <w:color w:val="auto"/>
        </w:rPr>
        <w:t>Deferred taxes</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We are entitled under Swiss laws to carry forward any losses incurred for a period of seven years and can offset our losses carried forward against future taxes. As of December 31, 2024, in Switzerland, we had tax loss carry-forwards totaling CHF 195.1 million. No deferred tax assets have been recognized for these tax loss carry-forwards because as of December 31, 2024, it was not probable that such loss carry-forwards can be utilized in the foreseeable future. In addition, no deferred tax assets were recognized on other deductible temporary differences (e.g. pension liabilities) due to the significant tax losses carried forward.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Analysis of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Operations for the Years Ended December 31, 2024,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summaries of our statements of income for the years ended December 31, 2024, 2023 and 2022 (in thousands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693166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1660" cy="1587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For the year</w:t>
            </w:r>
          </w:p>
        </w:tc>
      </w:tr>
      <w:tr>
        <w:trPr>
          <w:trHeight w:val="215"/>
        </w:trPr>
        <w:tc>
          <w:tcPr>
            <w:tcW w:w="6540" w:type="dxa"/>
            <w:vAlign w:val="bottom"/>
          </w:tcPr>
          <w:p>
            <w:pPr>
              <w:spacing w:after="0"/>
              <w:rPr>
                <w:sz w:val="18"/>
                <w:szCs w:val="18"/>
                <w:color w:val="auto"/>
              </w:rPr>
            </w:pPr>
          </w:p>
        </w:tc>
        <w:tc>
          <w:tcPr>
            <w:tcW w:w="1500" w:type="dxa"/>
            <w:vAlign w:val="bottom"/>
            <w:gridSpan w:val="3"/>
          </w:tcPr>
          <w:p>
            <w:pPr>
              <w:jc w:val="center"/>
              <w:ind w:right="100"/>
              <w:spacing w:after="0" w:line="215" w:lineRule="exact"/>
              <w:rPr>
                <w:sz w:val="20"/>
                <w:szCs w:val="20"/>
                <w:color w:val="auto"/>
              </w:rPr>
            </w:pPr>
            <w:r>
              <w:rPr>
                <w:rFonts w:ascii="Times New Roman" w:cs="Times New Roman" w:eastAsia="Times New Roman" w:hAnsi="Times New Roman"/>
                <w:sz w:val="19"/>
                <w:szCs w:val="19"/>
                <w:b w:val="1"/>
                <w:bCs w:val="1"/>
                <w:color w:val="auto"/>
                <w:w w:val="98"/>
              </w:rPr>
              <w:t>ended</w:t>
            </w:r>
          </w:p>
        </w:tc>
        <w:tc>
          <w:tcPr>
            <w:tcW w:w="1500" w:type="dxa"/>
            <w:vAlign w:val="bottom"/>
            <w:gridSpan w:val="3"/>
          </w:tcPr>
          <w:p>
            <w:pPr>
              <w:jc w:val="center"/>
              <w:ind w:right="100"/>
              <w:spacing w:after="0" w:line="215" w:lineRule="exact"/>
              <w:rPr>
                <w:sz w:val="20"/>
                <w:szCs w:val="20"/>
                <w:color w:val="auto"/>
              </w:rPr>
            </w:pPr>
            <w:r>
              <w:rPr>
                <w:rFonts w:ascii="Times New Roman" w:cs="Times New Roman" w:eastAsia="Times New Roman" w:hAnsi="Times New Roman"/>
                <w:sz w:val="19"/>
                <w:szCs w:val="19"/>
                <w:b w:val="1"/>
                <w:bCs w:val="1"/>
                <w:color w:val="auto"/>
                <w:w w:val="98"/>
              </w:rPr>
              <w:t>ended</w:t>
            </w:r>
          </w:p>
        </w:tc>
        <w:tc>
          <w:tcPr>
            <w:tcW w:w="13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19"/>
                <w:szCs w:val="19"/>
                <w:b w:val="1"/>
                <w:bCs w:val="1"/>
                <w:color w:val="auto"/>
                <w:w w:val="94"/>
              </w:rPr>
              <w:t>ended</w:t>
            </w:r>
          </w:p>
        </w:tc>
      </w:tr>
      <w:tr>
        <w:trPr>
          <w:trHeight w:val="228"/>
        </w:trPr>
        <w:tc>
          <w:tcPr>
            <w:tcW w:w="654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r>
      <w:tr>
        <w:trPr>
          <w:trHeight w:val="245"/>
        </w:trPr>
        <w:tc>
          <w:tcPr>
            <w:tcW w:w="6540" w:type="dxa"/>
            <w:vAlign w:val="bottom"/>
          </w:tcPr>
          <w:p>
            <w:pPr>
              <w:spacing w:after="0"/>
              <w:rPr>
                <w:sz w:val="21"/>
                <w:szCs w:val="21"/>
                <w:color w:val="auto"/>
              </w:rPr>
            </w:pPr>
          </w:p>
        </w:tc>
        <w:tc>
          <w:tcPr>
            <w:tcW w:w="1240" w:type="dxa"/>
            <w:vAlign w:val="bottom"/>
          </w:tcPr>
          <w:p>
            <w:pPr>
              <w:jc w:val="center"/>
              <w:ind w:left="67"/>
              <w:spacing w:after="0"/>
              <w:rPr>
                <w:sz w:val="20"/>
                <w:szCs w:val="20"/>
                <w:color w:val="auto"/>
              </w:rPr>
            </w:pPr>
            <w:r>
              <w:rPr>
                <w:rFonts w:ascii="Times New Roman" w:cs="Times New Roman" w:eastAsia="Times New Roman" w:hAnsi="Times New Roman"/>
                <w:sz w:val="19"/>
                <w:szCs w:val="19"/>
                <w:b w:val="1"/>
                <w:bCs w:val="1"/>
                <w:color w:val="auto"/>
                <w:w w:val="94"/>
              </w:rPr>
              <w:t>2024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left="47"/>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ind w:left="67"/>
              <w:spacing w:after="0"/>
              <w:rPr>
                <w:sz w:val="20"/>
                <w:szCs w:val="20"/>
                <w:color w:val="auto"/>
              </w:rPr>
            </w:pPr>
            <w:r>
              <w:rPr>
                <w:rFonts w:ascii="Times New Roman" w:cs="Times New Roman" w:eastAsia="Times New Roman" w:hAnsi="Times New Roman"/>
                <w:sz w:val="19"/>
                <w:szCs w:val="19"/>
                <w:b w:val="1"/>
                <w:bCs w:val="1"/>
                <w:color w:val="auto"/>
                <w:w w:val="99"/>
              </w:rPr>
              <w:t>2022</w:t>
            </w:r>
          </w:p>
        </w:tc>
        <w:tc>
          <w:tcPr>
            <w:tcW w:w="160" w:type="dxa"/>
            <w:vAlign w:val="bottom"/>
          </w:tcPr>
          <w:p>
            <w:pPr>
              <w:spacing w:after="0"/>
              <w:rPr>
                <w:sz w:val="21"/>
                <w:szCs w:val="21"/>
                <w:color w:val="auto"/>
              </w:rPr>
            </w:pPr>
          </w:p>
        </w:tc>
      </w:tr>
      <w:tr>
        <w:trPr>
          <w:trHeight w:val="45"/>
        </w:trPr>
        <w:tc>
          <w:tcPr>
            <w:tcW w:w="654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221"/>
        </w:trPr>
        <w:tc>
          <w:tcPr>
            <w:tcW w:w="654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8"/>
              </w:rPr>
              <w:t>in CHF</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5"/>
              </w:rPr>
              <w:t>in CHF</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5"/>
              </w:rPr>
              <w:t>in CHF</w:t>
            </w:r>
          </w:p>
        </w:tc>
      </w:tr>
      <w:tr>
        <w:trPr>
          <w:trHeight w:val="255"/>
        </w:trPr>
        <w:tc>
          <w:tcPr>
            <w:tcW w:w="654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7"/>
              </w:rPr>
              <w:t>thousands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w w:val="97"/>
              </w:rPr>
              <w:t>thousands</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w w:val="97"/>
              </w:rPr>
              <w:t>thousands</w:t>
            </w:r>
          </w:p>
        </w:tc>
      </w:tr>
      <w:tr>
        <w:trPr>
          <w:trHeight w:val="26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Revenues and other income</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r>
      <w:tr>
        <w:trPr>
          <w:trHeight w:val="246"/>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Revenues from research and development collaborations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4,970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7,038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189,556</w:t>
            </w:r>
          </w:p>
        </w:tc>
        <w:tc>
          <w:tcPr>
            <w:tcW w:w="160" w:type="dxa"/>
            <w:vAlign w:val="bottom"/>
          </w:tcPr>
          <w:p>
            <w:pPr>
              <w:spacing w:after="0"/>
              <w:rPr>
                <w:sz w:val="21"/>
                <w:szCs w:val="21"/>
                <w:color w:val="auto"/>
              </w:rPr>
            </w:pPr>
          </w:p>
        </w:tc>
      </w:tr>
      <w:tr>
        <w:trPr>
          <w:trHeight w:val="33"/>
        </w:trPr>
        <w:tc>
          <w:tcPr>
            <w:tcW w:w="6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Other income</w:t>
            </w:r>
          </w:p>
        </w:tc>
        <w:tc>
          <w:tcPr>
            <w:tcW w:w="15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revenues and other income</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4,970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7,038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189,600</w:t>
            </w:r>
          </w:p>
        </w:tc>
        <w:tc>
          <w:tcPr>
            <w:tcW w:w="16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expenses</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6"/>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Research and development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(50,749)</w:t>
            </w:r>
          </w:p>
        </w:tc>
        <w:tc>
          <w:tcPr>
            <w:tcW w:w="160" w:type="dxa"/>
            <w:vAlign w:val="bottom"/>
          </w:tcPr>
          <w:p>
            <w:pPr>
              <w:spacing w:after="0"/>
              <w:rPr>
                <w:sz w:val="21"/>
                <w:szCs w:val="21"/>
                <w:color w:val="auto"/>
              </w:rPr>
            </w:pPr>
          </w:p>
        </w:tc>
      </w:tr>
      <w:tr>
        <w:trPr>
          <w:trHeight w:val="33"/>
        </w:trPr>
        <w:tc>
          <w:tcPr>
            <w:tcW w:w="6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(17,583)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(19,362)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(22,238)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operating expenses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(66,187)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(68,146)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(72,987)</w:t>
            </w:r>
          </w:p>
        </w:tc>
        <w:tc>
          <w:tcPr>
            <w:tcW w:w="160" w:type="dxa"/>
            <w:vAlign w:val="bottom"/>
          </w:tcPr>
          <w:p>
            <w:pPr>
              <w:spacing w:after="0"/>
              <w:rPr>
                <w:sz w:val="20"/>
                <w:szCs w:val="20"/>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1"/>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Operating result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(61,217)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(61,108)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116,613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6"/>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Financial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1,859</w:t>
            </w:r>
          </w:p>
        </w:tc>
        <w:tc>
          <w:tcPr>
            <w:tcW w:w="160" w:type="dxa"/>
            <w:vAlign w:val="bottom"/>
          </w:tcPr>
          <w:p>
            <w:pPr>
              <w:spacing w:after="0"/>
              <w:rPr>
                <w:sz w:val="21"/>
                <w:szCs w:val="21"/>
                <w:color w:val="auto"/>
              </w:rPr>
            </w:pPr>
          </w:p>
        </w:tc>
      </w:tr>
      <w:tr>
        <w:trPr>
          <w:trHeight w:val="33"/>
        </w:trPr>
        <w:tc>
          <w:tcPr>
            <w:tcW w:w="6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Financial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(5,155)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Result before income taxes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(54,041)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(61,984)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117,853</w:t>
            </w:r>
          </w:p>
        </w:tc>
        <w:tc>
          <w:tcPr>
            <w:tcW w:w="160" w:type="dxa"/>
            <w:vAlign w:val="bottom"/>
          </w:tcPr>
          <w:p>
            <w:pPr>
              <w:spacing w:after="0"/>
              <w:rPr>
                <w:sz w:val="20"/>
                <w:szCs w:val="20"/>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1"/>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Income taxes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Net result, attributable to shareholders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(54,043)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(61,984)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117,853</w:t>
            </w:r>
          </w:p>
        </w:tc>
        <w:tc>
          <w:tcPr>
            <w:tcW w:w="160" w:type="dxa"/>
            <w:vAlign w:val="bottom"/>
          </w:tcPr>
          <w:p>
            <w:pPr>
              <w:spacing w:after="0"/>
              <w:rPr>
                <w:sz w:val="20"/>
                <w:szCs w:val="20"/>
                <w:color w:val="auto"/>
              </w:rPr>
            </w:pPr>
          </w:p>
        </w:tc>
      </w:tr>
      <w:tr>
        <w:trPr>
          <w:trHeight w:val="33"/>
        </w:trPr>
        <w:tc>
          <w:tcPr>
            <w:tcW w:w="6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 and other income</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the year ended December 31, 2024, we recognized total revenues and other income of CHF 5.0 million, a decrease of CHF 2.0 million compared to the previous year. Revenues in both years were exclusively driven by the Novartis collaboration agreement for radioligand therapies. The revenue recognition under this agreement concluded in the third quarter of 2024. The revenue in 2022 largely related to the Novartis Option and Equity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1330"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 (including depreciation and amortization)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year ended December 31, 2024, total operating expenses decreased by CHF 1.9 million to CHF 66.2 million (2023: CHF 68.1 million,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CHF 73.0 million). These costs included CHF 3.4 million in non-cash effective share-based compensation and pension costs as well as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CHF 2.4 million in depreciation. The two major expense categories were consistently personnel expenses of CHF 37.7 million (57% of total operating expenses) and research consumables and project costs totaling CHF 17.5 million (26% of total operating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research and development expenses in the year ended December 31, 2024, were CHF 48.6 million (2023: CHF 48.7 million, 2022:</w:t>
      </w:r>
    </w:p>
    <w:p>
      <w:pPr>
        <w:spacing w:after="0" w:line="1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9"/>
          <w:szCs w:val="19"/>
          <w:color w:val="auto"/>
        </w:rPr>
        <w:t>CHF 50.7 million), which remained largely consistent. We charge all research and development expenses, including internal patent filing and patent maintenance costs, to the statement of operations when incurred.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expenses</w:t>
      </w:r>
    </w:p>
    <w:p>
      <w:pPr>
        <w:spacing w:after="0" w:line="142"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9"/>
          <w:szCs w:val="19"/>
          <w:color w:val="auto"/>
        </w:rPr>
        <w:t>Total selling, general and administrative expenses in the year ended December 31, 2024, decreased by CHF 1.8 million (9%) to CHF 17.6 million (2023: CHF 19.4 million, 2022: CHF 22.3 million), mainly reflecting reductions in Directors and Officers insurance costs and professional service costs.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Financial income / financial expense</w:t>
      </w:r>
    </w:p>
    <w:p>
      <w:pPr>
        <w:spacing w:after="0" w:line="14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In the year ended December 31, 2024, we recorded a net financial gain of CHF 7.2 million, mainly driven by interest income and exchange gains on the cash and cash equivalent positions held in foreign currencies together with interest income. In 2023, there was a net financial loss of</w:t>
      </w:r>
    </w:p>
    <w:p>
      <w:pPr>
        <w:spacing w:after="0" w:line="1" w:lineRule="exact"/>
        <w:rPr>
          <w:sz w:val="20"/>
          <w:szCs w:val="20"/>
          <w:color w:val="auto"/>
        </w:rPr>
      </w:pPr>
    </w:p>
    <w:p>
      <w:pPr>
        <w:ind w:right="1580"/>
        <w:spacing w:after="0" w:line="385" w:lineRule="auto"/>
        <w:rPr>
          <w:sz w:val="20"/>
          <w:szCs w:val="20"/>
          <w:color w:val="auto"/>
        </w:rPr>
      </w:pPr>
      <w:r>
        <w:rPr>
          <w:rFonts w:ascii="Times New Roman" w:cs="Times New Roman" w:eastAsia="Times New Roman" w:hAnsi="Times New Roman"/>
          <w:sz w:val="19"/>
          <w:szCs w:val="19"/>
          <w:color w:val="auto"/>
        </w:rPr>
        <w:t xml:space="preserve">CHF 0.9 million also mainly driven by interest income and foreign exchange losses (2022: net financial gain of CHF 1.2 million). </w:t>
      </w:r>
      <w:r>
        <w:rPr>
          <w:rFonts w:ascii="Times New Roman" w:cs="Times New Roman" w:eastAsia="Times New Roman" w:hAnsi="Times New Roman"/>
          <w:sz w:val="19"/>
          <w:szCs w:val="19"/>
          <w:b w:val="1"/>
          <w:bCs w:val="1"/>
          <w:i w:val="1"/>
          <w:iCs w:val="1"/>
          <w:color w:val="auto"/>
        </w:rPr>
        <w:t>Income taxes</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 Swiss legal entity of the Company did not have to pay or accrue any income taxes during the reporting period, as the Company incurred a taxable loss in 2024. Including the net operating loss for the year ended December 31, 2024, the remaining tax losses of CHF 195.1 million may be used as tax loss carryforwards to offset future taxable income over a period of seven years. No deferred tax assets have been recognized for these tax loss carryforwards, because at December 31, 2024, we determined it was unlikely that such loss carryforwards could be utilized in the foreseeable future.</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Future taxable income in Switzerland will be subject to federal, cantonal and communal income taxes. The applicable income tax rate in Switzerland for the year ended December 31, 2024 was 19.3%.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Liquidity and Capital Resources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From inception through December 31, 2024, we have raised an aggregate of CHF 338.1 million of net proceeds from the sale of our ordinary shares to founders and investors and collected cash under our partnership agreements in an aggregate amount of CHF 446.2 million. Our primary uses of cash is to fund our ongoing research and development activities and other operating expenses. We currently have no ongoing material financing commitments, such as lines of credit or guarantees.</w:t>
      </w:r>
    </w:p>
    <w:p>
      <w:pPr>
        <w:spacing w:after="0" w:line="10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As of December 31, 2024, we had CHF 149.4 million in cash and cash equivalents and short-term time deposits. We are investing our cash in risk-free money market instruments in line with our treasury guidelines to accommodate our financial needs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28" w:right="359" w:bottom="1440" w:gutter="0" w:footer="0" w:header="0"/>
        </w:sectPr>
      </w:pPr>
    </w:p>
    <w:bookmarkStart w:id="130" w:name="page131"/>
    <w:bookmarkEnd w:id="130"/>
    <w:p>
      <w:pPr>
        <w:spacing w:after="0" w:line="249" w:lineRule="auto"/>
        <w:rPr>
          <w:sz w:val="20"/>
          <w:szCs w:val="20"/>
          <w:color w:val="auto"/>
        </w:rPr>
      </w:pPr>
      <w:r>
        <w:rPr>
          <w:rFonts w:ascii="Times New Roman" w:cs="Times New Roman" w:eastAsia="Times New Roman" w:hAnsi="Times New Roman"/>
          <w:sz w:val="19"/>
          <w:szCs w:val="19"/>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our June 2021 listing on the Nasdaq Global Select Market, we have and will continue to incur additional costs associated with operating as a public company in the United States. If we are unable to raise capital when needed or on attractive terms, we would be forced to delay, reduce or eliminate our research and development programs or future commercialization efforts.</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Comparison of cash and cash equivalents and short-term time deposits as of December 31, 2024, 2023 and 2022 and cash flows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06056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60565" cy="1587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8"/>
              </w:rPr>
              <w:t>As of and for the</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w w:val="98"/>
              </w:rPr>
              <w:t>As of and for the</w:t>
            </w:r>
          </w:p>
        </w:tc>
        <w:tc>
          <w:tcPr>
            <w:tcW w:w="1620" w:type="dxa"/>
            <w:vAlign w:val="bottom"/>
          </w:tcPr>
          <w:p>
            <w:pPr>
              <w:jc w:val="center"/>
              <w:ind w:right="67"/>
              <w:spacing w:after="0"/>
              <w:rPr>
                <w:sz w:val="20"/>
                <w:szCs w:val="20"/>
                <w:color w:val="auto"/>
              </w:rPr>
            </w:pPr>
            <w:r>
              <w:rPr>
                <w:rFonts w:ascii="Times New Roman" w:cs="Times New Roman" w:eastAsia="Times New Roman" w:hAnsi="Times New Roman"/>
                <w:sz w:val="19"/>
                <w:szCs w:val="19"/>
                <w:b w:val="1"/>
                <w:bCs w:val="1"/>
                <w:color w:val="auto"/>
                <w:w w:val="98"/>
              </w:rPr>
              <w:t>As of and for the</w:t>
            </w:r>
          </w:p>
        </w:tc>
      </w:tr>
      <w:tr>
        <w:trPr>
          <w:trHeight w:val="245"/>
        </w:trPr>
        <w:tc>
          <w:tcPr>
            <w:tcW w:w="600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6"/>
              </w:rPr>
              <w:t>year ended</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w w:val="96"/>
              </w:rPr>
              <w:t>year ended</w:t>
            </w:r>
          </w:p>
        </w:tc>
        <w:tc>
          <w:tcPr>
            <w:tcW w:w="1620" w:type="dxa"/>
            <w:vAlign w:val="bottom"/>
          </w:tcPr>
          <w:p>
            <w:pPr>
              <w:jc w:val="center"/>
              <w:ind w:right="67"/>
              <w:spacing w:after="0"/>
              <w:rPr>
                <w:sz w:val="20"/>
                <w:szCs w:val="20"/>
                <w:color w:val="auto"/>
              </w:rPr>
            </w:pPr>
            <w:r>
              <w:rPr>
                <w:rFonts w:ascii="Times New Roman" w:cs="Times New Roman" w:eastAsia="Times New Roman" w:hAnsi="Times New Roman"/>
                <w:sz w:val="19"/>
                <w:szCs w:val="19"/>
                <w:b w:val="1"/>
                <w:bCs w:val="1"/>
                <w:color w:val="auto"/>
                <w:w w:val="96"/>
              </w:rPr>
              <w:t>year ended</w:t>
            </w:r>
          </w:p>
        </w:tc>
      </w:tr>
      <w:tr>
        <w:trPr>
          <w:trHeight w:val="248"/>
        </w:trPr>
        <w:tc>
          <w:tcPr>
            <w:tcW w:w="6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1620" w:type="dxa"/>
            <w:vAlign w:val="bottom"/>
          </w:tcPr>
          <w:p>
            <w:pPr>
              <w:jc w:val="center"/>
              <w:ind w:right="87"/>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r>
      <w:tr>
        <w:trPr>
          <w:trHeight w:val="245"/>
        </w:trPr>
        <w:tc>
          <w:tcPr>
            <w:tcW w:w="600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7"/>
              </w:rPr>
              <w:t>December 31, 2024</w:t>
            </w:r>
          </w:p>
        </w:tc>
        <w:tc>
          <w:tcPr>
            <w:tcW w:w="1600" w:type="dxa"/>
            <w:vAlign w:val="bottom"/>
          </w:tcPr>
          <w:p>
            <w:pPr>
              <w:jc w:val="center"/>
              <w:ind w:right="47"/>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160" w:type="dxa"/>
            <w:vAlign w:val="bottom"/>
          </w:tcPr>
          <w:p>
            <w:pPr>
              <w:spacing w:after="0"/>
              <w:rPr>
                <w:sz w:val="21"/>
                <w:szCs w:val="21"/>
                <w:color w:val="auto"/>
              </w:rPr>
            </w:pPr>
          </w:p>
        </w:tc>
        <w:tc>
          <w:tcPr>
            <w:tcW w:w="1620" w:type="dxa"/>
            <w:vAlign w:val="bottom"/>
          </w:tcPr>
          <w:p>
            <w:pPr>
              <w:jc w:val="center"/>
              <w:ind w:right="67"/>
              <w:spacing w:after="0"/>
              <w:rPr>
                <w:sz w:val="20"/>
                <w:szCs w:val="20"/>
                <w:color w:val="auto"/>
              </w:rPr>
            </w:pPr>
            <w:r>
              <w:rPr>
                <w:rFonts w:ascii="Times New Roman" w:cs="Times New Roman" w:eastAsia="Times New Roman" w:hAnsi="Times New Roman"/>
                <w:sz w:val="19"/>
                <w:szCs w:val="19"/>
                <w:b w:val="1"/>
                <w:bCs w:val="1"/>
                <w:color w:val="auto"/>
                <w:w w:val="99"/>
              </w:rPr>
              <w:t>2022</w:t>
            </w:r>
          </w:p>
        </w:tc>
      </w:tr>
      <w:tr>
        <w:trPr>
          <w:trHeight w:val="33"/>
        </w:trPr>
        <w:tc>
          <w:tcPr>
            <w:tcW w:w="60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9"/>
        </w:trPr>
        <w:tc>
          <w:tcPr>
            <w:tcW w:w="600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8"/>
              </w:rPr>
              <w:t>in CHF thousands</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in CHF thousands</w:t>
            </w:r>
          </w:p>
        </w:tc>
      </w:tr>
      <w:tr>
        <w:trPr>
          <w:trHeight w:val="33"/>
        </w:trPr>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color w:val="auto"/>
              </w:rPr>
              <w:t>63,874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67,309</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color w:val="auto"/>
              </w:rPr>
              <w:t>87,946</w:t>
            </w:r>
          </w:p>
        </w:tc>
      </w:tr>
      <w:tr>
        <w:trPr>
          <w:trHeight w:val="246"/>
        </w:trPr>
        <w:tc>
          <w:tcPr>
            <w:tcW w:w="6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Short-term time deposits</w:t>
            </w: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85,565</w:t>
            </w:r>
          </w:p>
        </w:tc>
        <w:tc>
          <w:tcPr>
            <w:tcW w:w="120" w:type="dxa"/>
            <w:vAlign w:val="bottom"/>
          </w:tcPr>
          <w:p>
            <w:pPr>
              <w:spacing w:after="0"/>
              <w:rPr>
                <w:sz w:val="21"/>
                <w:szCs w:val="21"/>
                <w:color w:val="auto"/>
              </w:rPr>
            </w:pPr>
          </w:p>
        </w:tc>
        <w:tc>
          <w:tcPr>
            <w:tcW w:w="160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119,580</w:t>
            </w:r>
          </w:p>
        </w:tc>
        <w:tc>
          <w:tcPr>
            <w:tcW w:w="160" w:type="dxa"/>
            <w:vAlign w:val="bottom"/>
          </w:tcPr>
          <w:p>
            <w:pPr>
              <w:spacing w:after="0"/>
              <w:rPr>
                <w:sz w:val="21"/>
                <w:szCs w:val="21"/>
                <w:color w:val="auto"/>
              </w:rPr>
            </w:pP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161,198</w:t>
            </w:r>
          </w:p>
        </w:tc>
      </w:tr>
      <w:tr>
        <w:trPr>
          <w:trHeight w:val="33"/>
        </w:trPr>
        <w:tc>
          <w:tcPr>
            <w:tcW w:w="6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02"/>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b w:val="1"/>
                <w:bCs w:val="1"/>
                <w:color w:val="auto"/>
              </w:rPr>
              <w:t>149,438</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186,889</w:t>
            </w:r>
          </w:p>
        </w:tc>
        <w:tc>
          <w:tcPr>
            <w:tcW w:w="1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b w:val="1"/>
                <w:bCs w:val="1"/>
                <w:color w:val="auto"/>
              </w:rPr>
              <w:t>249,144</w:t>
            </w:r>
          </w:p>
        </w:tc>
      </w:tr>
      <w:tr>
        <w:trPr>
          <w:trHeight w:val="139"/>
        </w:trPr>
        <w:tc>
          <w:tcPr>
            <w:tcW w:w="6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5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cash (used in) from operating activities</w:t>
            </w:r>
          </w:p>
        </w:tc>
        <w:tc>
          <w:tcPr>
            <w:tcW w:w="16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9"/>
                <w:szCs w:val="19"/>
                <w:color w:val="auto"/>
              </w:rPr>
              <w:t>(59,248)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9"/>
                <w:szCs w:val="19"/>
                <w:color w:val="auto"/>
              </w:rPr>
              <w:t>(59,005)</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color w:val="auto"/>
              </w:rPr>
              <w:t>118,566</w:t>
            </w:r>
          </w:p>
        </w:tc>
      </w:tr>
      <w:tr>
        <w:trPr>
          <w:trHeight w:val="246"/>
        </w:trPr>
        <w:tc>
          <w:tcPr>
            <w:tcW w:w="6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cash from (used in) investing activities</w:t>
            </w: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40,486</w:t>
            </w:r>
          </w:p>
        </w:tc>
        <w:tc>
          <w:tcPr>
            <w:tcW w:w="120" w:type="dxa"/>
            <w:vAlign w:val="bottom"/>
          </w:tcPr>
          <w:p>
            <w:pPr>
              <w:spacing w:after="0"/>
              <w:rPr>
                <w:sz w:val="21"/>
                <w:szCs w:val="21"/>
                <w:color w:val="auto"/>
              </w:rPr>
            </w:pPr>
          </w:p>
        </w:tc>
        <w:tc>
          <w:tcPr>
            <w:tcW w:w="160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44,637</w:t>
            </w:r>
          </w:p>
        </w:tc>
        <w:tc>
          <w:tcPr>
            <w:tcW w:w="160" w:type="dxa"/>
            <w:vAlign w:val="bottom"/>
          </w:tcPr>
          <w:p>
            <w:pPr>
              <w:spacing w:after="0"/>
              <w:rPr>
                <w:sz w:val="21"/>
                <w:szCs w:val="21"/>
                <w:color w:val="auto"/>
              </w:rPr>
            </w:pPr>
          </w:p>
        </w:tc>
        <w:tc>
          <w:tcPr>
            <w:tcW w:w="162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(101,121)</w:t>
            </w:r>
          </w:p>
        </w:tc>
      </w:tr>
      <w:tr>
        <w:trPr>
          <w:trHeight w:val="33"/>
        </w:trPr>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Net cash from (used in) financing activities</w:t>
            </w:r>
          </w:p>
        </w:tc>
        <w:tc>
          <w:tcPr>
            <w:tcW w:w="1620" w:type="dxa"/>
            <w:vAlign w:val="bottom"/>
            <w:tcBorders>
              <w:bottom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9"/>
                <w:szCs w:val="19"/>
                <w:color w:val="auto"/>
              </w:rPr>
              <w:t>14,433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9"/>
                <w:szCs w:val="19"/>
                <w:color w:val="auto"/>
              </w:rPr>
              <w:t>(1,167)</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9"/>
                <w:szCs w:val="19"/>
                <w:color w:val="auto"/>
              </w:rPr>
              <w:t>(1,570)</w:t>
            </w:r>
          </w:p>
        </w:tc>
      </w:tr>
      <w:tr>
        <w:trPr>
          <w:trHeight w:val="246"/>
        </w:trPr>
        <w:tc>
          <w:tcPr>
            <w:tcW w:w="6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Exchange (loss) gain on cash positions</w:t>
            </w: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894</w:t>
            </w:r>
          </w:p>
        </w:tc>
        <w:tc>
          <w:tcPr>
            <w:tcW w:w="120" w:type="dxa"/>
            <w:vAlign w:val="bottom"/>
          </w:tcPr>
          <w:p>
            <w:pPr>
              <w:spacing w:after="0"/>
              <w:rPr>
                <w:sz w:val="21"/>
                <w:szCs w:val="21"/>
                <w:color w:val="auto"/>
              </w:rPr>
            </w:pPr>
          </w:p>
        </w:tc>
        <w:tc>
          <w:tcPr>
            <w:tcW w:w="160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(5,102)</w:t>
            </w:r>
          </w:p>
        </w:tc>
        <w:tc>
          <w:tcPr>
            <w:tcW w:w="160" w:type="dxa"/>
            <w:vAlign w:val="bottom"/>
          </w:tcPr>
          <w:p>
            <w:pPr>
              <w:spacing w:after="0"/>
              <w:rPr>
                <w:sz w:val="21"/>
                <w:szCs w:val="21"/>
                <w:color w:val="auto"/>
              </w:rPr>
            </w:pP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258</w:t>
            </w:r>
          </w:p>
        </w:tc>
      </w:tr>
      <w:tr>
        <w:trPr>
          <w:trHeight w:val="33"/>
        </w:trPr>
        <w:tc>
          <w:tcPr>
            <w:tcW w:w="6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39"/>
        </w:trPr>
        <w:tc>
          <w:tcPr>
            <w:tcW w:w="600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Net increase (decrease) in cash and cash equivalents</w:t>
            </w:r>
          </w:p>
        </w:tc>
        <w:tc>
          <w:tcPr>
            <w:tcW w:w="1620" w:type="dxa"/>
            <w:vAlign w:val="bottom"/>
          </w:tcPr>
          <w:p>
            <w:pPr>
              <w:jc w:val="right"/>
              <w:ind w:right="87"/>
              <w:spacing w:after="0"/>
              <w:rPr>
                <w:sz w:val="20"/>
                <w:szCs w:val="20"/>
                <w:color w:val="auto"/>
              </w:rPr>
            </w:pPr>
            <w:r>
              <w:rPr>
                <w:rFonts w:ascii="Times New Roman" w:cs="Times New Roman" w:eastAsia="Times New Roman" w:hAnsi="Times New Roman"/>
                <w:sz w:val="19"/>
                <w:szCs w:val="19"/>
                <w:b w:val="1"/>
                <w:bCs w:val="1"/>
                <w:color w:val="auto"/>
              </w:rPr>
              <w:t>(3,435)</w:t>
            </w:r>
          </w:p>
        </w:tc>
        <w:tc>
          <w:tcPr>
            <w:tcW w:w="120" w:type="dxa"/>
            <w:vAlign w:val="bottom"/>
          </w:tcPr>
          <w:p>
            <w:pPr>
              <w:spacing w:after="0"/>
              <w:rPr>
                <w:sz w:val="20"/>
                <w:szCs w:val="20"/>
                <w:color w:val="auto"/>
              </w:rPr>
            </w:pPr>
          </w:p>
        </w:tc>
        <w:tc>
          <w:tcPr>
            <w:tcW w:w="1600" w:type="dxa"/>
            <w:vAlign w:val="bottom"/>
          </w:tcPr>
          <w:p>
            <w:pPr>
              <w:jc w:val="right"/>
              <w:ind w:right="87"/>
              <w:spacing w:after="0"/>
              <w:rPr>
                <w:sz w:val="20"/>
                <w:szCs w:val="20"/>
                <w:color w:val="auto"/>
              </w:rPr>
            </w:pPr>
            <w:r>
              <w:rPr>
                <w:rFonts w:ascii="Times New Roman" w:cs="Times New Roman" w:eastAsia="Times New Roman" w:hAnsi="Times New Roman"/>
                <w:sz w:val="19"/>
                <w:szCs w:val="19"/>
                <w:b w:val="1"/>
                <w:bCs w:val="1"/>
                <w:color w:val="auto"/>
              </w:rPr>
              <w:t>(20,637)</w:t>
            </w:r>
          </w:p>
        </w:tc>
        <w:tc>
          <w:tcPr>
            <w:tcW w:w="160" w:type="dxa"/>
            <w:vAlign w:val="bottom"/>
          </w:tcPr>
          <w:p>
            <w:pPr>
              <w:spacing w:after="0"/>
              <w:rPr>
                <w:sz w:val="20"/>
                <w:szCs w:val="20"/>
                <w:color w:val="auto"/>
              </w:rPr>
            </w:pPr>
          </w:p>
        </w:tc>
        <w:tc>
          <w:tcPr>
            <w:tcW w:w="1620" w:type="dxa"/>
            <w:vAlign w:val="bottom"/>
          </w:tcPr>
          <w:p>
            <w:pPr>
              <w:jc w:val="right"/>
              <w:ind w:right="147"/>
              <w:spacing w:after="0"/>
              <w:rPr>
                <w:sz w:val="20"/>
                <w:szCs w:val="20"/>
                <w:color w:val="auto"/>
              </w:rPr>
            </w:pPr>
            <w:r>
              <w:rPr>
                <w:rFonts w:ascii="Times New Roman" w:cs="Times New Roman" w:eastAsia="Times New Roman" w:hAnsi="Times New Roman"/>
                <w:sz w:val="19"/>
                <w:szCs w:val="19"/>
                <w:b w:val="1"/>
                <w:bCs w:val="1"/>
                <w:color w:val="auto"/>
              </w:rPr>
              <w:t>16,133</w:t>
            </w:r>
          </w:p>
        </w:tc>
      </w:tr>
      <w:tr>
        <w:trPr>
          <w:trHeight w:val="33"/>
        </w:trPr>
        <w:tc>
          <w:tcPr>
            <w:tcW w:w="6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9"/>
          <w:szCs w:val="19"/>
          <w:color w:val="auto"/>
        </w:rPr>
        <w:t>All short-term time deposits at December 31, 2024 and 2023 were held with Swiss banks. Please refer to note 25 to our consolidated financial statements as of and for the year ended December 31, 2023 included elsewhere in this Annual Report on Form 20-F.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from (used in) operating activities</w:t>
      </w:r>
    </w:p>
    <w:p>
      <w:pPr>
        <w:spacing w:after="0" w:line="140"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9"/>
          <w:szCs w:val="19"/>
          <w:color w:val="auto"/>
        </w:rPr>
        <w:t>During the year ended December 31, 2024, operating activities used CHF 59.2 million of cash, primarily as a result of the negative net result attributable to shareholders of CHF 54.0 million.</w:t>
      </w:r>
    </w:p>
    <w:p>
      <w:pPr>
        <w:spacing w:after="0" w:line="82"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9"/>
          <w:szCs w:val="19"/>
          <w:color w:val="auto"/>
        </w:rPr>
        <w:t>During the year ended December 31, 2023, operating activities used CHF 59.0 million of cash, primarily as a result of the negative net result attributable to shareholders of CHF 62.0 million.</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During the year ended December 31, 2022, operating activities generated CHF 118.6 million of cash, primarily as a result of the positive net result attributable to shareholders of CHF 117.8 million together with a reduction in contract liability and an increase in trade and other receivables following the Novartis license and collaboration agreement signed in December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9"/>
          <w:szCs w:val="19"/>
          <w:i w:val="1"/>
          <w:iCs w:val="1"/>
          <w:color w:val="auto"/>
        </w:rPr>
        <w:t>Net cash used in investing activities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During the years ended December 31, 2024, 2023 and 2022, cash used in, or from investing activities primarily related to movements in investments in short-term time deposits. For the periods ending December 31, 2024 and 2023, we generated CHF 37.0 million, and CHF 41.6 million respectively. For the year ended December 31, 2022, we used CHF 100.2 million.</w:t>
      </w:r>
    </w:p>
    <w:p>
      <w:pPr>
        <w:spacing w:after="0" w:line="11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9"/>
          <w:szCs w:val="19"/>
          <w:color w:val="auto"/>
        </w:rPr>
        <w:t>During the years ended December 31, 2024, 2023 and 2022, we recorded a cash outflow for the acquisition of property, plant and equipment and intangible assets of CHF 0.7 million, CHF 0.8 million and CHF 1.4 million, respectively.</w:t>
      </w:r>
    </w:p>
    <w:p>
      <w:pPr>
        <w:spacing w:after="0" w:line="1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During the years ended December 31, 2024, 2023 and 2022, we recorded a cash inflow on interest received of CHF 4.2 million, CHF 3.8 million and CHF 0.5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from (used in) financing activities</w:t>
      </w:r>
    </w:p>
    <w:p>
      <w:pPr>
        <w:spacing w:after="0" w:line="15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9"/>
          <w:szCs w:val="19"/>
          <w:color w:val="auto"/>
        </w:rPr>
        <w:t>During the year ended December 31, 2024, net cash generated in financing activities was CHF 14.4 million, driven primarily by our capital raise in October 2024 and to a lesser extent by payments of our lease liabilities. During the year ended December 31, 2023, net cash used in financing activities was CHF 1.2 million, driven primarily by payments of our lease liabilities. During the year ended December 31, 2022, net cash used in financing activities was CHF 1.6 million, driven primarily by payments of our lease liabilities and the investment related to the creation of treasury shares.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29"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9"/>
          <w:szCs w:val="19"/>
          <w:color w:val="auto"/>
        </w:rPr>
        <w:t>Based on our current operating assumption, we believe that our existing cash and cash equivalents and short-term time deposits as of December 31, 2024 will be sufficient to fund our operating expenses and capital expenditure requirements well into 2027. However, our present and future funding requirements may change and will depend on many factors, including, among other things:</w:t>
      </w:r>
    </w:p>
    <w:p>
      <w:pPr>
        <w:spacing w:after="0" w:line="92" w:lineRule="exact"/>
        <w:rPr>
          <w:sz w:val="20"/>
          <w:szCs w:val="20"/>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timelines for preclinical and clinical development programs;</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change in product development plans needed to address any set-backs in our research and development activities;</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scope, prioritization and number of clinical trials and research and development activities;</w:t>
      </w:r>
    </w:p>
    <w:p>
      <w:pPr>
        <w:spacing w:after="0" w:line="148"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rate of progress and cost of the clinical trials, and other research and development activities;</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terms and timing of any collaborative, licensing and other arrangements that may be established;</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costs and timing of preparing, filing, prosecuting, maintaining, defending and enforcing patent claims and other intellectual property rights;</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the need or decision to acquire or license complementary compounds, technologies or complementary businesses or companies;</w:t>
      </w:r>
    </w:p>
    <w:p>
      <w:pPr>
        <w:spacing w:after="0" w:line="148"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regulatory approval, manufacturing or commercialization of our product candidates for which we receive marketing approval through partners;</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costs, timing and outcome of regulatory review of our product candidates;</w:t>
      </w:r>
    </w:p>
    <w:p>
      <w:pPr>
        <w:spacing w:after="0" w:line="136" w:lineRule="exact"/>
        <w:rPr>
          <w:rFonts w:ascii="Times New Roman" w:cs="Times New Roman" w:eastAsia="Times New Roman" w:hAnsi="Times New Roman"/>
          <w:sz w:val="19"/>
          <w:szCs w:val="19"/>
          <w:b w:val="1"/>
          <w:bCs w:val="1"/>
          <w:i w:val="1"/>
          <w:iCs w:val="1"/>
          <w:color w:val="auto"/>
        </w:rPr>
      </w:pPr>
    </w:p>
    <w:p>
      <w:pPr>
        <w:ind w:left="300" w:right="320" w:hanging="299"/>
        <w:spacing w:after="0" w:line="275" w:lineRule="auto"/>
        <w:tabs>
          <w:tab w:leader="none" w:pos="289" w:val="left"/>
        </w:tabs>
        <w:numPr>
          <w:ilvl w:val="0"/>
          <w:numId w:val="6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costs and timing of future commercialization activities, including drug manufacturing, marketing, sales and distribution, for any of our product candidates for which we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0" w:right="359" w:bottom="1440" w:gutter="0" w:footer="0" w:header="0"/>
        </w:sectPr>
      </w:pPr>
    </w:p>
    <w:bookmarkStart w:id="132" w:name="page133"/>
    <w:bookmarkEnd w:id="132"/>
    <w:p>
      <w:pPr>
        <w:ind w:left="300" w:hanging="299"/>
        <w:spacing w:after="0"/>
        <w:tabs>
          <w:tab w:leader="none" w:pos="300" w:val="left"/>
        </w:tabs>
        <w:numPr>
          <w:ilvl w:val="0"/>
          <w:numId w:val="6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changes in regulatory policies or laws that affect our operations; and</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6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competing medical treatment and market developments.</w:t>
      </w:r>
    </w:p>
    <w:p>
      <w:pPr>
        <w:spacing w:after="0" w:line="1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We expect our operating expenses to increase over the next several years as we expand our research and development activities. Until such time as we can generate significant revenue from product sales or royalties, if ever, we expect to finance our operations through a combination of public or private equity and debt financings or other sources, including payments upon achievement of certain development, regulatory and sales milestone events and royalty payments under our existing partnership agreements, and future collaborations with other third parties. To the extent that we raise additional capital through the sale of equity or convertible debt securities, our shareholders' ownership interest may be diluted, and the terms of any additional securities may include liquidation or other preferences that adversely affect the rights of our shareholders.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Research and Development, Patents and Licenses, etc.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 discussion of our research and development activities, see “Item 4.B-Business Overview” and “Item 5.A-Operating Results.”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Trend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 discussion of trends, see “Item 5.A-Operating Results” and “Item 5.B-Liquidity and Capital Resources.”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Critical Accounting Estimates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Directors, Senior Management and Employees.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Directors and Senior Management</w:t>
      </w:r>
      <w:r>
        <w:rPr>
          <w:rFonts w:ascii="Times New Roman" w:cs="Times New Roman" w:eastAsia="Times New Roman" w:hAnsi="Times New Roman"/>
          <w:sz w:val="19"/>
          <w:szCs w:val="19"/>
          <w:i w:val="1"/>
          <w:iCs w:val="1"/>
          <w:color w:val="auto"/>
        </w:rPr>
        <w:t>.</w:t>
      </w:r>
    </w:p>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The following table sets forth information regarding our executive officers, also referred to as members of the Management Board, and directors as of December 31, 2024. Unless otherwise stated, the business address for our directors and executive officers is c/o Molecular Partners AG, Wagistrasse 14, 8952 Schlieren,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45"/>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b w:val="1"/>
                <w:bCs w:val="1"/>
                <w:color w:val="auto"/>
                <w:w w:val="94"/>
              </w:rPr>
              <w:t>Age</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Position</w:t>
            </w:r>
          </w:p>
        </w:tc>
      </w:tr>
      <w:tr>
        <w:trPr>
          <w:trHeight w:val="33"/>
        </w:trPr>
        <w:tc>
          <w:tcPr>
            <w:tcW w:w="37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5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Executive Officers</w:t>
            </w:r>
          </w:p>
        </w:tc>
        <w:tc>
          <w:tcPr>
            <w:tcW w:w="21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1"/>
                <w:szCs w:val="21"/>
                <w:color w:val="auto"/>
              </w:rPr>
            </w:pP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Patrick Amstutz</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49</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Chief Executive Officer and Director</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Renate Gloggner</w:t>
            </w:r>
          </w:p>
        </w:tc>
        <w:tc>
          <w:tcPr>
            <w:tcW w:w="2140" w:type="dxa"/>
            <w:vAlign w:val="bottom"/>
            <w:tcBorders>
              <w:bottom w:val="single" w:sz="8" w:color="CCEEFF"/>
            </w:tcBorders>
            <w:shd w:val="clear" w:color="auto" w:fill="CCEEFF"/>
          </w:tcPr>
          <w:p>
            <w:pPr>
              <w:jc w:val="center"/>
              <w:ind w:left="1467"/>
              <w:spacing w:after="0"/>
              <w:rPr>
                <w:sz w:val="20"/>
                <w:szCs w:val="20"/>
                <w:color w:val="auto"/>
              </w:rPr>
            </w:pPr>
            <w:r>
              <w:rPr>
                <w:rFonts w:ascii="Times New Roman" w:cs="Times New Roman" w:eastAsia="Times New Roman" w:hAnsi="Times New Roman"/>
                <w:sz w:val="19"/>
                <w:szCs w:val="19"/>
                <w:color w:val="auto"/>
                <w:w w:val="94"/>
              </w:rPr>
              <w:t>54</w:t>
            </w: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EVP People and Community</w:t>
            </w: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Philippe Legenne</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59</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Chief Medical Officer</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Michael Tobias Stumpp</w:t>
            </w:r>
          </w:p>
        </w:tc>
        <w:tc>
          <w:tcPr>
            <w:tcW w:w="2140" w:type="dxa"/>
            <w:vAlign w:val="bottom"/>
            <w:tcBorders>
              <w:bottom w:val="single" w:sz="8" w:color="CCEEFF"/>
            </w:tcBorders>
            <w:shd w:val="clear" w:color="auto" w:fill="CCEEFF"/>
          </w:tcPr>
          <w:p>
            <w:pPr>
              <w:jc w:val="center"/>
              <w:ind w:left="1467"/>
              <w:spacing w:after="0"/>
              <w:rPr>
                <w:sz w:val="20"/>
                <w:szCs w:val="20"/>
                <w:color w:val="auto"/>
              </w:rPr>
            </w:pPr>
            <w:r>
              <w:rPr>
                <w:rFonts w:ascii="Times New Roman" w:cs="Times New Roman" w:eastAsia="Times New Roman" w:hAnsi="Times New Roman"/>
                <w:sz w:val="19"/>
                <w:szCs w:val="19"/>
                <w:color w:val="auto"/>
                <w:w w:val="94"/>
              </w:rPr>
              <w:t>52</w:t>
            </w: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EVP Projects</w:t>
            </w: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Alexander Zürcher</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49</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Chief Operating Officer</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Non-Employee Directors</w:t>
            </w:r>
          </w:p>
        </w:tc>
        <w:tc>
          <w:tcPr>
            <w:tcW w:w="21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2"/>
                <w:szCs w:val="22"/>
                <w:color w:val="auto"/>
              </w:rPr>
            </w:pP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William M. Burns</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77</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Chairman of the Board</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Agnete Fredriksen</w:t>
            </w:r>
          </w:p>
        </w:tc>
        <w:tc>
          <w:tcPr>
            <w:tcW w:w="2140" w:type="dxa"/>
            <w:vAlign w:val="bottom"/>
            <w:tcBorders>
              <w:bottom w:val="single" w:sz="8" w:color="CCEEFF"/>
            </w:tcBorders>
            <w:shd w:val="clear" w:color="auto" w:fill="CCEEFF"/>
          </w:tcPr>
          <w:p>
            <w:pPr>
              <w:jc w:val="center"/>
              <w:ind w:left="1467"/>
              <w:spacing w:after="0"/>
              <w:rPr>
                <w:sz w:val="20"/>
                <w:szCs w:val="20"/>
                <w:color w:val="auto"/>
              </w:rPr>
            </w:pPr>
            <w:r>
              <w:rPr>
                <w:rFonts w:ascii="Times New Roman" w:cs="Times New Roman" w:eastAsia="Times New Roman" w:hAnsi="Times New Roman"/>
                <w:sz w:val="19"/>
                <w:szCs w:val="19"/>
                <w:color w:val="auto"/>
                <w:w w:val="94"/>
              </w:rPr>
              <w:t>47</w:t>
            </w: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Director</w:t>
            </w: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Dominik Höchli</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57</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Director</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Steven H. Holtzman</w:t>
            </w:r>
          </w:p>
        </w:tc>
        <w:tc>
          <w:tcPr>
            <w:tcW w:w="2140" w:type="dxa"/>
            <w:vAlign w:val="bottom"/>
            <w:tcBorders>
              <w:bottom w:val="single" w:sz="8" w:color="CCEEFF"/>
            </w:tcBorders>
            <w:shd w:val="clear" w:color="auto" w:fill="CCEEFF"/>
          </w:tcPr>
          <w:p>
            <w:pPr>
              <w:jc w:val="center"/>
              <w:ind w:left="1467"/>
              <w:spacing w:after="0"/>
              <w:rPr>
                <w:sz w:val="20"/>
                <w:szCs w:val="20"/>
                <w:color w:val="auto"/>
              </w:rPr>
            </w:pPr>
            <w:r>
              <w:rPr>
                <w:rFonts w:ascii="Times New Roman" w:cs="Times New Roman" w:eastAsia="Times New Roman" w:hAnsi="Times New Roman"/>
                <w:sz w:val="19"/>
                <w:szCs w:val="19"/>
                <w:color w:val="auto"/>
                <w:w w:val="94"/>
              </w:rPr>
              <w:t>70</w:t>
            </w: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Director</w:t>
            </w: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Sandip Kapadia</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54</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Director</w:t>
            </w:r>
          </w:p>
        </w:tc>
      </w:tr>
      <w:tr>
        <w:trPr>
          <w:trHeight w:val="33"/>
        </w:trPr>
        <w:tc>
          <w:tcPr>
            <w:tcW w:w="37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Vito J. Palombella</w:t>
            </w:r>
          </w:p>
        </w:tc>
        <w:tc>
          <w:tcPr>
            <w:tcW w:w="2140" w:type="dxa"/>
            <w:vAlign w:val="bottom"/>
            <w:tcBorders>
              <w:bottom w:val="single" w:sz="8" w:color="CCEEFF"/>
            </w:tcBorders>
            <w:shd w:val="clear" w:color="auto" w:fill="CCEEFF"/>
          </w:tcPr>
          <w:p>
            <w:pPr>
              <w:jc w:val="center"/>
              <w:ind w:left="1467"/>
              <w:spacing w:after="0"/>
              <w:rPr>
                <w:sz w:val="20"/>
                <w:szCs w:val="20"/>
                <w:color w:val="auto"/>
              </w:rPr>
            </w:pPr>
            <w:r>
              <w:rPr>
                <w:rFonts w:ascii="Times New Roman" w:cs="Times New Roman" w:eastAsia="Times New Roman" w:hAnsi="Times New Roman"/>
                <w:sz w:val="19"/>
                <w:szCs w:val="19"/>
                <w:color w:val="auto"/>
                <w:w w:val="94"/>
              </w:rPr>
              <w:t>62</w:t>
            </w: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9"/>
                <w:szCs w:val="19"/>
                <w:color w:val="auto"/>
              </w:rPr>
              <w:t>Director</w:t>
            </w:r>
          </w:p>
        </w:tc>
      </w:tr>
      <w:tr>
        <w:trPr>
          <w:trHeight w:val="246"/>
        </w:trPr>
        <w:tc>
          <w:tcPr>
            <w:tcW w:w="37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Michael Vasconcelles</w:t>
            </w:r>
          </w:p>
        </w:tc>
        <w:tc>
          <w:tcPr>
            <w:tcW w:w="2140" w:type="dxa"/>
            <w:vAlign w:val="bottom"/>
          </w:tcPr>
          <w:p>
            <w:pPr>
              <w:jc w:val="center"/>
              <w:ind w:left="1467"/>
              <w:spacing w:after="0"/>
              <w:rPr>
                <w:sz w:val="20"/>
                <w:szCs w:val="20"/>
                <w:color w:val="auto"/>
              </w:rPr>
            </w:pPr>
            <w:r>
              <w:rPr>
                <w:rFonts w:ascii="Times New Roman" w:cs="Times New Roman" w:eastAsia="Times New Roman" w:hAnsi="Times New Roman"/>
                <w:sz w:val="19"/>
                <w:szCs w:val="19"/>
                <w:color w:val="auto"/>
                <w:w w:val="94"/>
              </w:rPr>
              <w:t>61</w:t>
            </w:r>
          </w:p>
        </w:tc>
        <w:tc>
          <w:tcPr>
            <w:tcW w:w="534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Director</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876935</wp:posOffset>
            </wp:positionV>
            <wp:extent cx="71405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Officers</w:t>
      </w:r>
    </w:p>
    <w:p>
      <w:pPr>
        <w:spacing w:after="0" w:line="14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Dr. Patrick Amstutz, Ph.D</w:t>
      </w:r>
      <w:r>
        <w:rPr>
          <w:rFonts w:ascii="Times New Roman" w:cs="Times New Roman" w:eastAsia="Times New Roman" w:hAnsi="Times New Roman"/>
          <w:sz w:val="19"/>
          <w:szCs w:val="19"/>
          <w:color w:val="auto"/>
        </w:rPr>
        <w:t>., one of our founders, has served as our Chief Executive Officer since November 2016, as an executive director since 2017</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as a member of the Company’s management team since its inception in 2004. Previously, he served as our Chief Operating Officer from 2014 to 2016 and as our Chief Business Officer from 2006 to 2014. From 2017 to 2022, Dr. Amstutz served as Vice-President of the Board of the Swiss Biotech Association and, since 2022, has served as President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spacing w:after="0" w:line="9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Renate Gloggner </w:t>
      </w:r>
      <w:r>
        <w:rPr>
          <w:rFonts w:ascii="Times New Roman" w:cs="Times New Roman" w:eastAsia="Times New Roman" w:hAnsi="Times New Roman"/>
          <w:sz w:val="18"/>
          <w:szCs w:val="18"/>
          <w:color w:val="auto"/>
        </w:rPr>
        <w:t>has served as EVP People and Community and a Member of the Management Board of Molecular Partners since July 2022. She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the Company in October 2021. Prior to joining Molecular Partners, Renate held European and International Human Resource leadership positions at two US companies, Global Blood Therapeutics and Tesaro Bio. In both companies, she built strong teams with an engaging culture in the European headquarter as well as in several European countries, allowing these teams to successfully gain market access and launch products. Renate began her career in biotech at Biogen and Amgen working in a variety of HR roles in the international headquarter as well as in country roles. She holds an MBA from the University of Bern, Switzerland and an executive coaching degree from the University of the West of England, Bristol.</w:t>
      </w:r>
    </w:p>
    <w:p>
      <w:pPr>
        <w:spacing w:after="0" w:line="8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Dr. Philippe Legenne, M.D.</w:t>
      </w:r>
      <w:r>
        <w:rPr>
          <w:rFonts w:ascii="Times New Roman" w:cs="Times New Roman" w:eastAsia="Times New Roman" w:hAnsi="Times New Roman"/>
          <w:sz w:val="18"/>
          <w:szCs w:val="18"/>
          <w:color w:val="auto"/>
        </w:rPr>
        <w:t>, has served as our Chief Medical Officer since September 2024 and prior as acting Chief Medical Officer from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August 2024. Prior to this role, he served as VP Global Clinical Development and External Scientific Relations, where he oversaw global clinical development strategy and implementation of Molecular Partners’ portfolio, with a main focus in hemotology and immuno-oncology. Dr. Legenne has also previously served as VP Global Medical Affairs and External Scientific Relations. Prior to joining Molecular Partners, Dr. Legenne served as Executive Medical Director at Amgen from April 2016 to September 2019, where he served as the oncology-hematology and Biosimilars TA head. Dr. Legenne holds an MBA from the ESSEC Business School and an M.D. from the Faculte de Medecine de Lille.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34" w:name="page135"/>
    <w:bookmarkEnd w:id="134"/>
    <w:p>
      <w:pPr>
        <w:ind w:right="12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Dr. Michael Tobias Stumpp, Ph.D</w:t>
      </w:r>
      <w:r>
        <w:rPr>
          <w:rFonts w:ascii="Times New Roman" w:cs="Times New Roman" w:eastAsia="Times New Roman" w:hAnsi="Times New Roman"/>
          <w:sz w:val="19"/>
          <w:szCs w:val="19"/>
          <w:color w:val="auto"/>
        </w:rPr>
        <w:t>., one of our founders, has served as EVP Projects and a Member of the Management Board of Molecular Partners.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Michael is a co-founder of Molecular Partners and was part of the team that invented the DARPin technology. Michael previously served as Chief Scientific Officer of Molecular Partners, in which capacity he oversaw development of the DARPin pipeline. He started his scientific career at the ETH Zurich and then progressed to the Imperial College London and the Tokyo Institute of Technology. Michael has published his research in many international, peer-reviewed scientific journals and presented his findings at numerous congresses.</w:t>
      </w:r>
    </w:p>
    <w:p>
      <w:pPr>
        <w:spacing w:after="0" w:line="11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Alexander Zürcher </w:t>
      </w:r>
      <w:r>
        <w:rPr>
          <w:rFonts w:ascii="Times New Roman" w:cs="Times New Roman" w:eastAsia="Times New Roman" w:hAnsi="Times New Roman"/>
          <w:sz w:val="19"/>
          <w:szCs w:val="19"/>
          <w:color w:val="auto"/>
        </w:rPr>
        <w:t>has served as Chief Operating Officer and a Member of the Management Board of Molecular Partners since 2022. Prior to this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role, he served as SVP of Development, where he oversaw project and portfolio management, manufacturing, pharmacology, and quality assurance activities. Alexander has also previously been VP Operations and Director of CMC. He has more than 20 years of industry experience, with prior work in drug development as Director of Drug Product Development at Cytos Biotechnology and Head of R&amp;D Operations at Spirig Pharma. Alexander holds a M.Sc. degree in Biology from the University of Basel, as well as a Certificate of Advanced Studies in Business Management from the University of Zurich.</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Non-Employee Directors</w:t>
      </w:r>
    </w:p>
    <w:p>
      <w:pPr>
        <w:spacing w:after="0" w:line="13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William M. Burns </w:t>
      </w:r>
      <w:r>
        <w:rPr>
          <w:rFonts w:ascii="Times New Roman" w:cs="Times New Roman" w:eastAsia="Times New Roman" w:hAnsi="Times New Roman"/>
          <w:sz w:val="19"/>
          <w:szCs w:val="19"/>
          <w:color w:val="auto"/>
        </w:rPr>
        <w:t>has served as Chairman of our board of directors since April 2018 and a director since October 2017. His professional career has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been spent in the Life Sciences sector. His career in Roche took him to CEO of the Pharma Division and to the Boards of Genentech and Chugai. From 2010 to 2014 he also served as a Non-Executive Director of F Hoffmann La Roche. He is currently chair of Vestergaard sarl, vice chair of Mesoblast in Australia and is a Trustee of the Institute of Cancer Research in London. He also serves on a Cancer Advisory board to the Universities of Aachen/Bonn/Cologne and Dusseldorf. Mr. Burns holds an honors degree in economics from the University of Strathclyde, Glasgow, Scotland. Our board of directors believes that Mr. Burns' experience with the healthcare and pharmaceutical industries and his broad management experience provide him with the qualifications and skills to serve as a director.</w:t>
      </w:r>
    </w:p>
    <w:p>
      <w:pPr>
        <w:spacing w:after="0" w:line="9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Agnete Fredriksen </w:t>
      </w:r>
      <w:r>
        <w:rPr>
          <w:rFonts w:ascii="Times New Roman" w:cs="Times New Roman" w:eastAsia="Times New Roman" w:hAnsi="Times New Roman"/>
          <w:sz w:val="19"/>
          <w:szCs w:val="19"/>
          <w:color w:val="auto"/>
        </w:rPr>
        <w:t>has served as a director since April 2021. Dr. Fredriksen has served as a co-founder and chief scientific officer of Nykode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Therapeutics AS (formerly Vaccibody AS) since April 2024. Before serving as co-founder and chief scientific officer, she served as chief business officer from August 2022 to March 2024, as chief innovation and strategy officer from June 2021 to July 2022 and as president and chief scientific officer from 2017 to June 2021. Nykode Therapeutics is a clinical-stage biopharmaceutical company dedicated to the discovery and development of novel immunotherapies for cancer and infectious diseases. Prior to founding Vaccibody 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spacing w:after="0" w:line="12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Dominik Höchli </w:t>
      </w:r>
      <w:r>
        <w:rPr>
          <w:rFonts w:ascii="Times New Roman" w:cs="Times New Roman" w:eastAsia="Times New Roman" w:hAnsi="Times New Roman"/>
          <w:sz w:val="19"/>
          <w:szCs w:val="19"/>
          <w:color w:val="auto"/>
        </w:rPr>
        <w:t>has served as a director since April 2021. He has more than 20 years of experience as a marketing and medical affairs executive.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Since spring 2021 he is the CEO of Catapult Therapeutics, a clinical stage biotech company in the Netherlands. Previously he worked at AbbVie as Vice President, Head of Global Medical Affairs and member of the R&amp;D and the Commercial leadership team. He led global product launches for major blockbuster products, including HUMIRA, Maviret, Venetoclax and Skyrizi, and his leadership experience ranges from smaller country organizations to large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35" w:name="page136"/>
    <w:bookmarkEnd w:id="135"/>
    <w:p>
      <w:pPr>
        <w:ind w:right="360"/>
        <w:spacing w:after="0" w:line="256" w:lineRule="auto"/>
        <w:rPr>
          <w:sz w:val="20"/>
          <w:szCs w:val="20"/>
          <w:color w:val="auto"/>
        </w:rPr>
      </w:pPr>
      <w:r>
        <w:rPr>
          <w:rFonts w:ascii="Times New Roman" w:cs="Times New Roman" w:eastAsia="Times New Roman" w:hAnsi="Times New Roman"/>
          <w:sz w:val="19"/>
          <w:szCs w:val="19"/>
          <w:color w:val="auto"/>
        </w:rPr>
        <w:t>functions. He began his corporate career at McKinsey &amp; Co. Dr. Höchli is a Swiss national and obtained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r>
    </w:p>
    <w:p>
      <w:pPr>
        <w:spacing w:after="0" w:line="9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Steven H. Holtzman </w:t>
      </w:r>
      <w:r>
        <w:rPr>
          <w:rFonts w:ascii="Times New Roman" w:cs="Times New Roman" w:eastAsia="Times New Roman" w:hAnsi="Times New Roman"/>
          <w:sz w:val="19"/>
          <w:szCs w:val="19"/>
          <w:color w:val="auto"/>
        </w:rPr>
        <w:t>has served as a director since May 2014. He has served as chair of the board of directors of, and strategic business advisor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CAMP4 Therapeutics Corporation, a private biopharmaceutical company, since October 2019, executive chair of the board of directors of, and a strategic business advisor to, Qihan Biotech, a private biopharmaceutical company, since April 2019, as executive chair of the board of directors of Manifold Bio, a private biopharmaceutical company, since January 2024, and as a founder, a strategic business advisor, and a member and the lead independent director of the board of directors of Shoreline Bio, a private biopharmaceutical company, since June 2020. From June 2016 to January 2020, Mr. Holtzman was the first President and Chief Executive Officer and a member of the board of directors of Decibel Therapeutics, Inc., a public biopharmaceutical company. From January 2011 to March 2016, he served as the Executive Vice President of Corporate Development at Biogen, Inc., a public biopharmaceutical company. From 2001 to 2010, he served as a founder, chair of the board of directors, and Chief Executive Officer of Infinity Pharmaceuticals, Inc., a public biopharmaceutical company. Additionally, Mr. Holtzman was Chief Business Officer of Millennium Pharmaceuticals, Inc., a public biopharmaceutical company, from May 1994 to June 2001, and a founder, member of the board of directors, and Executive Vice President of DNX Corporation, a public biopharmaceutical company, from August 1986 to March 1994. He is a trustee of The Berklee College of Music and a Senior Fellow at the Belfer Center for Science and International Affairs at the Harvard Kennedy School. He received his B.A. in Philosophy from Michigan State University and his B.Phil. in Philosophy from Corpus Christi College, Oxford University, which he attended as a Rhodes Scholar. Our board of directors believes that Mr. Holtzman's experience in the biotechnology industry and his broad management experience provide him with the qualifications and skills to serve as a director.</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Sandip Kapadia </w:t>
      </w:r>
      <w:r>
        <w:rPr>
          <w:rFonts w:ascii="Times New Roman" w:cs="Times New Roman" w:eastAsia="Times New Roman" w:hAnsi="Times New Roman"/>
          <w:sz w:val="19"/>
          <w:szCs w:val="19"/>
          <w:color w:val="auto"/>
        </w:rPr>
        <w:t>has served as a director since April 2020. Mr. Kapadia brings over 25 years of science industry experience and has served as the Chief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Financial Officer (CFO) for Harmony Biosciences since March 2021. Previously Mr. Kapadia was CFO for Intercept Pharmaceuticals. Before Intercept, Mr. Kapadia served in various leadership capacities within finance for more than 19 years at Novartis International AG and Novartis affiliates in the United Kingdom, Netherlands, Switzerland and the US. Mr. Kapadia received a B.S. in Accounting from Montclair State University and an M.B.A. from Rutgers University, and is also a US Certified Public Accountant. Mr. Kapadia currently serves on the board of directors of Passage Bio, Alentis Therapeutics, and previously on the board of directors of VectivBio Holding AG and Therachon AG. Our board of directors believes that Mr. Kapadia’s over 25 years of experience in the life science industry and his broad finance and management experience provide him with the qualifications and skills to serve as a director.</w:t>
      </w:r>
    </w:p>
    <w:p>
      <w:pPr>
        <w:spacing w:after="0" w:line="1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Dr. Vito J. Palombella, Ph.D.</w:t>
      </w:r>
      <w:r>
        <w:rPr>
          <w:rFonts w:ascii="Times New Roman" w:cs="Times New Roman" w:eastAsia="Times New Roman" w:hAnsi="Times New Roman"/>
          <w:sz w:val="18"/>
          <w:szCs w:val="18"/>
          <w:color w:val="auto"/>
        </w:rPr>
        <w:t>, has served as a director since April 2020. Vito J. Palombella, Ph.D., has 30 years of scientific leadership and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advancing first-in-class therapeutic programs, as well as a successful track record of building drug discovery and development organizations. Currently, Dr. Palombella is the chief scientific officer of TRIANA Biomedicines, where he is leading the company's drug discovery, non-clincial development, and translational research effort. Prior to joining TRIANA Biomedicines, Dr. Palombella was the chief scientific officer of Surface Oncology from 2016 to 2023, where he was responsible for drug discovery and preclinical development. Prior to Surface Oncology, Dr. Palombella was executive vice president and chief scientific officer from 2010 to 2016, and vice president, biology/research, from 2004 to 2010, at Infinity Pharmaceuticals, Inc.. Prior to that, he was director of molecular biology and protein chemistry at Syntonix Pharmaceuticals, and senior director of cell and molecular biology at Millennium Pharmaceuticals and held a number of positions at LeukoSite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36" w:name="page137"/>
    <w:bookmarkEnd w:id="136"/>
    <w:p>
      <w:pPr>
        <w:ind w:right="40"/>
        <w:spacing w:after="0" w:line="224" w:lineRule="auto"/>
        <w:rPr>
          <w:sz w:val="20"/>
          <w:szCs w:val="20"/>
          <w:color w:val="auto"/>
        </w:rPr>
      </w:pPr>
      <w:r>
        <w:rPr>
          <w:rFonts w:ascii="Times New Roman" w:cs="Times New Roman" w:eastAsia="Times New Roman" w:hAnsi="Times New Roman"/>
          <w:sz w:val="19"/>
          <w:szCs w:val="19"/>
          <w:color w:val="auto"/>
        </w:rPr>
        <w:t>and ProScript. Dr. Palombella was involved in the discovery and development of bortezomib (Velcade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 proteasome inhibitor, and duvelisib (Copiktra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 PI3K-d/g inhibitor, both for cancer therapy.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30 years of scientific leadership and experience, as well as his medical and scientific background, provide him with the qualifications and skills to serve as a director.</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Dr. Michael Vasconcelles, M.D., </w:t>
      </w:r>
      <w:r>
        <w:rPr>
          <w:rFonts w:ascii="Times New Roman" w:cs="Times New Roman" w:eastAsia="Times New Roman" w:hAnsi="Times New Roman"/>
          <w:sz w:val="19"/>
          <w:szCs w:val="19"/>
          <w:color w:val="auto"/>
        </w:rPr>
        <w:t>has served as a director since April 2020. He currently serves as a senior advisor at Frazier Life Sciences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consultant within the biotechnology industry. Previously, he was executive vice president, Research, Development, and Medical Affairs at Immunogen from December 2022 until its acquisition by AbbVie in February 2024. Prior to Immunogen, he was chief medical officer and head of the Medical and Scientific Organization at Flatiron Health, a healthcare technology and services company focused on creating digital solutions to accelerate cancer research and improve patient care, from August 2019 to August 2022. Prior to joining Flatiron Health, Dr. Vasconcelles served as the chief medical officer of Unum Therapeutics Inc. (Unum) from October 2015 to July 2019, a Cambridge, MA-based cell and gene therapy company. Prior to Unum, Dr. Vasconcelles spent several years at Takeda/Millennium, where he was senior vice president, Head of the Oncology Therapy Area Unit and member of the R&amp;D Executive Team, accountable for strategic and operational oversight of the oncology research and development portfolio globally. Prior to Takeda/Millennium, Dr. Vasconcelles was group vice president and the Global Therapeutic Area Head, Transplant and Oncology, at Genzyme Corporation, where he was responsible for clinical development of the transplant and oncology portfolio and a member of the Transplant and Oncology Business Unit Management Team. Following Sanofi’s acquisition of Genzyme, Dr. Vasconcelles joined Sanofi Oncology as head, Personalized Medicine and Companion Diagnostics. From 1996 -2021, Dr. Vasconcelles was a faculty member of the Harvard Medical School and an associate physician at Brigham and Women’s Hospital and Dana-Farber Cancer Institute. Dr. Vasconcelles has served on the board of directors of Kura Oncology, Inc. since September 2024. He received both his B.A. and M.D. from Northwestern University. Our board of directors believes that Dr.Vasconcelles’ extensive experience in the life sciences industry within research and clinical development, as well as his medical and scientific background,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37" w:name="page138"/>
    <w:bookmarkEnd w:id="137"/>
    <w:p>
      <w:pPr>
        <w:ind w:right="200"/>
        <w:spacing w:after="0" w:line="247" w:lineRule="auto"/>
        <w:rPr>
          <w:sz w:val="20"/>
          <w:szCs w:val="20"/>
          <w:color w:val="auto"/>
        </w:rPr>
      </w:pPr>
      <w:r>
        <w:rPr>
          <w:rFonts w:ascii="Times New Roman" w:cs="Times New Roman" w:eastAsia="Times New Roman" w:hAnsi="Times New Roman"/>
          <w:sz w:val="19"/>
          <w:szCs w:val="19"/>
          <w:color w:val="auto"/>
        </w:rPr>
        <w:t>The table below provides certain highlights of the composition of our board members and nominees as of December 31, 2024. Each of the categories listed in the below table has the meaning as it is used in Nasdaq Rule 5605(f).</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300" w:type="dxa"/>
            <w:vAlign w:val="bottom"/>
            <w:tcBorders>
              <w:top w:val="single" w:sz="8" w:color="auto"/>
              <w:left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tcPr>
          <w:p>
            <w:pPr>
              <w:spacing w:after="0"/>
              <w:rPr>
                <w:sz w:val="22"/>
                <w:szCs w:val="22"/>
                <w:color w:val="auto"/>
              </w:rPr>
            </w:pPr>
          </w:p>
        </w:tc>
        <w:tc>
          <w:tcPr>
            <w:tcW w:w="4480" w:type="dxa"/>
            <w:vAlign w:val="bottom"/>
            <w:tcBorders>
              <w:top w:val="single" w:sz="8" w:color="auto"/>
              <w:bottom w:val="single" w:sz="8" w:color="auto"/>
            </w:tcBorders>
            <w:gridSpan w:val="3"/>
          </w:tcPr>
          <w:p>
            <w:pPr>
              <w:jc w:val="center"/>
              <w:ind w:right="2207"/>
              <w:spacing w:after="0"/>
              <w:rPr>
                <w:sz w:val="20"/>
                <w:szCs w:val="20"/>
                <w:color w:val="auto"/>
              </w:rPr>
            </w:pPr>
            <w:r>
              <w:rPr>
                <w:rFonts w:ascii="Times New Roman" w:cs="Times New Roman" w:eastAsia="Times New Roman" w:hAnsi="Times New Roman"/>
                <w:sz w:val="19"/>
                <w:szCs w:val="19"/>
                <w:color w:val="auto"/>
                <w:w w:val="97"/>
              </w:rPr>
              <w:t>Board Diversity Matrix</w:t>
            </w:r>
          </w:p>
        </w:tc>
        <w:tc>
          <w:tcPr>
            <w:tcW w:w="224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8"/>
              </w:rPr>
              <w:t>Country of Principal</w:t>
            </w:r>
          </w:p>
        </w:tc>
        <w:tc>
          <w:tcPr>
            <w:tcW w:w="2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gridSpan w:val="2"/>
          </w:tcPr>
          <w:p>
            <w:pPr>
              <w:jc w:val="center"/>
              <w:ind w:right="1467"/>
              <w:spacing w:after="0" w:line="204" w:lineRule="exact"/>
              <w:rPr>
                <w:sz w:val="20"/>
                <w:szCs w:val="20"/>
                <w:color w:val="auto"/>
              </w:rPr>
            </w:pPr>
            <w:r>
              <w:rPr>
                <w:rFonts w:ascii="Times New Roman" w:cs="Times New Roman" w:eastAsia="Times New Roman" w:hAnsi="Times New Roman"/>
                <w:sz w:val="19"/>
                <w:szCs w:val="19"/>
                <w:b w:val="1"/>
                <w:bCs w:val="1"/>
                <w:color w:val="auto"/>
                <w:w w:val="96"/>
              </w:rPr>
              <w:t>Switzerland</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Executive Offices:</w:t>
            </w:r>
          </w:p>
        </w:tc>
        <w:tc>
          <w:tcPr>
            <w:tcW w:w="2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Foreign Private Issuer</w:t>
            </w:r>
          </w:p>
        </w:tc>
        <w:tc>
          <w:tcPr>
            <w:tcW w:w="2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2"/>
          </w:tcPr>
          <w:p>
            <w:pPr>
              <w:jc w:val="center"/>
              <w:ind w:right="1467"/>
              <w:spacing w:after="0"/>
              <w:rPr>
                <w:sz w:val="20"/>
                <w:szCs w:val="20"/>
                <w:color w:val="auto"/>
              </w:rPr>
            </w:pPr>
            <w:r>
              <w:rPr>
                <w:rFonts w:ascii="Times New Roman" w:cs="Times New Roman" w:eastAsia="Times New Roman" w:hAnsi="Times New Roman"/>
                <w:sz w:val="19"/>
                <w:szCs w:val="19"/>
                <w:b w:val="1"/>
                <w:bCs w:val="1"/>
                <w:color w:val="auto"/>
                <w:w w:val="87"/>
              </w:rPr>
              <w:t>Yes</w:t>
            </w: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w w:val="97"/>
              </w:rPr>
              <w:t>Disclosure Prohibited under</w:t>
            </w:r>
          </w:p>
        </w:tc>
        <w:tc>
          <w:tcPr>
            <w:tcW w:w="2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40" w:type="dxa"/>
            <w:vAlign w:val="bottom"/>
            <w:gridSpan w:val="2"/>
          </w:tcPr>
          <w:p>
            <w:pPr>
              <w:jc w:val="center"/>
              <w:ind w:right="1467"/>
              <w:spacing w:after="0" w:line="204" w:lineRule="exact"/>
              <w:rPr>
                <w:sz w:val="20"/>
                <w:szCs w:val="20"/>
                <w:color w:val="auto"/>
              </w:rPr>
            </w:pPr>
            <w:r>
              <w:rPr>
                <w:rFonts w:ascii="Times New Roman" w:cs="Times New Roman" w:eastAsia="Times New Roman" w:hAnsi="Times New Roman"/>
                <w:sz w:val="19"/>
                <w:szCs w:val="19"/>
                <w:b w:val="1"/>
                <w:bCs w:val="1"/>
                <w:color w:val="auto"/>
                <w:w w:val="94"/>
              </w:rPr>
              <w:t>No</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Home Country Law</w:t>
            </w:r>
          </w:p>
        </w:tc>
        <w:tc>
          <w:tcPr>
            <w:tcW w:w="2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Total Number of Directors</w:t>
            </w:r>
          </w:p>
        </w:tc>
        <w:tc>
          <w:tcPr>
            <w:tcW w:w="2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2"/>
          </w:tcPr>
          <w:p>
            <w:pPr>
              <w:jc w:val="center"/>
              <w:ind w:right="1467"/>
              <w:spacing w:after="0"/>
              <w:rPr>
                <w:sz w:val="20"/>
                <w:szCs w:val="20"/>
                <w:color w:val="auto"/>
              </w:rPr>
            </w:pPr>
            <w:r>
              <w:rPr>
                <w:rFonts w:ascii="Times New Roman" w:cs="Times New Roman" w:eastAsia="Times New Roman" w:hAnsi="Times New Roman"/>
                <w:sz w:val="19"/>
                <w:szCs w:val="19"/>
                <w:color w:val="auto"/>
              </w:rPr>
              <w:t>8</w:t>
            </w:r>
          </w:p>
        </w:tc>
        <w:tc>
          <w:tcPr>
            <w:tcW w:w="2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30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right"/>
              <w:ind w:right="747"/>
              <w:spacing w:after="0"/>
              <w:rPr>
                <w:sz w:val="20"/>
                <w:szCs w:val="20"/>
                <w:color w:val="auto"/>
              </w:rPr>
            </w:pPr>
            <w:r>
              <w:rPr>
                <w:rFonts w:ascii="Times New Roman" w:cs="Times New Roman" w:eastAsia="Times New Roman" w:hAnsi="Times New Roman"/>
                <w:sz w:val="19"/>
                <w:szCs w:val="19"/>
                <w:b w:val="1"/>
                <w:bCs w:val="1"/>
                <w:color w:val="auto"/>
              </w:rPr>
              <w:t>Female</w:t>
            </w:r>
          </w:p>
        </w:tc>
        <w:tc>
          <w:tcPr>
            <w:tcW w:w="1540" w:type="dxa"/>
            <w:vAlign w:val="bottom"/>
            <w:tcBorders>
              <w:bottom w:val="single" w:sz="8" w:color="auto"/>
            </w:tcBorders>
          </w:tcPr>
          <w:p>
            <w:pPr>
              <w:jc w:val="center"/>
              <w:ind w:left="587"/>
              <w:spacing w:after="0"/>
              <w:rPr>
                <w:sz w:val="20"/>
                <w:szCs w:val="20"/>
                <w:color w:val="auto"/>
              </w:rPr>
            </w:pPr>
            <w:r>
              <w:rPr>
                <w:rFonts w:ascii="Times New Roman" w:cs="Times New Roman" w:eastAsia="Times New Roman" w:hAnsi="Times New Roman"/>
                <w:sz w:val="19"/>
                <w:szCs w:val="19"/>
                <w:b w:val="1"/>
                <w:bCs w:val="1"/>
                <w:color w:val="auto"/>
              </w:rPr>
              <w:t>Male</w:t>
            </w:r>
          </w:p>
        </w:tc>
        <w:tc>
          <w:tcPr>
            <w:tcW w:w="70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right"/>
              <w:ind w:right="547"/>
              <w:spacing w:after="0"/>
              <w:rPr>
                <w:sz w:val="20"/>
                <w:szCs w:val="20"/>
                <w:color w:val="auto"/>
              </w:rPr>
            </w:pPr>
            <w:r>
              <w:rPr>
                <w:rFonts w:ascii="Times New Roman" w:cs="Times New Roman" w:eastAsia="Times New Roman" w:hAnsi="Times New Roman"/>
                <w:sz w:val="19"/>
                <w:szCs w:val="19"/>
                <w:b w:val="1"/>
                <w:bCs w:val="1"/>
                <w:color w:val="auto"/>
              </w:rPr>
              <w:t>Non- Binary</w:t>
            </w:r>
          </w:p>
        </w:tc>
        <w:tc>
          <w:tcPr>
            <w:tcW w:w="2240" w:type="dxa"/>
            <w:vAlign w:val="bottom"/>
            <w:tcBorders>
              <w:bottom w:val="single" w:sz="8" w:color="auto"/>
              <w:right w:val="single" w:sz="8" w:color="auto"/>
            </w:tcBorders>
          </w:tcPr>
          <w:p>
            <w:pPr>
              <w:jc w:val="right"/>
              <w:ind w:right="67"/>
              <w:spacing w:after="0"/>
              <w:rPr>
                <w:sz w:val="20"/>
                <w:szCs w:val="20"/>
                <w:color w:val="auto"/>
              </w:rPr>
            </w:pPr>
            <w:r>
              <w:rPr>
                <w:rFonts w:ascii="Times New Roman" w:cs="Times New Roman" w:eastAsia="Times New Roman" w:hAnsi="Times New Roman"/>
                <w:sz w:val="19"/>
                <w:szCs w:val="19"/>
                <w:b w:val="1"/>
                <w:bCs w:val="1"/>
                <w:color w:val="auto"/>
              </w:rPr>
              <w:t>Did Not Disclose Gender</w:t>
            </w:r>
          </w:p>
        </w:tc>
        <w:tc>
          <w:tcPr>
            <w:tcW w:w="0" w:type="dxa"/>
            <w:vAlign w:val="bottom"/>
          </w:tcPr>
          <w:p>
            <w:pPr>
              <w:spacing w:after="0"/>
              <w:rPr>
                <w:sz w:val="1"/>
                <w:szCs w:val="1"/>
                <w:color w:val="auto"/>
              </w:rPr>
            </w:pPr>
          </w:p>
        </w:tc>
      </w:tr>
      <w:tr>
        <w:trPr>
          <w:trHeight w:val="246"/>
        </w:trPr>
        <w:tc>
          <w:tcPr>
            <w:tcW w:w="23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Part I: Gender Identity</w:t>
            </w:r>
          </w:p>
        </w:tc>
        <w:tc>
          <w:tcPr>
            <w:tcW w:w="2240" w:type="dxa"/>
            <w:vAlign w:val="bottom"/>
            <w:tcBorders>
              <w:bottom w:val="single" w:sz="8" w:color="auto"/>
              <w:right w:val="single" w:sz="8" w:color="DBDBDB"/>
            </w:tcBorders>
            <w:shd w:val="clear" w:color="auto" w:fill="DBDBDB"/>
          </w:tcPr>
          <w:p>
            <w:pPr>
              <w:spacing w:after="0"/>
              <w:rPr>
                <w:sz w:val="21"/>
                <w:szCs w:val="21"/>
                <w:color w:val="auto"/>
              </w:rPr>
            </w:pPr>
          </w:p>
        </w:tc>
        <w:tc>
          <w:tcPr>
            <w:tcW w:w="1540" w:type="dxa"/>
            <w:vAlign w:val="bottom"/>
            <w:tcBorders>
              <w:bottom w:val="single" w:sz="8" w:color="auto"/>
            </w:tcBorders>
            <w:shd w:val="clear" w:color="auto" w:fill="DBDBDB"/>
          </w:tcPr>
          <w:p>
            <w:pPr>
              <w:spacing w:after="0"/>
              <w:rPr>
                <w:sz w:val="21"/>
                <w:szCs w:val="21"/>
                <w:color w:val="auto"/>
              </w:rPr>
            </w:pPr>
          </w:p>
        </w:tc>
        <w:tc>
          <w:tcPr>
            <w:tcW w:w="700" w:type="dxa"/>
            <w:vAlign w:val="bottom"/>
            <w:tcBorders>
              <w:bottom w:val="single" w:sz="8" w:color="auto"/>
              <w:right w:val="single" w:sz="8" w:color="DBDBDB"/>
            </w:tcBorders>
            <w:shd w:val="clear" w:color="auto" w:fill="DBDBDB"/>
          </w:tcPr>
          <w:p>
            <w:pPr>
              <w:spacing w:after="0"/>
              <w:rPr>
                <w:sz w:val="21"/>
                <w:szCs w:val="21"/>
                <w:color w:val="auto"/>
              </w:rPr>
            </w:pPr>
          </w:p>
        </w:tc>
        <w:tc>
          <w:tcPr>
            <w:tcW w:w="2240" w:type="dxa"/>
            <w:vAlign w:val="bottom"/>
            <w:tcBorders>
              <w:bottom w:val="single" w:sz="8" w:color="auto"/>
              <w:right w:val="single" w:sz="8" w:color="DBDBDB"/>
            </w:tcBorders>
            <w:shd w:val="clear" w:color="auto" w:fill="DBDBDB"/>
          </w:tcPr>
          <w:p>
            <w:pPr>
              <w:spacing w:after="0"/>
              <w:rPr>
                <w:sz w:val="21"/>
                <w:szCs w:val="21"/>
                <w:color w:val="auto"/>
              </w:rPr>
            </w:pPr>
          </w:p>
        </w:tc>
        <w:tc>
          <w:tcPr>
            <w:tcW w:w="2240" w:type="dxa"/>
            <w:vAlign w:val="bottom"/>
            <w:tcBorders>
              <w:bottom w:val="single" w:sz="8" w:color="auto"/>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Directors</w:t>
            </w:r>
          </w:p>
        </w:tc>
        <w:tc>
          <w:tcPr>
            <w:tcW w:w="2240" w:type="dxa"/>
            <w:vAlign w:val="bottom"/>
            <w:tcBorders>
              <w:right w:val="single" w:sz="8" w:color="auto"/>
            </w:tcBorders>
          </w:tcPr>
          <w:p>
            <w:pPr>
              <w:jc w:val="right"/>
              <w:ind w:right="2047"/>
              <w:spacing w:after="0"/>
              <w:rPr>
                <w:sz w:val="20"/>
                <w:szCs w:val="20"/>
                <w:color w:val="auto"/>
              </w:rPr>
            </w:pPr>
            <w:r>
              <w:rPr>
                <w:rFonts w:ascii="Times New Roman" w:cs="Times New Roman" w:eastAsia="Times New Roman" w:hAnsi="Times New Roman"/>
                <w:sz w:val="19"/>
                <w:szCs w:val="19"/>
                <w:color w:val="auto"/>
                <w:w w:val="83"/>
              </w:rPr>
              <w:t>1</w:t>
            </w:r>
          </w:p>
        </w:tc>
        <w:tc>
          <w:tcPr>
            <w:tcW w:w="1540" w:type="dxa"/>
            <w:vAlign w:val="bottom"/>
          </w:tcPr>
          <w:p>
            <w:pPr>
              <w:jc w:val="right"/>
              <w:ind w:right="1347"/>
              <w:spacing w:after="0"/>
              <w:rPr>
                <w:sz w:val="20"/>
                <w:szCs w:val="20"/>
                <w:color w:val="auto"/>
              </w:rPr>
            </w:pPr>
            <w:r>
              <w:rPr>
                <w:rFonts w:ascii="Times New Roman" w:cs="Times New Roman" w:eastAsia="Times New Roman" w:hAnsi="Times New Roman"/>
                <w:sz w:val="19"/>
                <w:szCs w:val="19"/>
                <w:color w:val="auto"/>
                <w:w w:val="83"/>
              </w:rPr>
              <w:t>7</w:t>
            </w:r>
          </w:p>
        </w:tc>
        <w:tc>
          <w:tcPr>
            <w:tcW w:w="7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right"/>
              <w:ind w:right="2047"/>
              <w:spacing w:after="0"/>
              <w:rPr>
                <w:sz w:val="20"/>
                <w:szCs w:val="20"/>
                <w:color w:val="auto"/>
              </w:rPr>
            </w:pPr>
            <w:r>
              <w:rPr>
                <w:rFonts w:ascii="Times New Roman" w:cs="Times New Roman" w:eastAsia="Times New Roman" w:hAnsi="Times New Roman"/>
                <w:sz w:val="19"/>
                <w:szCs w:val="19"/>
                <w:color w:val="auto"/>
                <w:w w:val="83"/>
              </w:rPr>
              <w:t>0</w:t>
            </w:r>
          </w:p>
        </w:tc>
        <w:tc>
          <w:tcPr>
            <w:tcW w:w="2240" w:type="dxa"/>
            <w:vAlign w:val="bottom"/>
            <w:tcBorders>
              <w:right w:val="single" w:sz="8" w:color="auto"/>
            </w:tcBorders>
          </w:tcPr>
          <w:p>
            <w:pPr>
              <w:jc w:val="right"/>
              <w:ind w:right="2047"/>
              <w:spacing w:after="0"/>
              <w:rPr>
                <w:sz w:val="20"/>
                <w:szCs w:val="20"/>
                <w:color w:val="auto"/>
              </w:rPr>
            </w:pPr>
            <w:r>
              <w:rPr>
                <w:rFonts w:ascii="Times New Roman" w:cs="Times New Roman" w:eastAsia="Times New Roman" w:hAnsi="Times New Roman"/>
                <w:sz w:val="19"/>
                <w:szCs w:val="19"/>
                <w:color w:val="auto"/>
                <w:w w:val="83"/>
              </w:rPr>
              <w:t>0</w:t>
            </w: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00" w:type="dxa"/>
            <w:vAlign w:val="bottom"/>
            <w:tcBorders>
              <w:left w:val="single" w:sz="8" w:color="auto"/>
              <w:right w:val="single" w:sz="8" w:color="auto"/>
            </w:tcBorders>
            <w:shd w:val="clear" w:color="auto" w:fill="D9D9D9"/>
          </w:tcPr>
          <w:p>
            <w:pPr>
              <w:jc w:val="center"/>
              <w:spacing w:after="0" w:line="196" w:lineRule="exact"/>
              <w:rPr>
                <w:sz w:val="20"/>
                <w:szCs w:val="20"/>
                <w:color w:val="auto"/>
              </w:rPr>
            </w:pPr>
            <w:r>
              <w:rPr>
                <w:rFonts w:ascii="Times New Roman" w:cs="Times New Roman" w:eastAsia="Times New Roman" w:hAnsi="Times New Roman"/>
                <w:sz w:val="19"/>
                <w:szCs w:val="19"/>
                <w:b w:val="1"/>
                <w:bCs w:val="1"/>
                <w:color w:val="auto"/>
                <w:w w:val="97"/>
              </w:rPr>
              <w:t>Part II: Demographic</w:t>
            </w:r>
          </w:p>
        </w:tc>
        <w:tc>
          <w:tcPr>
            <w:tcW w:w="2240" w:type="dxa"/>
            <w:vAlign w:val="bottom"/>
            <w:tcBorders>
              <w:right w:val="single" w:sz="8" w:color="DBDBDB"/>
            </w:tcBorders>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700" w:type="dxa"/>
            <w:vAlign w:val="bottom"/>
            <w:tcBorders>
              <w:right w:val="single" w:sz="8" w:color="DBDBDB"/>
            </w:tcBorders>
            <w:shd w:val="clear" w:color="auto" w:fill="DBDBDB"/>
          </w:tcPr>
          <w:p>
            <w:pPr>
              <w:spacing w:after="0"/>
              <w:rPr>
                <w:sz w:val="17"/>
                <w:szCs w:val="17"/>
                <w:color w:val="auto"/>
              </w:rPr>
            </w:pPr>
          </w:p>
        </w:tc>
        <w:tc>
          <w:tcPr>
            <w:tcW w:w="2240" w:type="dxa"/>
            <w:vAlign w:val="bottom"/>
            <w:tcBorders>
              <w:right w:val="single" w:sz="8" w:color="DBDBDB"/>
            </w:tcBorders>
            <w:shd w:val="clear" w:color="auto" w:fill="DBDBDB"/>
          </w:tcPr>
          <w:p>
            <w:pPr>
              <w:spacing w:after="0"/>
              <w:rPr>
                <w:sz w:val="17"/>
                <w:szCs w:val="17"/>
                <w:color w:val="auto"/>
              </w:rPr>
            </w:pPr>
          </w:p>
        </w:tc>
        <w:tc>
          <w:tcPr>
            <w:tcW w:w="2240" w:type="dxa"/>
            <w:vAlign w:val="bottom"/>
            <w:tcBorders>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3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Background</w:t>
            </w:r>
          </w:p>
        </w:tc>
        <w:tc>
          <w:tcPr>
            <w:tcW w:w="2240" w:type="dxa"/>
            <w:vAlign w:val="bottom"/>
            <w:tcBorders>
              <w:bottom w:val="single" w:sz="8" w:color="auto"/>
              <w:right w:val="single" w:sz="8" w:color="DBDBDB"/>
            </w:tcBorders>
            <w:shd w:val="clear" w:color="auto" w:fill="DBDBDB"/>
          </w:tcPr>
          <w:p>
            <w:pPr>
              <w:spacing w:after="0"/>
              <w:rPr>
                <w:sz w:val="22"/>
                <w:szCs w:val="22"/>
                <w:color w:val="auto"/>
              </w:rPr>
            </w:pPr>
          </w:p>
        </w:tc>
        <w:tc>
          <w:tcPr>
            <w:tcW w:w="1540" w:type="dxa"/>
            <w:vAlign w:val="bottom"/>
            <w:tcBorders>
              <w:bottom w:val="single" w:sz="8" w:color="auto"/>
            </w:tcBorders>
            <w:shd w:val="clear" w:color="auto" w:fill="DBDBDB"/>
          </w:tcPr>
          <w:p>
            <w:pPr>
              <w:spacing w:after="0"/>
              <w:rPr>
                <w:sz w:val="22"/>
                <w:szCs w:val="22"/>
                <w:color w:val="auto"/>
              </w:rPr>
            </w:pPr>
          </w:p>
        </w:tc>
        <w:tc>
          <w:tcPr>
            <w:tcW w:w="700" w:type="dxa"/>
            <w:vAlign w:val="bottom"/>
            <w:tcBorders>
              <w:bottom w:val="single" w:sz="8" w:color="auto"/>
              <w:right w:val="single" w:sz="8" w:color="DBDBDB"/>
            </w:tcBorders>
            <w:shd w:val="clear" w:color="auto" w:fill="DBDBDB"/>
          </w:tcPr>
          <w:p>
            <w:pPr>
              <w:spacing w:after="0"/>
              <w:rPr>
                <w:sz w:val="22"/>
                <w:szCs w:val="22"/>
                <w:color w:val="auto"/>
              </w:rPr>
            </w:pPr>
          </w:p>
        </w:tc>
        <w:tc>
          <w:tcPr>
            <w:tcW w:w="2240" w:type="dxa"/>
            <w:vAlign w:val="bottom"/>
            <w:tcBorders>
              <w:bottom w:val="single" w:sz="8" w:color="auto"/>
              <w:right w:val="single" w:sz="8" w:color="DBDBDB"/>
            </w:tcBorders>
            <w:shd w:val="clear" w:color="auto" w:fill="DBDBDB"/>
          </w:tcPr>
          <w:p>
            <w:pPr>
              <w:spacing w:after="0"/>
              <w:rPr>
                <w:sz w:val="22"/>
                <w:szCs w:val="22"/>
                <w:color w:val="auto"/>
              </w:rPr>
            </w:pPr>
          </w:p>
        </w:tc>
        <w:tc>
          <w:tcPr>
            <w:tcW w:w="2240" w:type="dxa"/>
            <w:vAlign w:val="bottom"/>
            <w:tcBorders>
              <w:bottom w:val="single" w:sz="8" w:color="auto"/>
              <w:right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19"/>
                <w:szCs w:val="19"/>
                <w:color w:val="auto"/>
                <w:w w:val="98"/>
              </w:rPr>
              <w:t>Underrepresented Individual</w:t>
            </w:r>
          </w:p>
        </w:tc>
        <w:tc>
          <w:tcPr>
            <w:tcW w:w="2240" w:type="dxa"/>
            <w:vAlign w:val="bottom"/>
            <w:vMerge w:val="restart"/>
          </w:tcPr>
          <w:p>
            <w:pPr>
              <w:jc w:val="right"/>
              <w:ind w:right="2047"/>
              <w:spacing w:after="0"/>
              <w:rPr>
                <w:sz w:val="20"/>
                <w:szCs w:val="20"/>
                <w:color w:val="auto"/>
              </w:rPr>
            </w:pPr>
            <w:r>
              <w:rPr>
                <w:rFonts w:ascii="Times New Roman" w:cs="Times New Roman" w:eastAsia="Times New Roman" w:hAnsi="Times New Roman"/>
                <w:sz w:val="19"/>
                <w:szCs w:val="19"/>
                <w:color w:val="auto"/>
                <w:w w:val="83"/>
              </w:rPr>
              <w:t>2</w:t>
            </w: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in Home Country Jurisdiction</w:t>
            </w:r>
          </w:p>
        </w:tc>
        <w:tc>
          <w:tcPr>
            <w:tcW w:w="2240" w:type="dxa"/>
            <w:vAlign w:val="bottom"/>
            <w:tcBorders>
              <w:bottom w:val="single" w:sz="8" w:color="auto"/>
            </w:tcBorders>
            <w:vMerge w:val="continue"/>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LGBTQ+</w:t>
            </w:r>
          </w:p>
        </w:tc>
        <w:tc>
          <w:tcPr>
            <w:tcW w:w="2240" w:type="dxa"/>
            <w:vAlign w:val="bottom"/>
          </w:tcPr>
          <w:p>
            <w:pPr>
              <w:jc w:val="right"/>
              <w:ind w:right="2047"/>
              <w:spacing w:after="0"/>
              <w:rPr>
                <w:sz w:val="20"/>
                <w:szCs w:val="20"/>
                <w:color w:val="auto"/>
              </w:rPr>
            </w:pPr>
            <w:r>
              <w:rPr>
                <w:rFonts w:ascii="Times New Roman" w:cs="Times New Roman" w:eastAsia="Times New Roman" w:hAnsi="Times New Roman"/>
                <w:sz w:val="19"/>
                <w:szCs w:val="19"/>
                <w:color w:val="auto"/>
                <w:w w:val="83"/>
              </w:rPr>
              <w:t>1</w:t>
            </w: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tcBorders>
              <w:left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color w:val="auto"/>
                <w:w w:val="98"/>
              </w:rPr>
              <w:t>Did Not Disclose</w:t>
            </w:r>
          </w:p>
        </w:tc>
        <w:tc>
          <w:tcPr>
            <w:tcW w:w="2240" w:type="dxa"/>
            <w:vAlign w:val="bottom"/>
            <w:vMerge w:val="restart"/>
          </w:tcPr>
          <w:p>
            <w:pPr>
              <w:jc w:val="right"/>
              <w:ind w:right="2047"/>
              <w:spacing w:after="0"/>
              <w:rPr>
                <w:sz w:val="20"/>
                <w:szCs w:val="20"/>
                <w:color w:val="auto"/>
              </w:rPr>
            </w:pPr>
            <w:r>
              <w:rPr>
                <w:rFonts w:ascii="Times New Roman" w:cs="Times New Roman" w:eastAsia="Times New Roman" w:hAnsi="Times New Roman"/>
                <w:sz w:val="19"/>
                <w:szCs w:val="19"/>
                <w:color w:val="auto"/>
                <w:w w:val="83"/>
              </w:rPr>
              <w:t>0</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Demographic Background</w:t>
            </w:r>
          </w:p>
        </w:tc>
        <w:tc>
          <w:tcPr>
            <w:tcW w:w="2240" w:type="dxa"/>
            <w:vAlign w:val="bottom"/>
            <w:tcBorders>
              <w:bottom w:val="single" w:sz="8" w:color="auto"/>
            </w:tcBorders>
            <w:vMerge w:val="continue"/>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Family Relationships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are no family relationships among any of our executive officers or directors.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of Executive Officers and Directors</w:t>
      </w:r>
    </w:p>
    <w:p>
      <w:pPr>
        <w:spacing w:after="0" w:line="14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9"/>
          <w:szCs w:val="19"/>
          <w:color w:val="auto"/>
        </w:rPr>
        <w:t>The aggregate compensation paid by us to our executive officers and directors, including share-based compensation, for the year ended December 31, 2024, was TCHF 5,244. Out of this amount a total of TCHF 395 related to pension benefits and social security contributions.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Director Compensation</w:t>
      </w:r>
    </w:p>
    <w:p>
      <w:pPr>
        <w:spacing w:after="0" w:line="14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60"/>
          </w:cols>
          <w:pgMar w:left="320" w:top="1334" w:right="319" w:bottom="1440" w:gutter="0" w:footer="0" w:header="0"/>
        </w:sectPr>
      </w:pPr>
    </w:p>
    <w:bookmarkStart w:id="138" w:name="page139"/>
    <w:bookmarkEnd w:id="138"/>
    <w:p>
      <w:pPr>
        <w:ind w:right="180"/>
        <w:spacing w:after="0" w:line="254" w:lineRule="auto"/>
        <w:rPr>
          <w:sz w:val="20"/>
          <w:szCs w:val="20"/>
          <w:color w:val="auto"/>
        </w:rPr>
      </w:pPr>
      <w:r>
        <w:rPr>
          <w:rFonts w:ascii="Times New Roman" w:cs="Times New Roman" w:eastAsia="Times New Roman" w:hAnsi="Times New Roman"/>
          <w:sz w:val="19"/>
          <w:szCs w:val="19"/>
          <w:color w:val="auto"/>
        </w:rPr>
        <w:t>meeting and ending with the subsequent ordinary shareholders’ meeting. Our shareholders at the 2023 annual general meeting held on April 4, 2023, set the maximum aggregate amount of compensation for the board of directors for their term of office until the 2024 general meeting at CHF 1,091,400. Our shareholders at the 2024 annual general meeting held on April 17, 2024, set the maximum aggregate amount of compensation for the board of directors for their term of office until the 2025 general meeting at CHF 1,111,800.</w:t>
      </w:r>
    </w:p>
    <w:p>
      <w:pPr>
        <w:spacing w:after="0" w:line="10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For the year ended December 31, 2024, the compensation of the members of our board of directors consisted of fixed compensation only. Compensation of the members of our board of directors for the year ended December 31, 2024 consisted of a fixed cash fee and restricted share units, or RSUs. The following table sets out information regarding the compensation earned by our directors for service on our board of directors during the year ended December 31, 2024. Dr. Amstutz, our Chief Executive Officer and a member of our board of directors, does not receive any additional compensation for his service as a director.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388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9"/>
                <w:szCs w:val="19"/>
                <w:b w:val="1"/>
                <w:bCs w:val="1"/>
                <w:color w:val="auto"/>
              </w:rPr>
              <w:t>Fees Earned</w:t>
            </w:r>
          </w:p>
        </w:tc>
        <w:tc>
          <w:tcPr>
            <w:tcW w:w="1820" w:type="dxa"/>
            <w:vAlign w:val="bottom"/>
            <w:tcBorders>
              <w:top w:val="single" w:sz="8" w:color="auto"/>
              <w:bottom w:val="single" w:sz="8" w:color="auto"/>
            </w:tcBorders>
          </w:tcPr>
          <w:p>
            <w:pPr>
              <w:jc w:val="right"/>
              <w:ind w:right="707"/>
              <w:spacing w:after="0"/>
              <w:rPr>
                <w:sz w:val="20"/>
                <w:szCs w:val="20"/>
                <w:color w:val="auto"/>
              </w:rPr>
            </w:pPr>
            <w:r>
              <w:rPr>
                <w:rFonts w:ascii="Times New Roman" w:cs="Times New Roman" w:eastAsia="Times New Roman" w:hAnsi="Times New Roman"/>
                <w:sz w:val="19"/>
                <w:szCs w:val="19"/>
                <w:b w:val="1"/>
                <w:bCs w:val="1"/>
                <w:color w:val="auto"/>
              </w:rPr>
              <w:t>RSUs</w:t>
            </w:r>
          </w:p>
        </w:tc>
        <w:tc>
          <w:tcPr>
            <w:tcW w:w="128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9"/>
                <w:szCs w:val="19"/>
                <w:b w:val="1"/>
                <w:bCs w:val="1"/>
                <w:color w:val="auto"/>
              </w:rPr>
              <w:t>Total</w:t>
            </w:r>
            <w:r>
              <w:rPr>
                <w:rFonts w:ascii="Times New Roman" w:cs="Times New Roman" w:eastAsia="Times New Roman" w:hAnsi="Times New Roman"/>
                <w:sz w:val="24"/>
                <w:szCs w:val="24"/>
                <w:b w:val="1"/>
                <w:bCs w:val="1"/>
                <w:color w:val="auto"/>
                <w:vertAlign w:val="superscript"/>
              </w:rPr>
              <w:t>(1)</w:t>
            </w:r>
          </w:p>
        </w:tc>
      </w:tr>
      <w:tr>
        <w:trPr>
          <w:trHeight w:val="239"/>
        </w:trPr>
        <w:tc>
          <w:tcPr>
            <w:tcW w:w="42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20" w:type="dxa"/>
            <w:vAlign w:val="bottom"/>
          </w:tcPr>
          <w:p>
            <w:pPr>
              <w:jc w:val="right"/>
              <w:ind w:right="207"/>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1280" w:type="dxa"/>
            <w:vAlign w:val="bottom"/>
          </w:tcPr>
          <w:p>
            <w:pPr>
              <w:spacing w:after="0"/>
              <w:rPr>
                <w:sz w:val="20"/>
                <w:szCs w:val="20"/>
                <w:color w:val="auto"/>
              </w:rPr>
            </w:pPr>
          </w:p>
        </w:tc>
      </w:tr>
      <w:tr>
        <w:trPr>
          <w:trHeight w:val="33"/>
        </w:trPr>
        <w:tc>
          <w:tcPr>
            <w:tcW w:w="4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9"/>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William M. Burns</w:t>
            </w:r>
          </w:p>
        </w:tc>
        <w:tc>
          <w:tcPr>
            <w:tcW w:w="3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182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170</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295</w:t>
            </w:r>
          </w:p>
        </w:tc>
      </w:tr>
      <w:tr>
        <w:trPr>
          <w:trHeight w:val="246"/>
        </w:trPr>
        <w:tc>
          <w:tcPr>
            <w:tcW w:w="4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Steven H. Holtzman</w:t>
            </w:r>
          </w:p>
        </w:tc>
        <w:tc>
          <w:tcPr>
            <w:tcW w:w="3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182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135</w:t>
            </w:r>
          </w:p>
        </w:tc>
      </w:tr>
      <w:tr>
        <w:trPr>
          <w:trHeight w:val="33"/>
        </w:trPr>
        <w:tc>
          <w:tcPr>
            <w:tcW w:w="4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Sandip Kapadia</w:t>
            </w:r>
          </w:p>
        </w:tc>
        <w:tc>
          <w:tcPr>
            <w:tcW w:w="3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w:t>
            </w:r>
          </w:p>
        </w:tc>
        <w:tc>
          <w:tcPr>
            <w:tcW w:w="182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130</w:t>
            </w:r>
          </w:p>
        </w:tc>
      </w:tr>
      <w:tr>
        <w:trPr>
          <w:trHeight w:val="309"/>
        </w:trPr>
        <w:tc>
          <w:tcPr>
            <w:tcW w:w="4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Vito J. Palombella</w:t>
            </w:r>
          </w:p>
        </w:tc>
        <w:tc>
          <w:tcPr>
            <w:tcW w:w="3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182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125</w:t>
            </w:r>
          </w:p>
        </w:tc>
      </w:tr>
      <w:tr>
        <w:trPr>
          <w:trHeight w:val="33"/>
        </w:trPr>
        <w:tc>
          <w:tcPr>
            <w:tcW w:w="4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Michael Vasconcelles</w:t>
            </w:r>
          </w:p>
        </w:tc>
        <w:tc>
          <w:tcPr>
            <w:tcW w:w="3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182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135</w:t>
            </w:r>
          </w:p>
        </w:tc>
      </w:tr>
      <w:tr>
        <w:trPr>
          <w:trHeight w:val="309"/>
        </w:trPr>
        <w:tc>
          <w:tcPr>
            <w:tcW w:w="4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Agnete Fredriksen</w:t>
            </w:r>
          </w:p>
        </w:tc>
        <w:tc>
          <w:tcPr>
            <w:tcW w:w="3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182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133</w:t>
            </w:r>
          </w:p>
        </w:tc>
      </w:tr>
      <w:tr>
        <w:trPr>
          <w:trHeight w:val="33"/>
        </w:trPr>
        <w:tc>
          <w:tcPr>
            <w:tcW w:w="4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Dominik Höchli</w:t>
            </w:r>
          </w:p>
        </w:tc>
        <w:tc>
          <w:tcPr>
            <w:tcW w:w="3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182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85</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135</w:t>
            </w:r>
          </w:p>
        </w:tc>
      </w:tr>
      <w:tr>
        <w:trPr>
          <w:trHeight w:val="34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Dr. Patrick Amstutz</w:t>
            </w:r>
            <w:r>
              <w:rPr>
                <w:rFonts w:ascii="Times New Roman" w:cs="Times New Roman" w:eastAsia="Times New Roman" w:hAnsi="Times New Roman"/>
                <w:sz w:val="24"/>
                <w:szCs w:val="24"/>
                <w:color w:val="auto"/>
                <w:vertAlign w:val="superscript"/>
              </w:rPr>
              <w:t>(2)</w:t>
            </w:r>
          </w:p>
        </w:tc>
        <w:tc>
          <w:tcPr>
            <w:tcW w:w="3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r>
    </w:tbl>
    <w:p>
      <w:pPr>
        <w:spacing w:after="0" w:line="194" w:lineRule="exact"/>
        <w:rPr>
          <w:sz w:val="20"/>
          <w:szCs w:val="20"/>
          <w:color w:val="auto"/>
        </w:rPr>
      </w:pPr>
    </w:p>
    <w:p>
      <w:pPr>
        <w:ind w:left="300" w:right="80" w:hanging="299"/>
        <w:spacing w:after="0" w:line="247" w:lineRule="auto"/>
        <w:tabs>
          <w:tab w:leader="none" w:pos="28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compensation awarded to the members of the board of directors shown in this table does not include the payments of TCHF 19 we made in 2024 to cover the mandatory employer social security contribution on the base fees and the vesting of the RSUs 2021. In addition, upon vesting of the RSUs 2024 in 2027, we will be obliged to make employer contributions to social security pursuant to applicable mandatory law. As an estimate based on currently applicable contribution rates, the employer contributions on the RSUs 2024 expected to vest in 2027 will amount to TCHF 26.</w:t>
      </w:r>
    </w:p>
    <w:p>
      <w:pPr>
        <w:spacing w:after="0" w:line="3" w:lineRule="exact"/>
        <w:rPr>
          <w:rFonts w:ascii="Times New Roman" w:cs="Times New Roman" w:eastAsia="Times New Roman" w:hAnsi="Times New Roman"/>
          <w:sz w:val="19"/>
          <w:szCs w:val="19"/>
          <w:color w:val="auto"/>
        </w:rPr>
      </w:pPr>
    </w:p>
    <w:p>
      <w:pPr>
        <w:ind w:left="300" w:right="160" w:hanging="299"/>
        <w:spacing w:after="0" w:line="260" w:lineRule="auto"/>
        <w:tabs>
          <w:tab w:leader="none" w:pos="28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our Chief Executive Officer’s compensation other than in connection with his service on our board of directors, please refer to “— Executive Compensation.”</w:t>
      </w:r>
    </w:p>
    <w:p>
      <w:pPr>
        <w:spacing w:after="0" w:line="9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As of December 31, 2024,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spacing w:after="0" w:line="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Except as described in the section of this Annual Report on Form 20-F entitled “Related Party Transactions—Agreements with Our Directors and Executive Officers”, there are no arrangements or understandings between us and any of our directors providing for benefits upon termination of their service as our directors.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Compensation</w:t>
      </w:r>
    </w:p>
    <w:p>
      <w:pPr>
        <w:spacing w:after="0" w:line="14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auto"/>
        </w:rPr>
        <w:t>The compensation of the Management Board, also referred to herein as our executive officers, may consist of fixed and variable compensation. Fixed compensation comprises the base salary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color w:val="auto"/>
        </w:rPr>
        <w:t>corresponding pension contributions. Variable compensation comprises short-term and long-term variable compensation elements:</w:t>
      </w:r>
    </w:p>
    <w:p>
      <w:pPr>
        <w:spacing w:after="0" w:line="136" w:lineRule="exact"/>
        <w:rPr>
          <w:sz w:val="20"/>
          <w:szCs w:val="20"/>
          <w:color w:val="auto"/>
        </w:rPr>
      </w:pPr>
    </w:p>
    <w:p>
      <w:pPr>
        <w:ind w:left="300" w:right="280" w:hanging="299"/>
        <w:spacing w:after="0" w:line="275" w:lineRule="auto"/>
        <w:tabs>
          <w:tab w:leader="none" w:pos="28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short-term variable compensation, paid as a cash bonus, is determined exclusively by the achievement of predefined annual corporate goals; and</w:t>
      </w:r>
    </w:p>
    <w:p>
      <w:pPr>
        <w:spacing w:after="0" w:line="81" w:lineRule="exact"/>
        <w:rPr>
          <w:rFonts w:ascii="Times New Roman" w:cs="Times New Roman" w:eastAsia="Times New Roman" w:hAnsi="Times New Roman"/>
          <w:sz w:val="19"/>
          <w:szCs w:val="19"/>
          <w:color w:val="auto"/>
        </w:rPr>
      </w:pPr>
    </w:p>
    <w:p>
      <w:pPr>
        <w:ind w:left="300" w:right="160" w:hanging="299"/>
        <w:spacing w:after="0" w:line="256" w:lineRule="auto"/>
        <w:tabs>
          <w:tab w:leader="none" w:pos="28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spacing w:after="0" w:line="11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The following table sets out information regarding compensation earned by members of the Management Board during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05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0" w:type="dxa"/>
            <w:vAlign w:val="bottom"/>
          </w:tcPr>
          <w:p>
            <w:pPr>
              <w:jc w:val="right"/>
              <w:ind w:right="347"/>
              <w:spacing w:after="0"/>
              <w:rPr>
                <w:sz w:val="20"/>
                <w:szCs w:val="20"/>
                <w:color w:val="auto"/>
              </w:rPr>
            </w:pPr>
            <w:r>
              <w:rPr>
                <w:rFonts w:ascii="Times New Roman" w:cs="Times New Roman" w:eastAsia="Times New Roman" w:hAnsi="Times New Roman"/>
                <w:sz w:val="19"/>
                <w:szCs w:val="19"/>
                <w:b w:val="1"/>
                <w:bCs w:val="1"/>
                <w:color w:val="auto"/>
              </w:rPr>
              <w:t>Non-Equity</w:t>
            </w:r>
          </w:p>
        </w:tc>
        <w:tc>
          <w:tcPr>
            <w:tcW w:w="1920" w:type="dxa"/>
            <w:vAlign w:val="bottom"/>
          </w:tcPr>
          <w:p>
            <w:pPr>
              <w:jc w:val="right"/>
              <w:ind w:right="234"/>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6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Name and principal</w:t>
            </w:r>
          </w:p>
        </w:tc>
        <w:tc>
          <w:tcPr>
            <w:tcW w:w="1320" w:type="dxa"/>
            <w:vAlign w:val="bottom"/>
            <w:vMerge w:val="restart"/>
          </w:tcPr>
          <w:p>
            <w:pPr>
              <w:jc w:val="right"/>
              <w:ind w:right="267"/>
              <w:spacing w:after="0"/>
              <w:rPr>
                <w:sz w:val="20"/>
                <w:szCs w:val="20"/>
                <w:color w:val="auto"/>
              </w:rPr>
            </w:pPr>
            <w:r>
              <w:rPr>
                <w:rFonts w:ascii="Times New Roman" w:cs="Times New Roman" w:eastAsia="Times New Roman" w:hAnsi="Times New Roman"/>
                <w:sz w:val="19"/>
                <w:szCs w:val="19"/>
                <w:b w:val="1"/>
                <w:bCs w:val="1"/>
                <w:color w:val="auto"/>
              </w:rPr>
              <w:t>Salary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Bonus</w:t>
            </w:r>
            <w:r>
              <w:rPr>
                <w:rFonts w:ascii="Times New Roman" w:cs="Times New Roman" w:eastAsia="Times New Roman" w:hAnsi="Times New Roman"/>
                <w:sz w:val="24"/>
                <w:szCs w:val="24"/>
                <w:b w:val="1"/>
                <w:bCs w:val="1"/>
                <w:color w:val="auto"/>
                <w:vertAlign w:val="superscript"/>
              </w:rPr>
              <w:t>(1)</w:t>
            </w:r>
          </w:p>
        </w:tc>
        <w:tc>
          <w:tcPr>
            <w:tcW w:w="1680" w:type="dxa"/>
            <w:vAlign w:val="bottom"/>
            <w:vMerge w:val="restart"/>
          </w:tcPr>
          <w:p>
            <w:pPr>
              <w:jc w:val="right"/>
              <w:ind w:right="327"/>
              <w:spacing w:after="0"/>
              <w:rPr>
                <w:sz w:val="20"/>
                <w:szCs w:val="20"/>
                <w:color w:val="auto"/>
              </w:rPr>
            </w:pPr>
            <w:r>
              <w:rPr>
                <w:rFonts w:ascii="Times New Roman" w:cs="Times New Roman" w:eastAsia="Times New Roman" w:hAnsi="Times New Roman"/>
                <w:sz w:val="19"/>
                <w:szCs w:val="19"/>
                <w:b w:val="1"/>
                <w:bCs w:val="1"/>
                <w:color w:val="auto"/>
              </w:rPr>
              <w:t>Equity Awards</w:t>
            </w:r>
          </w:p>
        </w:tc>
        <w:tc>
          <w:tcPr>
            <w:tcW w:w="2000" w:type="dxa"/>
            <w:vAlign w:val="bottom"/>
          </w:tcPr>
          <w:p>
            <w:pPr>
              <w:jc w:val="right"/>
              <w:ind w:right="347"/>
              <w:spacing w:after="0"/>
              <w:rPr>
                <w:sz w:val="20"/>
                <w:szCs w:val="20"/>
                <w:color w:val="auto"/>
              </w:rPr>
            </w:pPr>
            <w:r>
              <w:rPr>
                <w:rFonts w:ascii="Times New Roman" w:cs="Times New Roman" w:eastAsia="Times New Roman" w:hAnsi="Times New Roman"/>
                <w:sz w:val="19"/>
                <w:szCs w:val="19"/>
                <w:b w:val="1"/>
                <w:bCs w:val="1"/>
                <w:color w:val="auto"/>
              </w:rPr>
              <w:t>Incentive Plan</w:t>
            </w:r>
          </w:p>
        </w:tc>
        <w:tc>
          <w:tcPr>
            <w:tcW w:w="1920" w:type="dxa"/>
            <w:vAlign w:val="bottom"/>
          </w:tcPr>
          <w:p>
            <w:pPr>
              <w:jc w:val="right"/>
              <w:ind w:right="234"/>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9"/>
                <w:szCs w:val="19"/>
                <w:b w:val="1"/>
                <w:bCs w:val="1"/>
                <w:color w:val="auto"/>
                <w:w w:val="87"/>
              </w:rPr>
              <w:t>Total</w:t>
            </w:r>
            <w:r>
              <w:rPr>
                <w:rFonts w:ascii="Times New Roman" w:cs="Times New Roman" w:eastAsia="Times New Roman" w:hAnsi="Times New Roman"/>
                <w:sz w:val="24"/>
                <w:szCs w:val="24"/>
                <w:b w:val="1"/>
                <w:bCs w:val="1"/>
                <w:color w:val="auto"/>
                <w:w w:val="87"/>
                <w:vertAlign w:val="superscript"/>
              </w:rPr>
              <w:t>(4)</w:t>
            </w:r>
          </w:p>
        </w:tc>
        <w:tc>
          <w:tcPr>
            <w:tcW w:w="0" w:type="dxa"/>
            <w:vAlign w:val="bottom"/>
          </w:tcPr>
          <w:p>
            <w:pPr>
              <w:spacing w:after="0"/>
              <w:rPr>
                <w:sz w:val="1"/>
                <w:szCs w:val="1"/>
                <w:color w:val="auto"/>
              </w:rPr>
            </w:pPr>
          </w:p>
        </w:tc>
      </w:tr>
      <w:tr>
        <w:trPr>
          <w:trHeight w:val="266"/>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position</w:t>
            </w:r>
          </w:p>
        </w:tc>
        <w:tc>
          <w:tcPr>
            <w:tcW w:w="1320" w:type="dxa"/>
            <w:vAlign w:val="bottom"/>
            <w:tcBorders>
              <w:bottom w:val="single" w:sz="8" w:color="auto"/>
            </w:tcBorders>
            <w:vMerge w:val="continue"/>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680" w:type="dxa"/>
            <w:vAlign w:val="bottom"/>
            <w:tcBorders>
              <w:bottom w:val="single" w:sz="8" w:color="auto"/>
            </w:tcBorders>
            <w:vMerge w:val="continue"/>
          </w:tcPr>
          <w:p>
            <w:pPr>
              <w:spacing w:after="0"/>
              <w:rPr>
                <w:sz w:val="23"/>
                <w:szCs w:val="23"/>
                <w:color w:val="auto"/>
              </w:rPr>
            </w:pPr>
          </w:p>
        </w:tc>
        <w:tc>
          <w:tcPr>
            <w:tcW w:w="20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1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2"/>
                <w:szCs w:val="12"/>
                <w:b w:val="1"/>
                <w:bCs w:val="1"/>
                <w:color w:val="auto"/>
              </w:rPr>
              <w:t>(2)(3)</w:t>
            </w:r>
          </w:p>
        </w:tc>
        <w:tc>
          <w:tcPr>
            <w:tcW w:w="9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80" w:type="dxa"/>
            <w:vAlign w:val="bottom"/>
            <w:gridSpan w:val="2"/>
          </w:tcPr>
          <w:p>
            <w:pPr>
              <w:jc w:val="right"/>
              <w:ind w:right="907"/>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Patrick Amstutz</w:t>
            </w:r>
          </w:p>
        </w:tc>
        <w:tc>
          <w:tcPr>
            <w:tcW w:w="1320" w:type="dxa"/>
            <w:vAlign w:val="bottom"/>
            <w:tcBorders>
              <w:bottom w:val="single" w:sz="8" w:color="CCEEFF"/>
            </w:tcBorders>
            <w:shd w:val="clear" w:color="auto" w:fill="CCEEFF"/>
          </w:tcPr>
          <w:p>
            <w:pPr>
              <w:jc w:val="right"/>
              <w:ind w:right="387"/>
              <w:spacing w:after="0"/>
              <w:rPr>
                <w:sz w:val="20"/>
                <w:szCs w:val="20"/>
                <w:color w:val="auto"/>
              </w:rPr>
            </w:pPr>
            <w:r>
              <w:rPr>
                <w:rFonts w:ascii="Times New Roman" w:cs="Times New Roman" w:eastAsia="Times New Roman" w:hAnsi="Times New Roman"/>
                <w:sz w:val="19"/>
                <w:szCs w:val="19"/>
                <w:color w:val="auto"/>
              </w:rPr>
              <w:t>385</w:t>
            </w:r>
          </w:p>
        </w:tc>
        <w:tc>
          <w:tcPr>
            <w:tcW w:w="106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9"/>
                <w:szCs w:val="19"/>
                <w:color w:val="auto"/>
              </w:rPr>
              <w:t>174</w:t>
            </w:r>
          </w:p>
        </w:tc>
        <w:tc>
          <w:tcPr>
            <w:tcW w:w="16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443</w:t>
            </w:r>
          </w:p>
        </w:tc>
        <w:tc>
          <w:tcPr>
            <w:tcW w:w="2000" w:type="dxa"/>
            <w:vAlign w:val="bottom"/>
            <w:tcBorders>
              <w:bottom w:val="single" w:sz="8" w:color="CCEEFF"/>
            </w:tcBorders>
            <w:shd w:val="clear" w:color="auto" w:fill="CCEEFF"/>
          </w:tcPr>
          <w:p>
            <w:pPr>
              <w:jc w:val="right"/>
              <w:ind w:right="507"/>
              <w:spacing w:after="0"/>
              <w:rPr>
                <w:sz w:val="20"/>
                <w:szCs w:val="20"/>
                <w:color w:val="auto"/>
              </w:rPr>
            </w:pPr>
            <w:r>
              <w:rPr>
                <w:rFonts w:ascii="Times New Roman" w:cs="Times New Roman" w:eastAsia="Times New Roman" w:hAnsi="Times New Roman"/>
                <w:sz w:val="19"/>
                <w:szCs w:val="19"/>
                <w:color w:val="auto"/>
              </w:rPr>
              <w:t>0</w:t>
            </w:r>
          </w:p>
        </w:tc>
        <w:tc>
          <w:tcPr>
            <w:tcW w:w="19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9"/>
                <w:szCs w:val="19"/>
                <w:color w:val="auto"/>
              </w:rPr>
              <w:t>93</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9"/>
                <w:szCs w:val="19"/>
                <w:color w:val="auto"/>
              </w:rPr>
              <w:t>1,095</w:t>
            </w:r>
          </w:p>
        </w:tc>
        <w:tc>
          <w:tcPr>
            <w:tcW w:w="0" w:type="dxa"/>
            <w:vAlign w:val="bottom"/>
          </w:tcPr>
          <w:p>
            <w:pPr>
              <w:spacing w:after="0"/>
              <w:rPr>
                <w:sz w:val="1"/>
                <w:szCs w:val="1"/>
                <w:color w:val="auto"/>
              </w:rPr>
            </w:pPr>
          </w:p>
        </w:tc>
      </w:tr>
      <w:tr>
        <w:trPr>
          <w:trHeight w:val="228"/>
        </w:trPr>
        <w:tc>
          <w:tcPr>
            <w:tcW w:w="23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Chief Executive Officer,</w:t>
            </w: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Director and Co-Founder</w:t>
            </w:r>
          </w:p>
        </w:tc>
        <w:tc>
          <w:tcPr>
            <w:tcW w:w="1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Management Board</w:t>
            </w:r>
          </w:p>
        </w:tc>
        <w:tc>
          <w:tcPr>
            <w:tcW w:w="1320" w:type="dxa"/>
            <w:vAlign w:val="bottom"/>
            <w:tcBorders>
              <w:bottom w:val="single" w:sz="8" w:color="CCEEFF"/>
            </w:tcBorders>
            <w:shd w:val="clear" w:color="auto" w:fill="CCEEFF"/>
          </w:tcPr>
          <w:p>
            <w:pPr>
              <w:jc w:val="right"/>
              <w:ind w:right="387"/>
              <w:spacing w:after="0"/>
              <w:rPr>
                <w:sz w:val="20"/>
                <w:szCs w:val="20"/>
                <w:color w:val="auto"/>
              </w:rPr>
            </w:pPr>
            <w:r>
              <w:rPr>
                <w:rFonts w:ascii="Times New Roman" w:cs="Times New Roman" w:eastAsia="Times New Roman" w:hAnsi="Times New Roman"/>
                <w:sz w:val="19"/>
                <w:szCs w:val="19"/>
                <w:color w:val="auto"/>
              </w:rPr>
              <w:t>1,623</w:t>
            </w:r>
          </w:p>
        </w:tc>
        <w:tc>
          <w:tcPr>
            <w:tcW w:w="106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9"/>
                <w:szCs w:val="19"/>
                <w:color w:val="auto"/>
              </w:rPr>
              <w:t>613</w:t>
            </w:r>
          </w:p>
        </w:tc>
        <w:tc>
          <w:tcPr>
            <w:tcW w:w="16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1,525</w:t>
            </w:r>
          </w:p>
        </w:tc>
        <w:tc>
          <w:tcPr>
            <w:tcW w:w="2000" w:type="dxa"/>
            <w:vAlign w:val="bottom"/>
            <w:tcBorders>
              <w:bottom w:val="single" w:sz="8" w:color="CCEEFF"/>
            </w:tcBorders>
            <w:shd w:val="clear" w:color="auto" w:fill="CCEEFF"/>
          </w:tcPr>
          <w:p>
            <w:pPr>
              <w:jc w:val="right"/>
              <w:ind w:right="507"/>
              <w:spacing w:after="0"/>
              <w:rPr>
                <w:sz w:val="20"/>
                <w:szCs w:val="20"/>
                <w:color w:val="auto"/>
              </w:rPr>
            </w:pPr>
            <w:r>
              <w:rPr>
                <w:rFonts w:ascii="Times New Roman" w:cs="Times New Roman" w:eastAsia="Times New Roman" w:hAnsi="Times New Roman"/>
                <w:sz w:val="19"/>
                <w:szCs w:val="19"/>
                <w:color w:val="auto"/>
              </w:rPr>
              <w:t>0</w:t>
            </w:r>
          </w:p>
        </w:tc>
        <w:tc>
          <w:tcPr>
            <w:tcW w:w="19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9"/>
                <w:szCs w:val="19"/>
                <w:color w:val="auto"/>
              </w:rPr>
              <w:t>376</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9"/>
                <w:szCs w:val="19"/>
                <w:color w:val="auto"/>
              </w:rPr>
              <w:t>4,137</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00" w:hanging="299"/>
        <w:spacing w:after="0"/>
        <w:tabs>
          <w:tab w:leader="none" w:pos="3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amounts earned in 2024.</w:t>
      </w:r>
    </w:p>
    <w:p>
      <w:pPr>
        <w:spacing w:after="0" w:line="1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pension and social security contributions during 2024 on base salary, bonus and the vesting of the PSUs 2021.</w:t>
      </w:r>
    </w:p>
    <w:p>
      <w:pPr>
        <w:spacing w:after="0" w:line="2" w:lineRule="exact"/>
        <w:rPr>
          <w:rFonts w:ascii="Times New Roman" w:cs="Times New Roman" w:eastAsia="Times New Roman" w:hAnsi="Times New Roman"/>
          <w:sz w:val="19"/>
          <w:szCs w:val="19"/>
          <w:color w:val="auto"/>
        </w:rPr>
      </w:pPr>
    </w:p>
    <w:p>
      <w:pPr>
        <w:ind w:left="300" w:right="160" w:hanging="299"/>
        <w:spacing w:after="0" w:line="245" w:lineRule="auto"/>
        <w:tabs>
          <w:tab w:leader="none" w:pos="28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upon vesting of the PSUs 2024 in 2027, we will be obliged to make employer contributions to social security pursuant to applicable mandatory law. As an estimate based on currently applicable contribution rates, the employer contributions on the PSUs 2024 expected to vest in 2027 will amount to approximately TCHF 76 (assuming 100% target achievement and full vesting of the PSUs).</w:t>
      </w:r>
    </w:p>
    <w:p>
      <w:pPr>
        <w:spacing w:after="0" w:line="2" w:lineRule="exact"/>
        <w:rPr>
          <w:rFonts w:ascii="Times New Roman" w:cs="Times New Roman" w:eastAsia="Times New Roman" w:hAnsi="Times New Roman"/>
          <w:sz w:val="19"/>
          <w:szCs w:val="19"/>
          <w:color w:val="auto"/>
        </w:rPr>
      </w:pPr>
    </w:p>
    <w:p>
      <w:pPr>
        <w:ind w:left="300" w:right="140" w:hanging="299"/>
        <w:spacing w:after="0" w:line="246" w:lineRule="auto"/>
        <w:tabs>
          <w:tab w:leader="none" w:pos="28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compensation awarded to members of the Management Board shown in this table does not include the items mentioned in the foregoing note (3).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Compensation Arrangements</w:t>
      </w:r>
    </w:p>
    <w:p>
      <w:pPr>
        <w:spacing w:after="0" w:line="14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For a discussion of our employment arrangements with our executive officers, see the section of this Annual Report on Form 20-F entitled “Related Party Transactions—Agreements with Our Directors and Executive Officers—Employment Arrangements.” Except for the arrangements described in the section of this Annual Report on Form 20-F entitled “Related Party Transactions—Agreements with Our Directors and Executive Officers— Employment Arrangements,” there are no arrangements or understanding between us and any of our other executive officers providing for benefits upon termination of their employment, other than as required by applicable law.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Adoption of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0" w:name="page141"/>
    <w:bookmarkEnd w:id="140"/>
    <w:p>
      <w:pPr>
        <w:ind w:right="60"/>
        <w:spacing w:after="0" w:line="275" w:lineRule="auto"/>
        <w:rPr>
          <w:sz w:val="20"/>
          <w:szCs w:val="20"/>
          <w:color w:val="auto"/>
        </w:rPr>
      </w:pPr>
      <w:r>
        <w:rPr>
          <w:rFonts w:ascii="Times New Roman" w:cs="Times New Roman" w:eastAsia="Times New Roman" w:hAnsi="Times New Roman"/>
          <w:sz w:val="19"/>
          <w:szCs w:val="19"/>
          <w:color w:val="auto"/>
        </w:rPr>
        <w:t>On November 14, 2023, in accordance with Rule 10D-1 promulgated under the Exchange Act and Nasdaq Listing Rule 5608, we adopted an incentive compensation recoupment policy which is filed herewith as Exhibit 97.1.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Limitations on Liability and Indemnification Matters</w:t>
      </w:r>
    </w:p>
    <w:p>
      <w:pPr>
        <w:spacing w:after="0" w:line="14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spacing w:after="0" w:line="1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spacing w:after="0" w:line="1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a corporation may enter into and pay for directors' and officers' liability insurance which typically covers negligent acts as well.</w:t>
      </w:r>
    </w:p>
    <w:p>
      <w:pPr>
        <w:spacing w:after="0" w:line="1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We extended liability insurance for our directors and officers, including insurance coverage for liability under the Securities Act. We believe that this insurance is necessary to attract qualified directors and executive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Incentives</w:t>
      </w:r>
    </w:p>
    <w:p>
      <w:pPr>
        <w:spacing w:after="0" w:line="15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19" w:lineRule="exact"/>
        <w:rPr>
          <w:sz w:val="20"/>
          <w:szCs w:val="20"/>
          <w:color w:val="auto"/>
        </w:rPr>
      </w:pPr>
    </w:p>
    <w:p>
      <w:pPr>
        <w:ind w:left="300" w:hanging="299"/>
        <w:spacing w:after="0"/>
        <w:tabs>
          <w:tab w:leader="none" w:pos="30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Units, or RSUs, granted to our directors;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Share Units, or PSUs, granted to our executive officers and employees;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 options granted to employees, directors and selected advisors.</w:t>
      </w:r>
    </w:p>
    <w:p>
      <w:pPr>
        <w:spacing w:after="0" w:line="13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Our articles of association authorize the board of directors to issue one or more participation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1" w:name="page142"/>
    <w:bookmarkEnd w:id="141"/>
    <w:p>
      <w:pPr>
        <w:ind w:right="240"/>
        <w:spacing w:after="0" w:line="304" w:lineRule="auto"/>
        <w:rPr>
          <w:sz w:val="20"/>
          <w:szCs w:val="20"/>
          <w:color w:val="auto"/>
        </w:rPr>
      </w:pPr>
      <w:r>
        <w:rPr>
          <w:rFonts w:ascii="Times New Roman" w:cs="Times New Roman" w:eastAsia="Times New Roman" w:hAnsi="Times New Roman"/>
          <w:sz w:val="18"/>
          <w:szCs w:val="18"/>
          <w:color w:val="auto"/>
        </w:rPr>
        <w:t>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Share Options</w:t>
      </w:r>
    </w:p>
    <w:p>
      <w:pPr>
        <w:spacing w:after="0" w:line="14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on SIX Swiss Exchange on November 5, 2014, which we refer to as our Swiss IPO, our board of directors established three share option plans: (i) the Employee Share Option Plan 2007, or ESOP 2007, (ii) the Employee Share Option Plan 2009, or ESOP 2009, and (iii) the Employee Share Option Plan 2014, or ESOP 2014, with similar features as the ESOP 2009, but no longer providing for accelerated vesting of options in the event of our Swiss IPO. Each option entitles its holder to purchase one of our shares at the pre-defined exercise price. The number of options granted to each participant was determined by the board of directors based on a participant’s position and level of responsibility. As a rule, the options vested quarterly over a four-year period. At the end of the option term, the unexercised options expire without value.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no options were outstanding under the ESOP plans.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Restricted Share Units (RSUs)</w:t>
      </w:r>
    </w:p>
    <w:p>
      <w:pPr>
        <w:spacing w:after="0" w:line="13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Under the LTI Plans, described in “—</w:t>
      </w:r>
      <w:r>
        <w:rPr>
          <w:rFonts w:ascii="Times New Roman" w:cs="Times New Roman" w:eastAsia="Times New Roman" w:hAnsi="Times New Roman"/>
          <w:sz w:val="19"/>
          <w:szCs w:val="19"/>
          <w:i w:val="1"/>
          <w:iCs w:val="1"/>
          <w:color w:val="auto"/>
        </w:rPr>
        <w:t>Long-Term Incentive Plans</w:t>
      </w:r>
      <w:r>
        <w:rPr>
          <w:rFonts w:ascii="Times New Roman" w:cs="Times New Roman" w:eastAsia="Times New Roman" w:hAnsi="Times New Roman"/>
          <w:sz w:val="19"/>
          <w:szCs w:val="19"/>
          <w:color w:val="auto"/>
        </w:rPr>
        <w:t xml:space="preserve">”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the number of shares does not depend on the achievement of certain pre-defined performance metrics. In certain circumstances, including a change of control, a full or partial early vesting of the RSUs may occur.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345,798 RSUs were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Performance Share Units (PSUs)</w:t>
      </w:r>
    </w:p>
    <w:p>
      <w:pPr>
        <w:spacing w:after="0" w:line="13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Under the LTI Plans, described in “—</w:t>
      </w:r>
      <w:r>
        <w:rPr>
          <w:rFonts w:ascii="Times New Roman" w:cs="Times New Roman" w:eastAsia="Times New Roman" w:hAnsi="Times New Roman"/>
          <w:sz w:val="19"/>
          <w:szCs w:val="19"/>
          <w:i w:val="1"/>
          <w:iCs w:val="1"/>
          <w:color w:val="auto"/>
        </w:rPr>
        <w:t>Long-Term Incentive Plans</w:t>
      </w:r>
      <w:r>
        <w:rPr>
          <w:rFonts w:ascii="Times New Roman" w:cs="Times New Roman" w:eastAsia="Times New Roman" w:hAnsi="Times New Roman"/>
          <w:sz w:val="19"/>
          <w:szCs w:val="19"/>
          <w:color w:val="auto"/>
        </w:rPr>
        <w:t>”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150%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2,247,267 PSUs were outstanding.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Long-Term Incentive Plans</w:t>
      </w:r>
    </w:p>
    <w:p>
      <w:pPr>
        <w:spacing w:after="0" w:line="14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Our long-term incentive plans established in March of 2015, March of 2016, March of 2017, March of 2018, March of 2019, March of 2020, March of 2021, March of 2022, March of 2023 and March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2" w:name="page143"/>
    <w:bookmarkEnd w:id="142"/>
    <w:p>
      <w:pPr>
        <w:spacing w:after="0" w:line="266" w:lineRule="auto"/>
        <w:rPr>
          <w:sz w:val="20"/>
          <w:szCs w:val="20"/>
          <w:color w:val="auto"/>
        </w:rPr>
      </w:pPr>
      <w:r>
        <w:rPr>
          <w:rFonts w:ascii="Times New Roman" w:cs="Times New Roman" w:eastAsia="Times New Roman" w:hAnsi="Times New Roman"/>
          <w:sz w:val="18"/>
          <w:szCs w:val="18"/>
          <w:color w:val="auto"/>
        </w:rPr>
        <w:t>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Board Practices.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currently have eight directors, four of whom are citizens or residents of the United States.</w:t>
      </w:r>
    </w:p>
    <w:p>
      <w:pPr>
        <w:spacing w:after="0" w:line="13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Our articles of association provide that our board of directors shall consist of a minimum of three members and maximum of eleven members. All directors (including the chairperson of the board of 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of our directors, the year of their initial appointment as directors and the expiration dates of their current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05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5320" w:type="dxa"/>
            <w:vAlign w:val="bottom"/>
            <w:vMerge w:val="restart"/>
          </w:tcPr>
          <w:p>
            <w:pPr>
              <w:ind w:left="560"/>
              <w:spacing w:after="0"/>
              <w:rPr>
                <w:sz w:val="20"/>
                <w:szCs w:val="20"/>
                <w:color w:val="auto"/>
              </w:rPr>
            </w:pPr>
            <w:r>
              <w:rPr>
                <w:rFonts w:ascii="Times New Roman" w:cs="Times New Roman" w:eastAsia="Times New Roman" w:hAnsi="Times New Roman"/>
                <w:sz w:val="19"/>
                <w:szCs w:val="19"/>
                <w:b w:val="1"/>
                <w:bCs w:val="1"/>
                <w:color w:val="auto"/>
              </w:rPr>
              <w:t>Current Position</w:t>
            </w:r>
          </w:p>
        </w:tc>
        <w:tc>
          <w:tcPr>
            <w:tcW w:w="2100" w:type="dxa"/>
            <w:vAlign w:val="bottom"/>
          </w:tcPr>
          <w:p>
            <w:pPr>
              <w:jc w:val="center"/>
              <w:ind w:left="731"/>
              <w:spacing w:after="0"/>
              <w:rPr>
                <w:sz w:val="20"/>
                <w:szCs w:val="20"/>
                <w:color w:val="auto"/>
              </w:rPr>
            </w:pPr>
            <w:r>
              <w:rPr>
                <w:rFonts w:ascii="Times New Roman" w:cs="Times New Roman" w:eastAsia="Times New Roman" w:hAnsi="Times New Roman"/>
                <w:sz w:val="15"/>
                <w:szCs w:val="15"/>
                <w:b w:val="1"/>
                <w:bCs w:val="1"/>
                <w:color w:val="auto"/>
              </w:rPr>
              <w:t>Year of Initial</w:t>
            </w:r>
          </w:p>
        </w:tc>
        <w:tc>
          <w:tcPr>
            <w:tcW w:w="1340" w:type="dxa"/>
            <w:vAlign w:val="bottom"/>
          </w:tcPr>
          <w:p>
            <w:pPr>
              <w:jc w:val="center"/>
              <w:ind w:left="51"/>
              <w:spacing w:after="0"/>
              <w:rPr>
                <w:sz w:val="20"/>
                <w:szCs w:val="20"/>
                <w:color w:val="auto"/>
              </w:rPr>
            </w:pPr>
            <w:r>
              <w:rPr>
                <w:rFonts w:ascii="Times New Roman" w:cs="Times New Roman" w:eastAsia="Times New Roman" w:hAnsi="Times New Roman"/>
                <w:sz w:val="15"/>
                <w:szCs w:val="15"/>
                <w:b w:val="1"/>
                <w:bCs w:val="1"/>
                <w:color w:val="auto"/>
                <w:w w:val="99"/>
              </w:rPr>
              <w:t>Term Expiration</w:t>
            </w:r>
          </w:p>
        </w:tc>
        <w:tc>
          <w:tcPr>
            <w:tcW w:w="0" w:type="dxa"/>
            <w:vAlign w:val="bottom"/>
          </w:tcPr>
          <w:p>
            <w:pPr>
              <w:spacing w:after="0"/>
              <w:rPr>
                <w:sz w:val="1"/>
                <w:szCs w:val="1"/>
                <w:color w:val="auto"/>
              </w:rPr>
            </w:pPr>
          </w:p>
        </w:tc>
      </w:tr>
      <w:tr>
        <w:trPr>
          <w:trHeight w:val="257"/>
        </w:trPr>
        <w:tc>
          <w:tcPr>
            <w:tcW w:w="2480" w:type="dxa"/>
            <w:vAlign w:val="bottom"/>
            <w:tcBorders>
              <w:bottom w:val="single" w:sz="8" w:color="auto"/>
            </w:tcBorders>
            <w:vMerge w:val="continue"/>
          </w:tcPr>
          <w:p>
            <w:pPr>
              <w:spacing w:after="0"/>
              <w:rPr>
                <w:sz w:val="22"/>
                <w:szCs w:val="22"/>
                <w:color w:val="auto"/>
              </w:rPr>
            </w:pPr>
          </w:p>
        </w:tc>
        <w:tc>
          <w:tcPr>
            <w:tcW w:w="5320" w:type="dxa"/>
            <w:vAlign w:val="bottom"/>
            <w:tcBorders>
              <w:bottom w:val="single" w:sz="8" w:color="auto"/>
            </w:tcBorders>
            <w:vMerge w:val="continue"/>
          </w:tcPr>
          <w:p>
            <w:pPr>
              <w:spacing w:after="0"/>
              <w:rPr>
                <w:sz w:val="22"/>
                <w:szCs w:val="22"/>
                <w:color w:val="auto"/>
              </w:rPr>
            </w:pPr>
          </w:p>
        </w:tc>
        <w:tc>
          <w:tcPr>
            <w:tcW w:w="210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5"/>
                <w:szCs w:val="15"/>
                <w:b w:val="1"/>
                <w:bCs w:val="1"/>
                <w:color w:val="auto"/>
              </w:rPr>
              <w:t>Appointment</w:t>
            </w:r>
          </w:p>
        </w:tc>
        <w:tc>
          <w:tcPr>
            <w:tcW w:w="13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5"/>
                <w:szCs w:val="15"/>
                <w:b w:val="1"/>
                <w:bCs w:val="1"/>
                <w:color w:val="auto"/>
                <w:w w:val="90"/>
              </w:rPr>
              <w:t>Year</w:t>
            </w:r>
            <w:r>
              <w:rPr>
                <w:rFonts w:ascii="Times New Roman" w:cs="Times New Roman" w:eastAsia="Times New Roman" w:hAnsi="Times New Roman"/>
                <w:sz w:val="19"/>
                <w:szCs w:val="19"/>
                <w:b w:val="1"/>
                <w:bCs w:val="1"/>
                <w:color w:val="auto"/>
                <w:w w:val="90"/>
                <w:vertAlign w:val="superscript"/>
              </w:rPr>
              <w:t>(1)</w:t>
            </w:r>
          </w:p>
        </w:tc>
        <w:tc>
          <w:tcPr>
            <w:tcW w:w="0" w:type="dxa"/>
            <w:vAlign w:val="bottom"/>
          </w:tcPr>
          <w:p>
            <w:pPr>
              <w:spacing w:after="0"/>
              <w:rPr>
                <w:sz w:val="1"/>
                <w:szCs w:val="1"/>
                <w:color w:val="auto"/>
              </w:rPr>
            </w:pPr>
          </w:p>
        </w:tc>
      </w:tr>
      <w:tr>
        <w:trPr>
          <w:trHeight w:val="251"/>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William M. Burns</w:t>
            </w:r>
          </w:p>
        </w:tc>
        <w:tc>
          <w:tcPr>
            <w:tcW w:w="5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9"/>
                <w:szCs w:val="19"/>
                <w:color w:val="auto"/>
              </w:rPr>
              <w:t>Chairman of the Board</w:t>
            </w:r>
          </w:p>
        </w:tc>
        <w:tc>
          <w:tcPr>
            <w:tcW w:w="2100" w:type="dxa"/>
            <w:vAlign w:val="bottom"/>
            <w:tcBorders>
              <w:bottom w:val="single" w:sz="8" w:color="CCEEFF"/>
            </w:tcBorders>
            <w:shd w:val="clear" w:color="auto" w:fill="CCEEFF"/>
          </w:tcPr>
          <w:p>
            <w:pPr>
              <w:jc w:val="center"/>
              <w:ind w:left="731"/>
              <w:spacing w:after="0"/>
              <w:rPr>
                <w:sz w:val="20"/>
                <w:szCs w:val="20"/>
                <w:color w:val="auto"/>
              </w:rPr>
            </w:pPr>
            <w:r>
              <w:rPr>
                <w:rFonts w:ascii="Times New Roman" w:cs="Times New Roman" w:eastAsia="Times New Roman" w:hAnsi="Times New Roman"/>
                <w:sz w:val="19"/>
                <w:szCs w:val="19"/>
                <w:color w:val="auto"/>
                <w:w w:val="94"/>
              </w:rPr>
              <w:t>2017</w:t>
            </w:r>
          </w:p>
        </w:tc>
        <w:tc>
          <w:tcPr>
            <w:tcW w:w="13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246"/>
        </w:trPr>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Patrick Amstutz</w:t>
            </w:r>
          </w:p>
        </w:tc>
        <w:tc>
          <w:tcPr>
            <w:tcW w:w="532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Chief Executive Officer, Director and Co-Founder</w:t>
            </w:r>
          </w:p>
        </w:tc>
        <w:tc>
          <w:tcPr>
            <w:tcW w:w="2100" w:type="dxa"/>
            <w:vAlign w:val="bottom"/>
          </w:tcPr>
          <w:p>
            <w:pPr>
              <w:jc w:val="center"/>
              <w:ind w:left="731"/>
              <w:spacing w:after="0"/>
              <w:rPr>
                <w:sz w:val="20"/>
                <w:szCs w:val="20"/>
                <w:color w:val="auto"/>
              </w:rPr>
            </w:pPr>
            <w:r>
              <w:rPr>
                <w:rFonts w:ascii="Times New Roman" w:cs="Times New Roman" w:eastAsia="Times New Roman" w:hAnsi="Times New Roman"/>
                <w:sz w:val="19"/>
                <w:szCs w:val="19"/>
                <w:color w:val="auto"/>
                <w:w w:val="94"/>
              </w:rPr>
              <w:t>2017</w:t>
            </w:r>
          </w:p>
        </w:tc>
        <w:tc>
          <w:tcPr>
            <w:tcW w:w="1340" w:type="dxa"/>
            <w:vAlign w:val="bottom"/>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Steven H. Holtzman</w:t>
            </w:r>
          </w:p>
        </w:tc>
        <w:tc>
          <w:tcPr>
            <w:tcW w:w="5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Borders>
              <w:bottom w:val="single" w:sz="8" w:color="CCEEFF"/>
            </w:tcBorders>
            <w:shd w:val="clear" w:color="auto" w:fill="CCEEFF"/>
          </w:tcPr>
          <w:p>
            <w:pPr>
              <w:jc w:val="center"/>
              <w:ind w:left="731"/>
              <w:spacing w:after="0"/>
              <w:rPr>
                <w:sz w:val="20"/>
                <w:szCs w:val="20"/>
                <w:color w:val="auto"/>
              </w:rPr>
            </w:pPr>
            <w:r>
              <w:rPr>
                <w:rFonts w:ascii="Times New Roman" w:cs="Times New Roman" w:eastAsia="Times New Roman" w:hAnsi="Times New Roman"/>
                <w:sz w:val="19"/>
                <w:szCs w:val="19"/>
                <w:color w:val="auto"/>
                <w:w w:val="94"/>
              </w:rPr>
              <w:t>2014</w:t>
            </w:r>
          </w:p>
        </w:tc>
        <w:tc>
          <w:tcPr>
            <w:tcW w:w="13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246"/>
        </w:trPr>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Sandip Kapadia</w:t>
            </w:r>
          </w:p>
        </w:tc>
        <w:tc>
          <w:tcPr>
            <w:tcW w:w="532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Pr>
          <w:p>
            <w:pPr>
              <w:jc w:val="center"/>
              <w:ind w:left="731"/>
              <w:spacing w:after="0"/>
              <w:rPr>
                <w:sz w:val="20"/>
                <w:szCs w:val="20"/>
                <w:color w:val="auto"/>
              </w:rPr>
            </w:pPr>
            <w:r>
              <w:rPr>
                <w:rFonts w:ascii="Times New Roman" w:cs="Times New Roman" w:eastAsia="Times New Roman" w:hAnsi="Times New Roman"/>
                <w:sz w:val="19"/>
                <w:szCs w:val="19"/>
                <w:color w:val="auto"/>
                <w:w w:val="94"/>
              </w:rPr>
              <w:t>2020</w:t>
            </w:r>
          </w:p>
        </w:tc>
        <w:tc>
          <w:tcPr>
            <w:tcW w:w="1340" w:type="dxa"/>
            <w:vAlign w:val="bottom"/>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Vito J. Palombella</w:t>
            </w:r>
          </w:p>
        </w:tc>
        <w:tc>
          <w:tcPr>
            <w:tcW w:w="5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Borders>
              <w:bottom w:val="single" w:sz="8" w:color="CCEEFF"/>
            </w:tcBorders>
            <w:shd w:val="clear" w:color="auto" w:fill="CCEEFF"/>
          </w:tcPr>
          <w:p>
            <w:pPr>
              <w:jc w:val="center"/>
              <w:ind w:left="731"/>
              <w:spacing w:after="0"/>
              <w:rPr>
                <w:sz w:val="20"/>
                <w:szCs w:val="20"/>
                <w:color w:val="auto"/>
              </w:rPr>
            </w:pPr>
            <w:r>
              <w:rPr>
                <w:rFonts w:ascii="Times New Roman" w:cs="Times New Roman" w:eastAsia="Times New Roman" w:hAnsi="Times New Roman"/>
                <w:sz w:val="19"/>
                <w:szCs w:val="19"/>
                <w:color w:val="auto"/>
                <w:w w:val="94"/>
              </w:rPr>
              <w:t>2020</w:t>
            </w:r>
          </w:p>
        </w:tc>
        <w:tc>
          <w:tcPr>
            <w:tcW w:w="13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246"/>
        </w:trPr>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Michael Vasconcelles</w:t>
            </w:r>
          </w:p>
        </w:tc>
        <w:tc>
          <w:tcPr>
            <w:tcW w:w="532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Pr>
          <w:p>
            <w:pPr>
              <w:jc w:val="center"/>
              <w:ind w:left="731"/>
              <w:spacing w:after="0"/>
              <w:rPr>
                <w:sz w:val="20"/>
                <w:szCs w:val="20"/>
                <w:color w:val="auto"/>
              </w:rPr>
            </w:pPr>
            <w:r>
              <w:rPr>
                <w:rFonts w:ascii="Times New Roman" w:cs="Times New Roman" w:eastAsia="Times New Roman" w:hAnsi="Times New Roman"/>
                <w:sz w:val="19"/>
                <w:szCs w:val="19"/>
                <w:color w:val="auto"/>
                <w:w w:val="94"/>
              </w:rPr>
              <w:t>2020</w:t>
            </w:r>
          </w:p>
        </w:tc>
        <w:tc>
          <w:tcPr>
            <w:tcW w:w="1340" w:type="dxa"/>
            <w:vAlign w:val="bottom"/>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Agnete Fredriksen</w:t>
            </w:r>
          </w:p>
        </w:tc>
        <w:tc>
          <w:tcPr>
            <w:tcW w:w="5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Borders>
              <w:bottom w:val="single" w:sz="8" w:color="CCEEFF"/>
            </w:tcBorders>
            <w:shd w:val="clear" w:color="auto" w:fill="CCEEFF"/>
          </w:tcPr>
          <w:p>
            <w:pPr>
              <w:jc w:val="center"/>
              <w:ind w:left="731"/>
              <w:spacing w:after="0"/>
              <w:rPr>
                <w:sz w:val="20"/>
                <w:szCs w:val="20"/>
                <w:color w:val="auto"/>
              </w:rPr>
            </w:pPr>
            <w:r>
              <w:rPr>
                <w:rFonts w:ascii="Times New Roman" w:cs="Times New Roman" w:eastAsia="Times New Roman" w:hAnsi="Times New Roman"/>
                <w:sz w:val="19"/>
                <w:szCs w:val="19"/>
                <w:color w:val="auto"/>
                <w:w w:val="94"/>
              </w:rPr>
              <w:t>2021</w:t>
            </w:r>
          </w:p>
        </w:tc>
        <w:tc>
          <w:tcPr>
            <w:tcW w:w="1340" w:type="dxa"/>
            <w:vAlign w:val="bottom"/>
            <w:tcBorders>
              <w:bottom w:val="single" w:sz="8" w:color="CCEEFF"/>
            </w:tcBorders>
            <w:shd w:val="clear" w:color="auto" w:fill="CCEEFF"/>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246"/>
        </w:trPr>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Dominik Höchli</w:t>
            </w:r>
          </w:p>
        </w:tc>
        <w:tc>
          <w:tcPr>
            <w:tcW w:w="5320" w:type="dxa"/>
            <w:vAlign w:val="bottom"/>
          </w:tcPr>
          <w:p>
            <w:pPr>
              <w:ind w:left="560"/>
              <w:spacing w:after="0"/>
              <w:rPr>
                <w:sz w:val="20"/>
                <w:szCs w:val="20"/>
                <w:color w:val="auto"/>
              </w:rPr>
            </w:pPr>
            <w:r>
              <w:rPr>
                <w:rFonts w:ascii="Times New Roman" w:cs="Times New Roman" w:eastAsia="Times New Roman" w:hAnsi="Times New Roman"/>
                <w:sz w:val="19"/>
                <w:szCs w:val="19"/>
                <w:color w:val="auto"/>
              </w:rPr>
              <w:t>Director</w:t>
            </w:r>
          </w:p>
        </w:tc>
        <w:tc>
          <w:tcPr>
            <w:tcW w:w="2100" w:type="dxa"/>
            <w:vAlign w:val="bottom"/>
          </w:tcPr>
          <w:p>
            <w:pPr>
              <w:jc w:val="center"/>
              <w:ind w:left="731"/>
              <w:spacing w:after="0"/>
              <w:rPr>
                <w:sz w:val="20"/>
                <w:szCs w:val="20"/>
                <w:color w:val="auto"/>
              </w:rPr>
            </w:pPr>
            <w:r>
              <w:rPr>
                <w:rFonts w:ascii="Times New Roman" w:cs="Times New Roman" w:eastAsia="Times New Roman" w:hAnsi="Times New Roman"/>
                <w:sz w:val="19"/>
                <w:szCs w:val="19"/>
                <w:color w:val="auto"/>
                <w:w w:val="94"/>
              </w:rPr>
              <w:t>2021</w:t>
            </w:r>
          </w:p>
        </w:tc>
        <w:tc>
          <w:tcPr>
            <w:tcW w:w="1340" w:type="dxa"/>
            <w:vAlign w:val="bottom"/>
          </w:tcPr>
          <w:p>
            <w:pPr>
              <w:jc w:val="center"/>
              <w:ind w:left="71"/>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00" w:hanging="299"/>
        <w:spacing w:after="0"/>
        <w:tabs>
          <w:tab w:leader="none" w:pos="300" w:val="left"/>
        </w:tabs>
        <w:numPr>
          <w:ilvl w:val="0"/>
          <w:numId w:val="7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At the end of the general meeting of shareholders during the year in which their term office expires, in each case as indicated.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Director Independence</w:t>
      </w:r>
    </w:p>
    <w:p>
      <w:pPr>
        <w:spacing w:after="0" w:line="14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9"/>
          <w:szCs w:val="19"/>
          <w:color w:val="auto"/>
        </w:rPr>
        <w:t>As a foreign private issuer, under Nasdaq rule 560(a)(2), we are not required to have independent directors on our board of directors, except to the extent that our audit committee is required to consist of independent directors, subject to certain phase-in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3" w:name="page144"/>
    <w:bookmarkEnd w:id="143"/>
    <w:p>
      <w:pPr>
        <w:ind w:right="20"/>
        <w:spacing w:after="0" w:line="248" w:lineRule="auto"/>
        <w:rPr>
          <w:sz w:val="20"/>
          <w:szCs w:val="20"/>
          <w:color w:val="auto"/>
        </w:rPr>
      </w:pPr>
      <w:r>
        <w:rPr>
          <w:rFonts w:ascii="Times New Roman" w:cs="Times New Roman" w:eastAsia="Times New Roman" w:hAnsi="Times New Roman"/>
          <w:sz w:val="19"/>
          <w:szCs w:val="19"/>
          <w:color w:val="auto"/>
        </w:rPr>
        <w:t>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ordinary shares beneficially owned by the director and his or her affiliated entities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Role of the Board in Risk Oversight</w:t>
      </w:r>
    </w:p>
    <w:p>
      <w:pPr>
        <w:spacing w:after="0" w:line="14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9"/>
          <w:szCs w:val="19"/>
          <w:color w:val="auto"/>
        </w:rPr>
        <w:t>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 information. The Audit and Finance Committee, among other things, monitors the effectiveness of the internal control and risk management systems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Governance Practices</w:t>
      </w:r>
    </w:p>
    <w:p>
      <w:pPr>
        <w:spacing w:after="0" w:line="153"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9"/>
          <w:szCs w:val="19"/>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spacing w:after="0" w:line="11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Because we are a foreign private issuer, our members of our board of directors, executive board members and senior management are not subject to short-swing profit and insider trading reporting obligations under Section 16 of the Exchange Act. They are, however, subject to the obligations to report changes in share ownership under Section 13 of the Exchange Act and related SEC rules.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Committees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On January 1, 2023, Swiss ordinance against excessive compensation in listed stock corporations, known as the “Say on Pay” rule, was incorporated in the Swiss Code of Obligations. Pursuant to Swiss corporate law, companies listed on the SIX Swiss Exchange are required to establish a compensation committee. Our board of directors has established an Audit and Finance Committee, a Nomination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44" w:name="page145"/>
    <w:bookmarkEnd w:id="144"/>
    <w:p>
      <w:pPr>
        <w:ind w:right="100"/>
        <w:spacing w:after="0" w:line="254" w:lineRule="auto"/>
        <w:rPr>
          <w:sz w:val="20"/>
          <w:szCs w:val="20"/>
          <w:color w:val="auto"/>
        </w:rPr>
      </w:pPr>
      <w:r>
        <w:rPr>
          <w:rFonts w:ascii="Times New Roman" w:cs="Times New Roman" w:eastAsia="Times New Roman" w:hAnsi="Times New Roman"/>
          <w:sz w:val="19"/>
          <w:szCs w:val="19"/>
          <w:color w:val="auto"/>
        </w:rPr>
        <w:t>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is designed to comply with all applicable requirements of Swiss law, the Exchange Act, Nasdaq and SEC rules and regulations.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Audit and Finance Committee</w:t>
      </w:r>
    </w:p>
    <w:p>
      <w:pPr>
        <w:spacing w:after="0" w:line="14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Our Audit and Finance Committee assists our board of directors in its oversight of our corporate accounting and financial reporting by making an independent assessment of the quality of the external auditors, our financial statements and our internal controls. Sandip Kapadia, Dr. Dominik Höchli, Dr. Agnete Frederiksen and Steven Holtzman currently serve on our Audit and Finance Committee. Mr. Kapadia is chairperson of our Audit and Finance Committee. Our board of directors has determined that each of Mr. Kapadia, Dr. Höchli, Dr. Frederiksen and Mr. Holtzman is independent within the meaning of the applicable Nasdaq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and Finance Committee qualifies as financially sophisticated under the applicable exchange listing rules. The principal duties and responsibilities of our Audit and Finance Committee include (1) analyzing economic and financial information and (2) ensuring the accuracy and honesty of our company’s financial statements, as well as the quality of the information provided.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board of directors has specifically assigned the following duties to the Audit and Finance Committee:</w:t>
      </w:r>
    </w:p>
    <w:p>
      <w:pPr>
        <w:spacing w:after="0" w:line="149" w:lineRule="exact"/>
        <w:rPr>
          <w:sz w:val="20"/>
          <w:szCs w:val="20"/>
          <w:color w:val="auto"/>
        </w:rPr>
      </w:pPr>
    </w:p>
    <w:p>
      <w:pPr>
        <w:ind w:left="300" w:hanging="299"/>
        <w:spacing w:after="0"/>
        <w:tabs>
          <w:tab w:leader="none" w:pos="300"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assessing the quality and effectiveness of the external audit;</w:t>
      </w:r>
    </w:p>
    <w:p>
      <w:pPr>
        <w:spacing w:after="0" w:line="136" w:lineRule="exact"/>
        <w:rPr>
          <w:rFonts w:ascii="Times New Roman" w:cs="Times New Roman" w:eastAsia="Times New Roman" w:hAnsi="Times New Roman"/>
          <w:sz w:val="19"/>
          <w:szCs w:val="19"/>
          <w:b w:val="1"/>
          <w:bCs w:val="1"/>
          <w:i w:val="1"/>
          <w:iCs w:val="1"/>
          <w:color w:val="auto"/>
        </w:rPr>
      </w:pPr>
    </w:p>
    <w:p>
      <w:pPr>
        <w:ind w:left="300" w:right="320" w:hanging="299"/>
        <w:spacing w:after="0" w:line="261" w:lineRule="auto"/>
        <w:tabs>
          <w:tab w:leader="none" w:pos="289"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assessing the quality of the internal control system, including risk management and the efficiency and state of compliance and monitoring with applicable norms within the Company;</w:t>
      </w:r>
    </w:p>
    <w:p>
      <w:pPr>
        <w:spacing w:after="0" w:line="107" w:lineRule="exact"/>
        <w:rPr>
          <w:rFonts w:ascii="Times New Roman" w:cs="Times New Roman" w:eastAsia="Times New Roman" w:hAnsi="Times New Roman"/>
          <w:sz w:val="19"/>
          <w:szCs w:val="19"/>
          <w:b w:val="1"/>
          <w:bCs w:val="1"/>
          <w:i w:val="1"/>
          <w:iCs w:val="1"/>
          <w:color w:val="auto"/>
        </w:rPr>
      </w:pPr>
    </w:p>
    <w:p>
      <w:pPr>
        <w:ind w:left="300" w:right="520" w:hanging="299"/>
        <w:spacing w:after="0" w:line="261" w:lineRule="auto"/>
        <w:tabs>
          <w:tab w:leader="none" w:pos="289"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the stand-alone Swiss statutory and consolidated financial statements as well as all reporting prepared by the external auditor, and discuss the results of its review with the SVP Finance/CEO and, separately, with the head of the external audit;</w:t>
      </w:r>
    </w:p>
    <w:p>
      <w:pPr>
        <w:spacing w:after="0" w:line="94" w:lineRule="exact"/>
        <w:rPr>
          <w:rFonts w:ascii="Times New Roman" w:cs="Times New Roman" w:eastAsia="Times New Roman" w:hAnsi="Times New Roman"/>
          <w:sz w:val="19"/>
          <w:szCs w:val="19"/>
          <w:b w:val="1"/>
          <w:bCs w:val="1"/>
          <w:i w:val="1"/>
          <w:iCs w:val="1"/>
          <w:color w:val="auto"/>
        </w:rPr>
      </w:pPr>
    </w:p>
    <w:p>
      <w:pPr>
        <w:ind w:left="300" w:right="360" w:hanging="299"/>
        <w:spacing w:after="0" w:line="275" w:lineRule="auto"/>
        <w:tabs>
          <w:tab w:leader="none" w:pos="289"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deciding whether the year-end stand-alone Swiss statutory and consolidated financial statements be recommended to the board of directors for presentation to the general shareholders’ meeting;</w:t>
      </w:r>
    </w:p>
    <w:p>
      <w:pPr>
        <w:spacing w:after="0" w:line="81"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assessing the performance and the fees charged by the external auditors and ascertain their independence;</w:t>
      </w:r>
    </w:p>
    <w:p>
      <w:pPr>
        <w:spacing w:after="0" w:line="148" w:lineRule="exact"/>
        <w:rPr>
          <w:rFonts w:ascii="Times New Roman" w:cs="Times New Roman" w:eastAsia="Times New Roman" w:hAnsi="Times New Roman"/>
          <w:sz w:val="19"/>
          <w:szCs w:val="19"/>
          <w:b w:val="1"/>
          <w:bCs w:val="1"/>
          <w:i w:val="1"/>
          <w:iCs w:val="1"/>
          <w:color w:val="auto"/>
        </w:rPr>
      </w:pPr>
    </w:p>
    <w:p>
      <w:pPr>
        <w:ind w:left="300" w:right="100" w:hanging="299"/>
        <w:spacing w:after="0" w:line="261" w:lineRule="auto"/>
        <w:tabs>
          <w:tab w:leader="none" w:pos="28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annually reviewing written disclosures from the external auditors delineating all relationships between the external auditors and the Company and take appropriate action to oversee the independence of the external auditors;</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the scope of the prospective external audit, the estimated fees thereof and any other matters pertaining to such audit;</w:t>
      </w:r>
    </w:p>
    <w:p>
      <w:pPr>
        <w:spacing w:after="0" w:line="148"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approving the annual engagement letter of external auditor, including the scope of the audit and the fees and terms for the planned audit</w:t>
      </w:r>
    </w:p>
    <w:p>
      <w:pPr>
        <w:spacing w:after="0" w:line="136" w:lineRule="exact"/>
        <w:rPr>
          <w:rFonts w:ascii="Times New Roman" w:cs="Times New Roman" w:eastAsia="Times New Roman" w:hAnsi="Times New Roman"/>
          <w:sz w:val="19"/>
          <w:szCs w:val="19"/>
          <w:color w:val="auto"/>
        </w:rPr>
      </w:pPr>
    </w:p>
    <w:p>
      <w:pPr>
        <w:ind w:left="300" w:right="380" w:hanging="299"/>
        <w:spacing w:after="0" w:line="247" w:lineRule="auto"/>
        <w:tabs>
          <w:tab w:leader="none" w:pos="28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pre-approving all audit, review or attest services and permitted non-audit services by the external auditors and establishing policies as deemed appropriate for such services;</w:t>
      </w:r>
    </w:p>
    <w:p>
      <w:pPr>
        <w:spacing w:after="0" w:line="94"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taking notice of all comments from the external auditors on accounting procedures and systems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45" w:name="page146"/>
    <w:bookmarkEnd w:id="145"/>
    <w:p>
      <w:pPr>
        <w:ind w:left="300" w:right="40" w:hanging="299"/>
        <w:spacing w:after="0" w:line="275" w:lineRule="auto"/>
        <w:tabs>
          <w:tab w:leader="none" w:pos="289"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with the external auditors and/or the SVP Finance as principal financial officer / CEO any questions, comments or suggestions they may have regarding the internal control, risk management, accounting practices and procedures of the Company and its subsidiaries;</w:t>
      </w:r>
    </w:p>
    <w:p>
      <w:pPr>
        <w:spacing w:after="0" w:line="81"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supporting the Board of Directors in preparing the decision on appointment and/or removal of the external auditors of the Company;</w:t>
      </w:r>
    </w:p>
    <w:p>
      <w:pPr>
        <w:spacing w:after="0" w:line="16" w:lineRule="exact"/>
        <w:rPr>
          <w:rFonts w:ascii="Times New Roman" w:cs="Times New Roman" w:eastAsia="Times New Roman" w:hAnsi="Times New Roman"/>
          <w:sz w:val="19"/>
          <w:szCs w:val="19"/>
          <w:color w:val="auto"/>
        </w:rPr>
      </w:pPr>
    </w:p>
    <w:p>
      <w:pPr>
        <w:ind w:left="300" w:right="40" w:hanging="299"/>
        <w:spacing w:after="0" w:line="253" w:lineRule="auto"/>
        <w:tabs>
          <w:tab w:leader="none" w:pos="289"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spacing w:after="0" w:line="101" w:lineRule="exact"/>
        <w:rPr>
          <w:rFonts w:ascii="Times New Roman" w:cs="Times New Roman" w:eastAsia="Times New Roman" w:hAnsi="Times New Roman"/>
          <w:sz w:val="19"/>
          <w:szCs w:val="19"/>
          <w:b w:val="1"/>
          <w:bCs w:val="1"/>
          <w:i w:val="1"/>
          <w:iCs w:val="1"/>
          <w:color w:val="auto"/>
        </w:rPr>
      </w:pPr>
    </w:p>
    <w:p>
      <w:pPr>
        <w:ind w:left="300" w:right="780" w:hanging="299"/>
        <w:spacing w:after="0" w:line="275" w:lineRule="auto"/>
        <w:tabs>
          <w:tab w:leader="none" w:pos="28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reviewing with the management and the external auditors, as appropriate, the Company’s MD&amp;A disclosures or otherwise discussing the Company's financial results in offering materials to be filed with the SEC;</w:t>
      </w:r>
    </w:p>
    <w:p>
      <w:pPr>
        <w:spacing w:after="0" w:line="81" w:lineRule="exact"/>
        <w:rPr>
          <w:rFonts w:ascii="Times New Roman" w:cs="Times New Roman" w:eastAsia="Times New Roman" w:hAnsi="Times New Roman"/>
          <w:sz w:val="19"/>
          <w:szCs w:val="19"/>
          <w:color w:val="auto"/>
        </w:rPr>
      </w:pPr>
    </w:p>
    <w:p>
      <w:pPr>
        <w:ind w:left="300" w:right="120" w:hanging="299"/>
        <w:spacing w:after="0" w:line="275" w:lineRule="auto"/>
        <w:tabs>
          <w:tab w:leader="none" w:pos="28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annually reviewing and discussing with the management the management’s report in relation to internal controls over financial reporting pursuant to the Sarbanes-Oxley Act of 2002;</w:t>
      </w:r>
    </w:p>
    <w:p>
      <w:pPr>
        <w:spacing w:after="0" w:line="8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reviewing and approving in advance any transaction that could be within the scope of a related party transaction;</w:t>
      </w:r>
    </w:p>
    <w:p>
      <w:pPr>
        <w:spacing w:after="0" w:line="136" w:lineRule="exact"/>
        <w:rPr>
          <w:rFonts w:ascii="Times New Roman" w:cs="Times New Roman" w:eastAsia="Times New Roman" w:hAnsi="Times New Roman"/>
          <w:sz w:val="19"/>
          <w:szCs w:val="19"/>
          <w:color w:val="auto"/>
        </w:rPr>
      </w:pPr>
    </w:p>
    <w:p>
      <w:pPr>
        <w:ind w:left="300" w:right="140" w:hanging="299"/>
        <w:spacing w:after="0" w:line="256" w:lineRule="auto"/>
        <w:tabs>
          <w:tab w:leader="none" w:pos="289"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establishing procedures for the receipt, retention and treatment of complaints received by the Company regarding accounting, internal accounting controls or auditing matters and the confidential and anonymous submission by employees of concerns regarding questionable accounting or auditing matters, and regularly reviewing levels of new and pending cases of such submissions;</w:t>
      </w:r>
    </w:p>
    <w:p>
      <w:pPr>
        <w:spacing w:after="0" w:line="111"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supporting the board of directors with regard to the financial planning as well as the principles of accounting and financial control;</w:t>
      </w:r>
    </w:p>
    <w:p>
      <w:pPr>
        <w:spacing w:after="0" w:line="136" w:lineRule="exact"/>
        <w:rPr>
          <w:rFonts w:ascii="Times New Roman" w:cs="Times New Roman" w:eastAsia="Times New Roman" w:hAnsi="Times New Roman"/>
          <w:sz w:val="19"/>
          <w:szCs w:val="19"/>
          <w:b w:val="1"/>
          <w:bCs w:val="1"/>
          <w:i w:val="1"/>
          <w:iCs w:val="1"/>
          <w:color w:val="auto"/>
        </w:rPr>
      </w:pPr>
    </w:p>
    <w:p>
      <w:pPr>
        <w:ind w:left="300" w:right="340" w:hanging="299"/>
        <w:spacing w:after="0" w:line="275" w:lineRule="auto"/>
        <w:tabs>
          <w:tab w:leader="none" w:pos="289"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evaluating management’s principles and proposals for, and formulate recommendations to the board of directors in regard to financial planning (capital structure, management of resources, inter-company financing), dividend policy and capital market relations;</w:t>
      </w:r>
    </w:p>
    <w:p>
      <w:pPr>
        <w:spacing w:after="0" w:line="81" w:lineRule="exact"/>
        <w:rPr>
          <w:rFonts w:ascii="Times New Roman" w:cs="Times New Roman" w:eastAsia="Times New Roman" w:hAnsi="Times New Roman"/>
          <w:sz w:val="19"/>
          <w:szCs w:val="19"/>
          <w:b w:val="1"/>
          <w:bCs w:val="1"/>
          <w:i w:val="1"/>
          <w:iCs w:val="1"/>
          <w:color w:val="auto"/>
        </w:rPr>
      </w:pPr>
    </w:p>
    <w:p>
      <w:pPr>
        <w:ind w:left="300" w:right="340" w:hanging="299"/>
        <w:spacing w:after="0" w:line="261" w:lineRule="auto"/>
        <w:tabs>
          <w:tab w:leader="none" w:pos="289"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proposed concepts of financial objectives such as costs of capital, enhancement of shareholders’ value, Company objectives, project objectives (capital expenditures and M&amp;A);</w:t>
      </w:r>
    </w:p>
    <w:p>
      <w:pPr>
        <w:spacing w:after="0" w:line="107"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finance policy and operations in treasury, controlling, insurance, taxes and investment and acquisitions; and</w:t>
      </w:r>
    </w:p>
    <w:p>
      <w:pPr>
        <w:spacing w:after="0" w:line="161"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overseeing the Company's approach to ESG topics and sustainability and review the Company's ESG framework and its implementation.</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i w:val="1"/>
          <w:iCs w:val="1"/>
          <w:color w:val="auto"/>
        </w:rPr>
        <w:t>Nomination and Compensation Committee</w:t>
      </w:r>
    </w:p>
    <w:p>
      <w:pPr>
        <w:spacing w:after="0" w:line="1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We are subject to the Swiss Code of Obligations rules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color w:val="auto"/>
        </w:rPr>
        <w:t>The principal duties and responsibilities of our Nomination and Compensation Committee include:</w:t>
      </w:r>
    </w:p>
    <w:p>
      <w:pPr>
        <w:spacing w:after="0" w:line="136" w:lineRule="exact"/>
        <w:rPr>
          <w:sz w:val="20"/>
          <w:szCs w:val="20"/>
          <w:color w:val="auto"/>
        </w:rPr>
      </w:pPr>
    </w:p>
    <w:p>
      <w:pPr>
        <w:ind w:left="300" w:hanging="299"/>
        <w:spacing w:after="0"/>
        <w:tabs>
          <w:tab w:leader="none" w:pos="300"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and making recommendations regarding the compensation strategy and guidelines of the Company;</w:t>
      </w:r>
    </w:p>
    <w:p>
      <w:pPr>
        <w:spacing w:after="0" w:line="148"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and making recommendations regarding the compensation of the members of the board of directors and the executive management;</w:t>
      </w:r>
    </w:p>
    <w:p>
      <w:pPr>
        <w:spacing w:after="0" w:line="136" w:lineRule="exact"/>
        <w:rPr>
          <w:rFonts w:ascii="Times New Roman" w:cs="Times New Roman" w:eastAsia="Times New Roman" w:hAnsi="Times New Roman"/>
          <w:sz w:val="19"/>
          <w:szCs w:val="19"/>
          <w:b w:val="1"/>
          <w:bCs w:val="1"/>
          <w:i w:val="1"/>
          <w:iCs w:val="1"/>
          <w:color w:val="auto"/>
        </w:rPr>
      </w:pPr>
    </w:p>
    <w:p>
      <w:pPr>
        <w:ind w:left="300" w:right="40" w:hanging="299"/>
        <w:spacing w:after="0" w:line="261" w:lineRule="auto"/>
        <w:tabs>
          <w:tab w:leader="none" w:pos="289"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and making recommendations regarding compensation plans (cash and/or equity-based plans), and where appropriate or required, make recommendations to adopt, amend and terminate such plans;</w:t>
      </w:r>
    </w:p>
    <w:p>
      <w:pPr>
        <w:spacing w:after="0" w:line="107"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administering the compensation plans;</w:t>
      </w:r>
    </w:p>
    <w:p>
      <w:pPr>
        <w:spacing w:after="0" w:line="136" w:lineRule="exact"/>
        <w:rPr>
          <w:rFonts w:ascii="Times New Roman" w:cs="Times New Roman" w:eastAsia="Times New Roman" w:hAnsi="Times New Roman"/>
          <w:sz w:val="19"/>
          <w:szCs w:val="19"/>
          <w:b w:val="1"/>
          <w:bCs w:val="1"/>
          <w:i w:val="1"/>
          <w:iCs w:val="1"/>
          <w:color w:val="auto"/>
        </w:rPr>
      </w:pPr>
    </w:p>
    <w:p>
      <w:pPr>
        <w:ind w:left="300" w:right="900" w:hanging="299"/>
        <w:spacing w:after="0" w:line="261" w:lineRule="auto"/>
        <w:tabs>
          <w:tab w:leader="none" w:pos="289"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and making recommendations regarding any employment agreements (including any benefits) for members of the executive management;</w:t>
      </w:r>
    </w:p>
    <w:p>
      <w:pPr>
        <w:spacing w:after="0" w:line="107" w:lineRule="exact"/>
        <w:rPr>
          <w:rFonts w:ascii="Times New Roman" w:cs="Times New Roman" w:eastAsia="Times New Roman" w:hAnsi="Times New Roman"/>
          <w:sz w:val="19"/>
          <w:szCs w:val="19"/>
          <w:b w:val="1"/>
          <w:bCs w:val="1"/>
          <w:i w:val="1"/>
          <w:iCs w:val="1"/>
          <w:color w:val="auto"/>
        </w:rPr>
      </w:pPr>
    </w:p>
    <w:p>
      <w:pPr>
        <w:ind w:left="300" w:right="320" w:hanging="299"/>
        <w:spacing w:after="0" w:line="261" w:lineRule="auto"/>
        <w:tabs>
          <w:tab w:leader="none" w:pos="289"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and making recommendations regarding the proposals of the board of directors for the aggregate amount of the compensation of the board of directors and of the executive management to be submitted to the annual general shareholders' meeting for approval;</w:t>
      </w:r>
    </w:p>
    <w:p>
      <w:pPr>
        <w:spacing w:after="0" w:line="107" w:lineRule="exact"/>
        <w:rPr>
          <w:rFonts w:ascii="Times New Roman" w:cs="Times New Roman" w:eastAsia="Times New Roman" w:hAnsi="Times New Roman"/>
          <w:sz w:val="19"/>
          <w:szCs w:val="19"/>
          <w:b w:val="1"/>
          <w:bCs w:val="1"/>
          <w:i w:val="1"/>
          <w:iCs w:val="1"/>
          <w:color w:val="auto"/>
        </w:rPr>
      </w:pPr>
    </w:p>
    <w:p>
      <w:pPr>
        <w:ind w:left="300" w:right="380" w:hanging="299"/>
        <w:spacing w:after="0" w:line="261" w:lineRule="auto"/>
        <w:tabs>
          <w:tab w:leader="none" w:pos="289"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ensuring that any reporting obligation with respect to compensation matters, specifically any necessary disclosures in the annual report and/or compensation report, are met;</w:t>
      </w:r>
    </w:p>
    <w:p>
      <w:pPr>
        <w:spacing w:after="0" w:line="94" w:lineRule="exact"/>
        <w:rPr>
          <w:rFonts w:ascii="Times New Roman" w:cs="Times New Roman" w:eastAsia="Times New Roman" w:hAnsi="Times New Roman"/>
          <w:sz w:val="19"/>
          <w:szCs w:val="19"/>
          <w:b w:val="1"/>
          <w:bCs w:val="1"/>
          <w:i w:val="1"/>
          <w:iCs w:val="1"/>
          <w:color w:val="auto"/>
        </w:rPr>
      </w:pPr>
    </w:p>
    <w:p>
      <w:pPr>
        <w:ind w:left="300" w:right="200" w:hanging="299"/>
        <w:spacing w:after="0" w:line="275" w:lineRule="auto"/>
        <w:tabs>
          <w:tab w:leader="none" w:pos="289"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reviewing considerations relating to the composition of the board of directors, including the size and the criteria for membership on the board of directors;</w:t>
      </w:r>
    </w:p>
    <w:p>
      <w:pPr>
        <w:spacing w:after="0" w:line="81"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evaluating candidates to the board of directors and making recommendations to the board of directors in this respect; and</w:t>
      </w:r>
    </w:p>
    <w:p>
      <w:pPr>
        <w:spacing w:after="0" w:line="136" w:lineRule="exact"/>
        <w:rPr>
          <w:rFonts w:ascii="Times New Roman" w:cs="Times New Roman" w:eastAsia="Times New Roman" w:hAnsi="Times New Roman"/>
          <w:sz w:val="19"/>
          <w:szCs w:val="19"/>
          <w:b w:val="1"/>
          <w:bCs w:val="1"/>
          <w:i w:val="1"/>
          <w:iCs w:val="1"/>
          <w:color w:val="auto"/>
        </w:rPr>
      </w:pPr>
    </w:p>
    <w:p>
      <w:pPr>
        <w:ind w:left="300" w:hanging="299"/>
        <w:spacing w:after="0"/>
        <w:tabs>
          <w:tab w:leader="none" w:pos="300" w:val="left"/>
        </w:tabs>
        <w:numPr>
          <w:ilvl w:val="0"/>
          <w:numId w:val="7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evaluating candidates to the Management Board and making recommendations to the board of directors in this respect.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Committee</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 Michael Vasconcelles, Dr. Agnete Fredriksen, Dr. Vito J. Palombella and Dr. Dominik Höchli currently serve on the Research and Development Committee. Dr. Vasconcelles is the chairperson of the Research and Development Committee.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Conduct</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We have adopted a Code of Conduct which is applicable to all of our employees, executive officers and directors. The Code of Conduct is available on our website at </w:t>
      </w:r>
      <w:r>
        <w:rPr>
          <w:rFonts w:ascii="Times New Roman" w:cs="Times New Roman" w:eastAsia="Times New Roman" w:hAnsi="Times New Roman"/>
          <w:sz w:val="19"/>
          <w:szCs w:val="19"/>
          <w:i w:val="1"/>
          <w:iCs w:val="1"/>
          <w:color w:val="auto"/>
        </w:rPr>
        <w:t>www.molecularpartners.com</w:t>
      </w:r>
      <w:r>
        <w:rPr>
          <w:rFonts w:ascii="Times New Roman" w:cs="Times New Roman" w:eastAsia="Times New Roman" w:hAnsi="Times New Roman"/>
          <w:sz w:val="19"/>
          <w:szCs w:val="19"/>
          <w:color w:val="auto"/>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47" w:name="page148"/>
    <w:bookmarkEnd w:id="147"/>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Employees.</w:t>
      </w:r>
    </w:p>
    <w:p>
      <w:pPr>
        <w:spacing w:after="0" w:line="140"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9"/>
          <w:szCs w:val="19"/>
          <w:color w:val="auto"/>
        </w:rPr>
        <w:t>As of December 31, 2024, we had 158.5 full-time equivalent employees (December 31, 2023: 167.5 full-time equivalents, December 31, 2022: 175.3 full-time equivalents). None of our employees are represented by collective bargaining agreements. We believe that we maintain good relations with our employees. At each date shown, we had the following number of full time employees, broken out by department. The majority of our employees are based in Zurich, Switzerland. Two of our employees are based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06818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68185" cy="1587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Full-time equivalent employees</w:t>
            </w:r>
          </w:p>
        </w:tc>
        <w:tc>
          <w:tcPr>
            <w:tcW w:w="2780" w:type="dxa"/>
            <w:vAlign w:val="bottom"/>
          </w:tcPr>
          <w:p>
            <w:pPr>
              <w:jc w:val="right"/>
              <w:ind w:right="387"/>
              <w:spacing w:after="0"/>
              <w:rPr>
                <w:sz w:val="20"/>
                <w:szCs w:val="20"/>
                <w:color w:val="auto"/>
              </w:rPr>
            </w:pPr>
            <w:r>
              <w:rPr>
                <w:rFonts w:ascii="Times New Roman" w:cs="Times New Roman" w:eastAsia="Times New Roman" w:hAnsi="Times New Roman"/>
                <w:sz w:val="19"/>
                <w:szCs w:val="19"/>
                <w:b w:val="1"/>
                <w:bCs w:val="1"/>
                <w:color w:val="auto"/>
              </w:rPr>
              <w:t>At December 31,</w:t>
            </w:r>
          </w:p>
        </w:tc>
        <w:tc>
          <w:tcPr>
            <w:tcW w:w="2320" w:type="dxa"/>
            <w:vAlign w:val="bottom"/>
          </w:tcPr>
          <w:p>
            <w:pPr>
              <w:jc w:val="right"/>
              <w:ind w:right="407"/>
              <w:spacing w:after="0"/>
              <w:rPr>
                <w:sz w:val="20"/>
                <w:szCs w:val="20"/>
                <w:color w:val="auto"/>
              </w:rPr>
            </w:pPr>
            <w:r>
              <w:rPr>
                <w:rFonts w:ascii="Times New Roman" w:cs="Times New Roman" w:eastAsia="Times New Roman" w:hAnsi="Times New Roman"/>
                <w:sz w:val="19"/>
                <w:szCs w:val="19"/>
                <w:b w:val="1"/>
                <w:bCs w:val="1"/>
                <w:color w:val="auto"/>
              </w:rPr>
              <w:t>At December 31,</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At December 31,</w:t>
            </w:r>
          </w:p>
        </w:tc>
      </w:tr>
      <w:tr>
        <w:trPr>
          <w:trHeight w:val="279"/>
        </w:trPr>
        <w:tc>
          <w:tcPr>
            <w:tcW w:w="4200" w:type="dxa"/>
            <w:vAlign w:val="bottom"/>
          </w:tcPr>
          <w:p>
            <w:pPr>
              <w:spacing w:after="0"/>
              <w:rPr>
                <w:sz w:val="24"/>
                <w:szCs w:val="24"/>
                <w:color w:val="auto"/>
              </w:rPr>
            </w:pPr>
          </w:p>
        </w:tc>
        <w:tc>
          <w:tcPr>
            <w:tcW w:w="2780" w:type="dxa"/>
            <w:vAlign w:val="bottom"/>
          </w:tcPr>
          <w:p>
            <w:pPr>
              <w:jc w:val="right"/>
              <w:ind w:right="387"/>
              <w:spacing w:after="0"/>
              <w:rPr>
                <w:sz w:val="20"/>
                <w:szCs w:val="20"/>
                <w:color w:val="auto"/>
              </w:rPr>
            </w:pPr>
            <w:r>
              <w:rPr>
                <w:rFonts w:ascii="Times New Roman" w:cs="Times New Roman" w:eastAsia="Times New Roman" w:hAnsi="Times New Roman"/>
                <w:sz w:val="19"/>
                <w:szCs w:val="19"/>
                <w:b w:val="1"/>
                <w:bCs w:val="1"/>
                <w:color w:val="auto"/>
              </w:rPr>
              <w:t>2024</w:t>
            </w:r>
          </w:p>
        </w:tc>
        <w:tc>
          <w:tcPr>
            <w:tcW w:w="2320" w:type="dxa"/>
            <w:vAlign w:val="bottom"/>
          </w:tcPr>
          <w:p>
            <w:pPr>
              <w:jc w:val="right"/>
              <w:ind w:right="407"/>
              <w:spacing w:after="0"/>
              <w:rPr>
                <w:sz w:val="20"/>
                <w:szCs w:val="20"/>
                <w:color w:val="auto"/>
              </w:rPr>
            </w:pPr>
            <w:r>
              <w:rPr>
                <w:rFonts w:ascii="Times New Roman" w:cs="Times New Roman" w:eastAsia="Times New Roman" w:hAnsi="Times New Roman"/>
                <w:sz w:val="19"/>
                <w:szCs w:val="19"/>
                <w:b w:val="1"/>
                <w:bCs w:val="1"/>
                <w:color w:val="auto"/>
              </w:rPr>
              <w:t>2023</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2022</w:t>
            </w:r>
          </w:p>
        </w:tc>
      </w:tr>
      <w:tr>
        <w:trPr>
          <w:trHeight w:val="33"/>
        </w:trPr>
        <w:tc>
          <w:tcPr>
            <w:tcW w:w="42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Function</w:t>
            </w:r>
          </w:p>
        </w:tc>
        <w:tc>
          <w:tcPr>
            <w:tcW w:w="27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6"/>
        </w:trPr>
        <w:tc>
          <w:tcPr>
            <w:tcW w:w="42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Research and development</w:t>
            </w:r>
          </w:p>
        </w:tc>
        <w:tc>
          <w:tcPr>
            <w:tcW w:w="2780" w:type="dxa"/>
            <w:vAlign w:val="bottom"/>
          </w:tcPr>
          <w:p>
            <w:pPr>
              <w:jc w:val="right"/>
              <w:ind w:right="387"/>
              <w:spacing w:after="0"/>
              <w:rPr>
                <w:sz w:val="20"/>
                <w:szCs w:val="20"/>
                <w:color w:val="auto"/>
              </w:rPr>
            </w:pPr>
            <w:r>
              <w:rPr>
                <w:rFonts w:ascii="Times New Roman" w:cs="Times New Roman" w:eastAsia="Times New Roman" w:hAnsi="Times New Roman"/>
                <w:sz w:val="19"/>
                <w:szCs w:val="19"/>
                <w:color w:val="auto"/>
              </w:rPr>
              <w:t>133.0</w:t>
            </w:r>
          </w:p>
        </w:tc>
        <w:tc>
          <w:tcPr>
            <w:tcW w:w="2320" w:type="dxa"/>
            <w:vAlign w:val="bottom"/>
          </w:tcPr>
          <w:p>
            <w:pPr>
              <w:jc w:val="right"/>
              <w:ind w:right="407"/>
              <w:spacing w:after="0"/>
              <w:rPr>
                <w:sz w:val="20"/>
                <w:szCs w:val="20"/>
                <w:color w:val="auto"/>
              </w:rPr>
            </w:pPr>
            <w:r>
              <w:rPr>
                <w:rFonts w:ascii="Times New Roman" w:cs="Times New Roman" w:eastAsia="Times New Roman" w:hAnsi="Times New Roman"/>
                <w:sz w:val="19"/>
                <w:szCs w:val="19"/>
                <w:color w:val="auto"/>
              </w:rPr>
              <w:t>138.5</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142.7</w:t>
            </w:r>
          </w:p>
        </w:tc>
      </w:tr>
      <w:tr>
        <w:trPr>
          <w:trHeight w:val="33"/>
        </w:trPr>
        <w:tc>
          <w:tcPr>
            <w:tcW w:w="4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2780" w:type="dxa"/>
            <w:vAlign w:val="bottom"/>
            <w:tcBorders>
              <w:bottom w:val="single" w:sz="8" w:color="CCEEFF"/>
            </w:tcBorders>
            <w:shd w:val="clear" w:color="auto" w:fill="CCEEFF"/>
          </w:tcPr>
          <w:p>
            <w:pPr>
              <w:jc w:val="right"/>
              <w:ind w:right="387"/>
              <w:spacing w:after="0"/>
              <w:rPr>
                <w:sz w:val="20"/>
                <w:szCs w:val="20"/>
                <w:color w:val="auto"/>
              </w:rPr>
            </w:pPr>
            <w:r>
              <w:rPr>
                <w:rFonts w:ascii="Times New Roman" w:cs="Times New Roman" w:eastAsia="Times New Roman" w:hAnsi="Times New Roman"/>
                <w:sz w:val="19"/>
                <w:szCs w:val="19"/>
                <w:color w:val="auto"/>
              </w:rPr>
              <w:t>25.5</w:t>
            </w:r>
          </w:p>
        </w:tc>
        <w:tc>
          <w:tcPr>
            <w:tcW w:w="2320" w:type="dxa"/>
            <w:vAlign w:val="bottom"/>
            <w:tcBorders>
              <w:bottom w:val="single" w:sz="8" w:color="CCEEFF"/>
            </w:tcBorders>
            <w:shd w:val="clear" w:color="auto" w:fill="CCEEFF"/>
          </w:tcPr>
          <w:p>
            <w:pPr>
              <w:jc w:val="right"/>
              <w:ind w:right="407"/>
              <w:spacing w:after="0"/>
              <w:rPr>
                <w:sz w:val="20"/>
                <w:szCs w:val="20"/>
                <w:color w:val="auto"/>
              </w:rPr>
            </w:pPr>
            <w:r>
              <w:rPr>
                <w:rFonts w:ascii="Times New Roman" w:cs="Times New Roman" w:eastAsia="Times New Roman" w:hAnsi="Times New Roman"/>
                <w:sz w:val="19"/>
                <w:szCs w:val="19"/>
                <w:color w:val="auto"/>
              </w:rPr>
              <w:t>29.0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32.6</w:t>
            </w:r>
          </w:p>
        </w:tc>
      </w:tr>
      <w:tr>
        <w:trPr>
          <w:trHeight w:val="271"/>
        </w:trPr>
        <w:tc>
          <w:tcPr>
            <w:tcW w:w="42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780" w:type="dxa"/>
            <w:vAlign w:val="bottom"/>
          </w:tcPr>
          <w:p>
            <w:pPr>
              <w:jc w:val="right"/>
              <w:ind w:right="387"/>
              <w:spacing w:after="0"/>
              <w:rPr>
                <w:sz w:val="20"/>
                <w:szCs w:val="20"/>
                <w:color w:val="auto"/>
              </w:rPr>
            </w:pPr>
            <w:r>
              <w:rPr>
                <w:rFonts w:ascii="Times New Roman" w:cs="Times New Roman" w:eastAsia="Times New Roman" w:hAnsi="Times New Roman"/>
                <w:sz w:val="19"/>
                <w:szCs w:val="19"/>
                <w:b w:val="1"/>
                <w:bCs w:val="1"/>
                <w:color w:val="auto"/>
              </w:rPr>
              <w:t>158.5</w:t>
            </w:r>
          </w:p>
        </w:tc>
        <w:tc>
          <w:tcPr>
            <w:tcW w:w="2320" w:type="dxa"/>
            <w:vAlign w:val="bottom"/>
          </w:tcPr>
          <w:p>
            <w:pPr>
              <w:jc w:val="right"/>
              <w:ind w:right="407"/>
              <w:spacing w:after="0"/>
              <w:rPr>
                <w:sz w:val="20"/>
                <w:szCs w:val="20"/>
                <w:color w:val="auto"/>
              </w:rPr>
            </w:pPr>
            <w:r>
              <w:rPr>
                <w:rFonts w:ascii="Times New Roman" w:cs="Times New Roman" w:eastAsia="Times New Roman" w:hAnsi="Times New Roman"/>
                <w:sz w:val="19"/>
                <w:szCs w:val="19"/>
                <w:b w:val="1"/>
                <w:bCs w:val="1"/>
                <w:color w:val="auto"/>
              </w:rPr>
              <w:t>167.5</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175.3</w:t>
            </w:r>
          </w:p>
        </w:tc>
      </w:tr>
      <w:tr>
        <w:trPr>
          <w:trHeight w:val="33"/>
        </w:trPr>
        <w:tc>
          <w:tcPr>
            <w:tcW w:w="4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Share Ownership.</w:t>
      </w:r>
    </w:p>
    <w:p>
      <w:pPr>
        <w:spacing w:after="0" w:line="153"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9"/>
          <w:szCs w:val="19"/>
          <w:color w:val="auto"/>
        </w:rPr>
        <w:t>The following table shows the number of ordinary shares, options, RSUs and PSUs held by the individual members of the board of directors and the Management Board, as of December 31, 2024. For more information regarding the share ownership of our directors and executive officers, see "Item 6.B - Compensation" and "Item 7.A - Major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14057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Name</w:t>
            </w:r>
          </w:p>
        </w:tc>
        <w:tc>
          <w:tcPr>
            <w:tcW w:w="3160" w:type="dxa"/>
            <w:vAlign w:val="bottom"/>
          </w:tcPr>
          <w:p>
            <w:pPr>
              <w:jc w:val="right"/>
              <w:ind w:right="307"/>
              <w:spacing w:after="0"/>
              <w:rPr>
                <w:sz w:val="20"/>
                <w:szCs w:val="20"/>
                <w:color w:val="auto"/>
              </w:rPr>
            </w:pPr>
            <w:r>
              <w:rPr>
                <w:rFonts w:ascii="Times New Roman" w:cs="Times New Roman" w:eastAsia="Times New Roman" w:hAnsi="Times New Roman"/>
                <w:sz w:val="19"/>
                <w:szCs w:val="19"/>
                <w:b w:val="1"/>
                <w:bCs w:val="1"/>
                <w:color w:val="auto"/>
              </w:rPr>
              <w:t>Shares</w:t>
            </w:r>
          </w:p>
        </w:tc>
        <w:tc>
          <w:tcPr>
            <w:tcW w:w="146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380" w:type="dxa"/>
            <w:vAlign w:val="bottom"/>
          </w:tcPr>
          <w:p>
            <w:pPr>
              <w:jc w:val="right"/>
              <w:ind w:right="287"/>
              <w:spacing w:after="0"/>
              <w:rPr>
                <w:sz w:val="20"/>
                <w:szCs w:val="20"/>
                <w:color w:val="auto"/>
              </w:rPr>
            </w:pPr>
            <w:r>
              <w:rPr>
                <w:rFonts w:ascii="Times New Roman" w:cs="Times New Roman" w:eastAsia="Times New Roman" w:hAnsi="Times New Roman"/>
                <w:sz w:val="19"/>
                <w:szCs w:val="19"/>
                <w:b w:val="1"/>
                <w:bCs w:val="1"/>
                <w:color w:val="auto"/>
              </w:rPr>
              <w:t>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PSUs</w:t>
            </w:r>
          </w:p>
        </w:tc>
      </w:tr>
      <w:tr>
        <w:trPr>
          <w:trHeight w:val="33"/>
        </w:trPr>
        <w:tc>
          <w:tcPr>
            <w:tcW w:w="41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William M. Burns</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33,521</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86,448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Steven H. Holtzman</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17,281</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4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Sandip Kapadia</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6,071</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Vito J. Palombella</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6,069</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4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Michael Vasconcelles</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6,071</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Agnete Fredriksen</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2,564</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4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Dominik Höchli</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2,285</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347"/>
              <w:spacing w:after="0"/>
              <w:rPr>
                <w:sz w:val="20"/>
                <w:szCs w:val="20"/>
                <w:color w:val="auto"/>
              </w:rPr>
            </w:pPr>
            <w:r>
              <w:rPr>
                <w:rFonts w:ascii="Times New Roman" w:cs="Times New Roman" w:eastAsia="Times New Roman" w:hAnsi="Times New Roman"/>
                <w:sz w:val="19"/>
                <w:szCs w:val="19"/>
                <w:color w:val="auto"/>
              </w:rPr>
              <w:t>43,225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Patrick Amstutz</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747,809</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287"/>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188,594</w:t>
            </w:r>
          </w:p>
        </w:tc>
      </w:tr>
      <w:tr>
        <w:trPr>
          <w:trHeight w:val="33"/>
        </w:trPr>
        <w:tc>
          <w:tcPr>
            <w:tcW w:w="4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Dr. Michael Tobias Stumpp</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715,770</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120,993</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Dr. Philippe Legenne</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21,850</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287"/>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78,062</w:t>
            </w:r>
          </w:p>
        </w:tc>
      </w:tr>
      <w:tr>
        <w:trPr>
          <w:trHeight w:val="33"/>
        </w:trPr>
        <w:tc>
          <w:tcPr>
            <w:tcW w:w="4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Renate Gloggner</w:t>
            </w:r>
          </w:p>
        </w:tc>
        <w:tc>
          <w:tcPr>
            <w:tcW w:w="3160" w:type="dxa"/>
            <w:vAlign w:val="bottom"/>
            <w:tcBorders>
              <w:bottom w:val="single" w:sz="8" w:color="CCEEFF"/>
            </w:tcBorders>
            <w:shd w:val="clear" w:color="auto" w:fill="CCEEFF"/>
          </w:tcPr>
          <w:p>
            <w:pPr>
              <w:jc w:val="right"/>
              <w:ind w:right="367"/>
              <w:spacing w:after="0"/>
              <w:rPr>
                <w:sz w:val="20"/>
                <w:szCs w:val="20"/>
                <w:color w:val="auto"/>
              </w:rPr>
            </w:pPr>
            <w:r>
              <w:rPr>
                <w:rFonts w:ascii="Times New Roman" w:cs="Times New Roman" w:eastAsia="Times New Roman" w:hAnsi="Times New Roman"/>
                <w:sz w:val="19"/>
                <w:szCs w:val="19"/>
                <w:color w:val="auto"/>
              </w:rPr>
              <w:t>26,151</w:t>
            </w:r>
          </w:p>
        </w:tc>
        <w:tc>
          <w:tcPr>
            <w:tcW w:w="14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120,993</w:t>
            </w:r>
          </w:p>
        </w:tc>
      </w:tr>
      <w:tr>
        <w:trPr>
          <w:trHeight w:val="246"/>
        </w:trPr>
        <w:tc>
          <w:tcPr>
            <w:tcW w:w="41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Alexander Zürcher</w:t>
            </w:r>
          </w:p>
        </w:tc>
        <w:tc>
          <w:tcPr>
            <w:tcW w:w="3160" w:type="dxa"/>
            <w:vAlign w:val="bottom"/>
          </w:tcPr>
          <w:p>
            <w:pPr>
              <w:jc w:val="right"/>
              <w:ind w:right="367"/>
              <w:spacing w:after="0"/>
              <w:rPr>
                <w:sz w:val="20"/>
                <w:szCs w:val="20"/>
                <w:color w:val="auto"/>
              </w:rPr>
            </w:pPr>
            <w:r>
              <w:rPr>
                <w:rFonts w:ascii="Times New Roman" w:cs="Times New Roman" w:eastAsia="Times New Roman" w:hAnsi="Times New Roman"/>
                <w:sz w:val="19"/>
                <w:szCs w:val="19"/>
                <w:color w:val="auto"/>
              </w:rPr>
              <w:t>28,697</w:t>
            </w:r>
          </w:p>
        </w:tc>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ind w:right="287"/>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120,993</w:t>
            </w: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 Disclosure of a Registrant's Action to Recover Erroneously Awarded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Major Shareholders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Major shareholders.</w:t>
      </w:r>
    </w:p>
    <w:p>
      <w:pPr>
        <w:spacing w:after="0" w:line="14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9"/>
          <w:szCs w:val="19"/>
          <w:color w:val="auto"/>
        </w:rPr>
        <w:t>The following table and accompanying footnotes set forth, as of December 31, 2024, information regarding beneficial ownership of our ordinary shares by:</w:t>
      </w:r>
    </w:p>
    <w:p>
      <w:pPr>
        <w:spacing w:after="0" w:line="82" w:lineRule="exact"/>
        <w:rPr>
          <w:sz w:val="20"/>
          <w:szCs w:val="20"/>
          <w:color w:val="auto"/>
        </w:rPr>
      </w:pPr>
    </w:p>
    <w:p>
      <w:pPr>
        <w:ind w:left="300" w:hanging="299"/>
        <w:spacing w:after="0"/>
        <w:tabs>
          <w:tab w:leader="none" w:pos="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or group of affiliated persons, known by us to beneficially own more than 3% of our ordinary shares;</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executive officers;</w:t>
      </w:r>
    </w:p>
    <w:p>
      <w:pPr>
        <w:spacing w:after="0" w:line="148"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directors; and</w:t>
      </w:r>
    </w:p>
    <w:p>
      <w:pPr>
        <w:spacing w:after="0" w:line="136"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executive officers and directors as a group.</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power or investment power with respect to that security, including ordinary shares that vest within 60 days of December 31, 2024 and options and warrants that are currently exercisable or exercisable within 60 days of December 31, 2024. Shares issuable under PSUs or RSUs that vest within 60 days of December 31, 2024 and shares subject to options currently exercisable or exercisable within 60 days of December 31, 2024 are deemed to be outstanding for computing the percentage ownership of the person holding these free shares, options and the percentage ownership of any group of which the holder is a member, but are not deemed outstanding for computing the percentage of any other person.</w:t>
      </w:r>
    </w:p>
    <w:p>
      <w:pPr>
        <w:spacing w:after="0" w:line="9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Except as indicated in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spacing w:after="0" w:line="10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Our calculation of the percentage of beneficial ownership is based on 39,997,285 of our ordinary shares registered with the commercial register of the canton of Zurich as of December 31, 2024 and includes 3,500,000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ind w:right="760"/>
        <w:spacing w:after="0" w:line="275" w:lineRule="auto"/>
        <w:rPr>
          <w:sz w:val="20"/>
          <w:szCs w:val="20"/>
          <w:color w:val="auto"/>
        </w:rPr>
      </w:pPr>
      <w:r>
        <w:rPr>
          <w:rFonts w:ascii="Times New Roman" w:cs="Times New Roman" w:eastAsia="Times New Roman" w:hAnsi="Times New Roman"/>
          <w:sz w:val="19"/>
          <w:szCs w:val="19"/>
          <w:color w:val="auto"/>
        </w:rPr>
        <w:t>Except as otherwise indicated in the following table, addresses of the directors, executive officers and named beneficial owners are in care of Molecular Partners AG, Wagistrasse 14, 8952 Schlieren,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693166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31660" cy="1587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Shares Beneficially Owned</w:t>
            </w:r>
          </w:p>
        </w:tc>
        <w:tc>
          <w:tcPr>
            <w:tcW w:w="0" w:type="dxa"/>
            <w:vAlign w:val="bottom"/>
          </w:tcPr>
          <w:p>
            <w:pPr>
              <w:spacing w:after="0"/>
              <w:rPr>
                <w:sz w:val="1"/>
                <w:szCs w:val="1"/>
                <w:color w:val="auto"/>
              </w:rPr>
            </w:pPr>
          </w:p>
        </w:tc>
      </w:tr>
      <w:tr>
        <w:trPr>
          <w:trHeight w:val="33"/>
        </w:trPr>
        <w:tc>
          <w:tcPr>
            <w:tcW w:w="5560" w:type="dxa"/>
            <w:vAlign w:val="bottom"/>
            <w:vMerge w:val="restart"/>
          </w:tcPr>
          <w:p>
            <w:pPr>
              <w:ind w:left="180"/>
              <w:spacing w:after="0"/>
              <w:rPr>
                <w:sz w:val="20"/>
                <w:szCs w:val="20"/>
                <w:color w:val="auto"/>
              </w:rPr>
            </w:pPr>
            <w:r>
              <w:rPr>
                <w:rFonts w:ascii="Times New Roman" w:cs="Times New Roman" w:eastAsia="Times New Roman" w:hAnsi="Times New Roman"/>
                <w:sz w:val="19"/>
                <w:szCs w:val="19"/>
                <w:b w:val="1"/>
                <w:bCs w:val="1"/>
                <w:color w:val="auto"/>
              </w:rPr>
              <w:t>Name of Beneficial Owner</w:t>
            </w:r>
          </w:p>
        </w:tc>
        <w:tc>
          <w:tcPr>
            <w:tcW w:w="2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560" w:type="dxa"/>
            <w:vAlign w:val="bottom"/>
            <w:vMerge w:val="continue"/>
          </w:tcPr>
          <w:p>
            <w:pPr>
              <w:spacing w:after="0"/>
              <w:rPr>
                <w:sz w:val="20"/>
                <w:szCs w:val="20"/>
                <w:color w:val="auto"/>
              </w:rPr>
            </w:pPr>
          </w:p>
        </w:tc>
        <w:tc>
          <w:tcPr>
            <w:tcW w:w="2880" w:type="dxa"/>
            <w:vAlign w:val="bottom"/>
          </w:tcPr>
          <w:p>
            <w:pPr>
              <w:jc w:val="right"/>
              <w:ind w:right="247"/>
              <w:spacing w:after="0"/>
              <w:rPr>
                <w:sz w:val="20"/>
                <w:szCs w:val="20"/>
                <w:color w:val="auto"/>
              </w:rPr>
            </w:pPr>
            <w:r>
              <w:rPr>
                <w:rFonts w:ascii="Times New Roman" w:cs="Times New Roman" w:eastAsia="Times New Roman" w:hAnsi="Times New Roman"/>
                <w:sz w:val="19"/>
                <w:szCs w:val="19"/>
                <w:b w:val="1"/>
                <w:bCs w:val="1"/>
                <w:color w:val="auto"/>
              </w:rPr>
              <w:t>Number</w:t>
            </w:r>
          </w:p>
        </w:tc>
        <w:tc>
          <w:tcPr>
            <w:tcW w:w="24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Percentage</w:t>
            </w:r>
          </w:p>
        </w:tc>
        <w:tc>
          <w:tcPr>
            <w:tcW w:w="0" w:type="dxa"/>
            <w:vAlign w:val="bottom"/>
          </w:tcPr>
          <w:p>
            <w:pPr>
              <w:spacing w:after="0"/>
              <w:rPr>
                <w:sz w:val="1"/>
                <w:szCs w:val="1"/>
                <w:color w:val="auto"/>
              </w:rPr>
            </w:pPr>
          </w:p>
        </w:tc>
      </w:tr>
      <w:tr>
        <w:trPr>
          <w:trHeight w:val="33"/>
        </w:trPr>
        <w:tc>
          <w:tcPr>
            <w:tcW w:w="55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Principal Shareholders</w:t>
            </w:r>
          </w:p>
        </w:tc>
        <w:tc>
          <w:tcPr>
            <w:tcW w:w="288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Entities affiliated with Biotechnology Value Fund, L.P.</w:t>
            </w:r>
            <w:r>
              <w:rPr>
                <w:rFonts w:ascii="Times New Roman" w:cs="Times New Roman" w:eastAsia="Times New Roman" w:hAnsi="Times New Roman"/>
                <w:sz w:val="24"/>
                <w:szCs w:val="24"/>
                <w:color w:val="auto"/>
                <w:vertAlign w:val="superscript"/>
              </w:rPr>
              <w:t>(1)(3)</w:t>
            </w:r>
          </w:p>
        </w:tc>
        <w:tc>
          <w:tcPr>
            <w:tcW w:w="2880" w:type="dxa"/>
            <w:vAlign w:val="bottom"/>
          </w:tcPr>
          <w:p>
            <w:pPr>
              <w:jc w:val="right"/>
              <w:ind w:right="427"/>
              <w:spacing w:after="0"/>
              <w:rPr>
                <w:sz w:val="20"/>
                <w:szCs w:val="20"/>
                <w:color w:val="auto"/>
              </w:rPr>
            </w:pPr>
            <w:r>
              <w:rPr>
                <w:rFonts w:ascii="Times New Roman" w:cs="Times New Roman" w:eastAsia="Times New Roman" w:hAnsi="Times New Roman"/>
                <w:sz w:val="19"/>
                <w:szCs w:val="19"/>
                <w:color w:val="auto"/>
              </w:rPr>
              <w:t>9,888,592</w:t>
            </w:r>
          </w:p>
        </w:tc>
        <w:tc>
          <w:tcPr>
            <w:tcW w:w="2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24.72 %</w:t>
            </w:r>
          </w:p>
        </w:tc>
        <w:tc>
          <w:tcPr>
            <w:tcW w:w="0" w:type="dxa"/>
            <w:vAlign w:val="bottom"/>
          </w:tcPr>
          <w:p>
            <w:pPr>
              <w:spacing w:after="0"/>
              <w:rPr>
                <w:sz w:val="1"/>
                <w:szCs w:val="1"/>
                <w:color w:val="auto"/>
              </w:rPr>
            </w:pPr>
          </w:p>
        </w:tc>
      </w:tr>
      <w:tr>
        <w:trPr>
          <w:trHeight w:val="34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Entities affiliated with Suvretta Capital Management, LLC</w:t>
            </w:r>
            <w:r>
              <w:rPr>
                <w:rFonts w:ascii="Times New Roman" w:cs="Times New Roman" w:eastAsia="Times New Roman" w:hAnsi="Times New Roman"/>
                <w:sz w:val="24"/>
                <w:szCs w:val="24"/>
                <w:color w:val="auto"/>
                <w:vertAlign w:val="superscript"/>
              </w:rPr>
              <w:t>(2)(4)</w:t>
            </w:r>
          </w:p>
        </w:tc>
        <w:tc>
          <w:tcPr>
            <w:tcW w:w="288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9"/>
                <w:szCs w:val="19"/>
                <w:color w:val="auto"/>
              </w:rPr>
              <w:t>4,284,806</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10.71 %</w:t>
            </w:r>
          </w:p>
        </w:tc>
        <w:tc>
          <w:tcPr>
            <w:tcW w:w="0" w:type="dxa"/>
            <w:vAlign w:val="bottom"/>
          </w:tcPr>
          <w:p>
            <w:pPr>
              <w:spacing w:after="0"/>
              <w:rPr>
                <w:sz w:val="1"/>
                <w:szCs w:val="1"/>
                <w:color w:val="auto"/>
              </w:rPr>
            </w:pPr>
          </w:p>
        </w:tc>
      </w:tr>
      <w:tr>
        <w:trPr>
          <w:trHeight w:val="342"/>
        </w:trPr>
        <w:tc>
          <w:tcPr>
            <w:tcW w:w="55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Novartis Pharma AG</w:t>
            </w:r>
            <w:r>
              <w:rPr>
                <w:rFonts w:ascii="Times New Roman" w:cs="Times New Roman" w:eastAsia="Times New Roman" w:hAnsi="Times New Roman"/>
                <w:sz w:val="24"/>
                <w:szCs w:val="24"/>
                <w:color w:val="auto"/>
                <w:vertAlign w:val="superscript"/>
              </w:rPr>
              <w:t>(2)(5)</w:t>
            </w:r>
          </w:p>
        </w:tc>
        <w:tc>
          <w:tcPr>
            <w:tcW w:w="2880" w:type="dxa"/>
            <w:vAlign w:val="bottom"/>
          </w:tcPr>
          <w:p>
            <w:pPr>
              <w:jc w:val="right"/>
              <w:ind w:right="427"/>
              <w:spacing w:after="0"/>
              <w:rPr>
                <w:sz w:val="20"/>
                <w:szCs w:val="20"/>
                <w:color w:val="auto"/>
              </w:rPr>
            </w:pPr>
            <w:r>
              <w:rPr>
                <w:rFonts w:ascii="Times New Roman" w:cs="Times New Roman" w:eastAsia="Times New Roman" w:hAnsi="Times New Roman"/>
                <w:sz w:val="19"/>
                <w:szCs w:val="19"/>
                <w:color w:val="auto"/>
              </w:rPr>
              <w:t>1,739,130</w:t>
            </w:r>
          </w:p>
        </w:tc>
        <w:tc>
          <w:tcPr>
            <w:tcW w:w="2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4.35 %</w:t>
            </w:r>
          </w:p>
        </w:tc>
        <w:tc>
          <w:tcPr>
            <w:tcW w:w="0" w:type="dxa"/>
            <w:vAlign w:val="bottom"/>
          </w:tcPr>
          <w:p>
            <w:pPr>
              <w:spacing w:after="0"/>
              <w:rPr>
                <w:sz w:val="1"/>
                <w:szCs w:val="1"/>
                <w:color w:val="auto"/>
              </w:rPr>
            </w:pPr>
          </w:p>
        </w:tc>
      </w:tr>
      <w:tr>
        <w:trPr>
          <w:trHeight w:val="34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UBS Fund Management (Switzerland) AG</w:t>
            </w:r>
            <w:r>
              <w:rPr>
                <w:rFonts w:ascii="Times New Roman" w:cs="Times New Roman" w:eastAsia="Times New Roman" w:hAnsi="Times New Roman"/>
                <w:sz w:val="24"/>
                <w:szCs w:val="24"/>
                <w:color w:val="auto"/>
                <w:vertAlign w:val="superscript"/>
              </w:rPr>
              <w:t>(2)(6)</w:t>
            </w:r>
          </w:p>
        </w:tc>
        <w:tc>
          <w:tcPr>
            <w:tcW w:w="288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9"/>
                <w:szCs w:val="19"/>
                <w:color w:val="auto"/>
              </w:rPr>
              <w:t>1,927,674</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4.82 %</w:t>
            </w:r>
          </w:p>
        </w:tc>
        <w:tc>
          <w:tcPr>
            <w:tcW w:w="0" w:type="dxa"/>
            <w:vAlign w:val="bottom"/>
          </w:tcPr>
          <w:p>
            <w:pPr>
              <w:spacing w:after="0"/>
              <w:rPr>
                <w:sz w:val="1"/>
                <w:szCs w:val="1"/>
                <w:color w:val="auto"/>
              </w:rPr>
            </w:pPr>
          </w:p>
        </w:tc>
      </w:tr>
      <w:tr>
        <w:trPr>
          <w:trHeight w:val="247"/>
        </w:trPr>
        <w:tc>
          <w:tcPr>
            <w:tcW w:w="5560" w:type="dxa"/>
            <w:vAlign w:val="bottom"/>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Directors and Executive Officers</w:t>
            </w:r>
          </w:p>
        </w:tc>
        <w:tc>
          <w:tcPr>
            <w:tcW w:w="28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931660" cy="217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Patrick Amstutz</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Renate Gloggner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6931660" cy="2171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Philippe Legenne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Michael Tobias Stumpp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6931660" cy="2171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William M. Burns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Agnete Fredriksen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6931660" cy="2171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Dominik Höchli</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Steven H.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6931660" cy="217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Sandip Kapadia</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Vito Palombella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6931660" cy="2171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Dr. Michael Vasconcelles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Alexander Zürcher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6931660" cy="2171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31660" cy="21717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(12 individuals)</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69316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747,809</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1.87 %</w:t>
            </w:r>
          </w:p>
        </w:tc>
      </w:tr>
      <w:tr>
        <w:trPr>
          <w:trHeight w:val="279"/>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26,151</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0.07 %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21,850</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0.05 %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715,770</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33,521</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0.08 %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2,564</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0.01 %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2,285</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0.01 %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17,281</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0.04 %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6,071</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6,069</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6,071</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0.02 %</w:t>
            </w:r>
          </w:p>
        </w:tc>
      </w:tr>
      <w:tr>
        <w:trPr>
          <w:trHeight w:val="279"/>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rPr>
              <w:t>28,697</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0.07 %</w:t>
            </w:r>
          </w:p>
        </w:tc>
      </w:tr>
      <w:tr>
        <w:trPr>
          <w:trHeight w:val="342"/>
        </w:trPr>
        <w:tc>
          <w:tcPr>
            <w:tcW w:w="1960" w:type="dxa"/>
            <w:vAlign w:val="bottom"/>
          </w:tcPr>
          <w:p>
            <w:pPr>
              <w:jc w:val="right"/>
              <w:ind w:right="1127"/>
              <w:spacing w:after="0"/>
              <w:rPr>
                <w:sz w:val="20"/>
                <w:szCs w:val="20"/>
                <w:color w:val="auto"/>
              </w:rPr>
            </w:pPr>
            <w:r>
              <w:rPr>
                <w:rFonts w:ascii="Times New Roman" w:cs="Times New Roman" w:eastAsia="Times New Roman" w:hAnsi="Times New Roman"/>
                <w:sz w:val="19"/>
                <w:szCs w:val="19"/>
                <w:color w:val="auto"/>
                <w:w w:val="94"/>
              </w:rPr>
              <w:t>1,614,139</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4.04 %</w:t>
            </w:r>
          </w:p>
        </w:tc>
      </w:tr>
    </w:tbl>
    <w:p>
      <w:pPr>
        <w:spacing w:after="0" w:line="200" w:lineRule="exact"/>
        <w:rPr>
          <w:sz w:val="20"/>
          <w:szCs w:val="20"/>
          <w:color w:val="auto"/>
        </w:rPr>
      </w:pPr>
    </w:p>
    <w:p>
      <w:pPr>
        <w:sectPr>
          <w:pgSz w:w="11900" w:h="16838" w:orient="portrait"/>
          <w:cols w:equalWidth="0" w:num="2">
            <w:col w:w="6460" w:space="720"/>
            <w:col w:w="4060"/>
          </w:cols>
          <w:pgMar w:left="320" w:top="1334" w:right="339" w:bottom="1440" w:gutter="0" w:footer="0" w:header="0"/>
          <w:type w:val="continuous"/>
        </w:sectPr>
      </w:pPr>
    </w:p>
    <w:p>
      <w:pPr>
        <w:spacing w:after="0" w:line="40" w:lineRule="exact"/>
        <w:rPr>
          <w:sz w:val="20"/>
          <w:szCs w:val="20"/>
          <w:color w:val="auto"/>
        </w:rPr>
      </w:pPr>
    </w:p>
    <w:p>
      <w:pPr>
        <w:ind w:left="300" w:hanging="299"/>
        <w:spacing w:after="0"/>
        <w:tabs>
          <w:tab w:leader="none" w:pos="3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reported is in part derived from reports filed with the SEC pursuant to the Exchange Act.</w:t>
      </w:r>
    </w:p>
    <w:p>
      <w:pPr>
        <w:spacing w:after="0" w:line="22" w:lineRule="exact"/>
        <w:rPr>
          <w:rFonts w:ascii="Times New Roman" w:cs="Times New Roman" w:eastAsia="Times New Roman" w:hAnsi="Times New Roman"/>
          <w:sz w:val="19"/>
          <w:szCs w:val="19"/>
          <w:color w:val="auto"/>
        </w:rPr>
      </w:pPr>
    </w:p>
    <w:p>
      <w:pPr>
        <w:ind w:left="300" w:hanging="299"/>
        <w:spacing w:after="0"/>
        <w:tabs>
          <w:tab w:leader="none" w:pos="3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Number of voting rights carried by shares as reported by our shareholders in notifications filed with SIX Swiss Exchange.</w:t>
      </w:r>
    </w:p>
    <w:p>
      <w:pPr>
        <w:spacing w:after="0" w:line="3" w:lineRule="exact"/>
        <w:rPr>
          <w:rFonts w:ascii="Times New Roman" w:cs="Times New Roman" w:eastAsia="Times New Roman" w:hAnsi="Times New Roman"/>
          <w:sz w:val="19"/>
          <w:szCs w:val="19"/>
          <w:color w:val="auto"/>
        </w:rPr>
      </w:pPr>
    </w:p>
    <w:p>
      <w:pPr>
        <w:ind w:left="300" w:hanging="299"/>
        <w:spacing w:after="0" w:line="236" w:lineRule="auto"/>
        <w:tabs>
          <w:tab w:leader="none" w:pos="3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a Schedule 13D filed with the SEC on October 29, 2024, the shares provided in the table above consist of 1,353,968 ADSs and</w:t>
      </w:r>
    </w:p>
    <w:p>
      <w:pPr>
        <w:ind w:left="300"/>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8,534,624 ordinary shares of the Company held by Biotechnology Value Fund, L.P. ("BVF"), Biotechnology Value Fund II, L.P. ("BVF2"), Biotechnology Value Trading Fund OS, L.P. ("Trading Fund OS") and a managed account for BVF Partners L.P. (the "Partners Managed Account," and collectively, the "BVF Funds"). BVF GP LLC is the general partner of BVF and may be deemed to beneficially own the shares beneficially owned by BVF. BVF II GP LLC is the general partner of BVF2 and may be deemed to beneficially own the shares beneficially owned by BVF2. BVF Partners OS Ltd. is the general partner of Trading Fund OS and may be deemed to beneficially own the shares beneficially owned by Trading Fund OS. BVF GP Holdings LLC, as the sole member of BVF I GP LLC and BVF II GP LLC, may be deemed to beneficially own the shares beneficially owned by BVF and BVF2. BVF Partners L.P. ("Partners"), as the investment manager of BVF, BVF2 and Trading Fund OS, and the sole member of BVF Partners OS Ltd, may be deemed to beneficially own the shares held by BVF, BVF2, Trading Fund OS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50" w:name="page151"/>
    <w:bookmarkEnd w:id="150"/>
    <w:p>
      <w:pPr>
        <w:ind w:left="300" w:right="100"/>
        <w:spacing w:after="0" w:line="233" w:lineRule="auto"/>
        <w:rPr>
          <w:sz w:val="20"/>
          <w:szCs w:val="20"/>
          <w:color w:val="auto"/>
        </w:rPr>
      </w:pPr>
      <w:r>
        <w:rPr>
          <w:rFonts w:ascii="Times New Roman" w:cs="Times New Roman" w:eastAsia="Times New Roman" w:hAnsi="Times New Roman"/>
          <w:sz w:val="19"/>
          <w:szCs w:val="19"/>
          <w:color w:val="auto"/>
        </w:rPr>
        <w:t>Partners Managed Account. BVF Inc., as the general partner of Partners, may be deemed to beneficially own the shares beneficially owned by Partners. Mark Lampert, as the sole director and officer of BVF Inc., may be deemed to beneficially own the shares beneficially owned by BVF Inc. Each of Partners, BVF Inc. and Mark Lampert disclaims beneficial ownership of the shares beneficially owned by BVF, BVF2, Trading Fund OS, and the Partners Managed Account. The address for the BVF Funds is 44 Montgomery St., 40th Floor, San Francisco, California 94104. According to a Schedule 13D filed with the SEC on October 29, 2024, Mark N. Lampert (Biotechnology Value Funds) held 9,888,592 shares (corresponding to 24.72% of voting rights), consisting of 1,353,968 ADSs and 8,534,624 ordinary shares.</w:t>
      </w:r>
    </w:p>
    <w:p>
      <w:pPr>
        <w:spacing w:after="0" w:line="1" w:lineRule="exact"/>
        <w:rPr>
          <w:sz w:val="20"/>
          <w:szCs w:val="20"/>
          <w:color w:val="auto"/>
        </w:rPr>
      </w:pPr>
    </w:p>
    <w:p>
      <w:pPr>
        <w:ind w:left="300" w:right="160" w:hanging="299"/>
        <w:spacing w:after="0" w:line="241" w:lineRule="auto"/>
        <w:tabs>
          <w:tab w:leader="none" w:pos="28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the Company are held by Suvretta Master Fund, Ltd., Averill Master Fund, Ltd., Vitruvius US Equity and Suvretta Long Master Fund, Ltd. Suvretta Capital Management, LLC is the beneficial owner and may exercise voting power over the shares. Aaron Cowen may also be deemed to have shared dispositive power and voting power with respect to the shares by virtue of his role at Suvretta Capital Management, LLC. The address for Suvretta Capital Management, LLC is 540 Madison Avenue, 7th Floor, New York, New York 10022.</w:t>
      </w:r>
    </w:p>
    <w:p>
      <w:pPr>
        <w:spacing w:after="0" w:line="2" w:lineRule="exact"/>
        <w:rPr>
          <w:rFonts w:ascii="Times New Roman" w:cs="Times New Roman" w:eastAsia="Times New Roman" w:hAnsi="Times New Roman"/>
          <w:sz w:val="19"/>
          <w:szCs w:val="19"/>
          <w:color w:val="auto"/>
        </w:rPr>
      </w:pPr>
    </w:p>
    <w:p>
      <w:pPr>
        <w:ind w:left="300" w:right="180" w:hanging="299"/>
        <w:spacing w:after="0" w:line="247" w:lineRule="auto"/>
        <w:tabs>
          <w:tab w:leader="none" w:pos="28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ind w:left="300" w:right="540" w:hanging="299"/>
        <w:spacing w:after="0" w:line="253" w:lineRule="auto"/>
        <w:tabs>
          <w:tab w:leader="none" w:pos="288"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the Company are held by UBS Fund Management (Switzerland) AG. The address of UBS Fund Management (Switzerland) AG is Aeschenvorstadt 1 CH-4051 Basel, Switzerland.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Significant Changes in Percentage Ownership</w:t>
      </w:r>
    </w:p>
    <w:p>
      <w:pPr>
        <w:spacing w:after="0" w:line="12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9"/>
          <w:szCs w:val="19"/>
          <w:color w:val="auto"/>
        </w:rPr>
        <w:t>To our knowledge, other than as provided in the table above, our other filings with the SEC and this Annual Report on Form 20-F under the heading "Related Party Transactions—Agreements with Shareholders", the significant changes in the percentage ownership held by our principal shareholders since January 1, 2022 are as a result of the transaction described in the final prospectus related to our follow-on offering of ADSs filed with the SEC on October 25, 2024 pursuant to Rule 424(b), and the dilution resulting from this offering.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Voting Rights</w:t>
      </w:r>
    </w:p>
    <w:p>
      <w:pPr>
        <w:spacing w:after="0" w:line="1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 xml:space="preserve">As of December 31, 2024, our issued share capital as recorded in the commercial register of the Canton of Zurich was CHF 3,999,728.50, consisting of 39,997,285 ordinary shares with a nominal value of CHF 0.10 each. All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other and no preferred shares exist.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Shareholders in the United States</w:t>
      </w:r>
    </w:p>
    <w:p>
      <w:pPr>
        <w:spacing w:after="0" w:line="12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In June 2021, we completed our initial public offering in the U.S. and listed our ADSs on the Nasdaq Global Select Market. As of December 31, 2024, to the best of our knowledge and assuming that all of our ordinary shares represented by ADSs are held by residents of the United States, we estimate that 35% of our issued ordinary shares (including ordinary shares underlying ADSs) as identified in publicly available filings were held in the United States by approximately 5 holders of record. The actual number of holders is potentially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Related Party Transactions.</w:t>
      </w:r>
    </w:p>
    <w:p>
      <w:pPr>
        <w:spacing w:after="0" w:line="153"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9"/>
          <w:szCs w:val="19"/>
          <w:color w:val="auto"/>
        </w:rPr>
        <w:t>Since January 1, 2024, we have engaged in the following transactions with our directors, executive officers and holders of more than 3% of our outstanding voting securities and their affiliates, which we refer to as our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9"/>
          <w:szCs w:val="19"/>
          <w:b w:val="1"/>
          <w:bCs w:val="1"/>
          <w:color w:val="auto"/>
        </w:rPr>
        <w:t>Agreements with Our Directors and Executive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Employment Arrangements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14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We have entered into indemnification agreements with each of our directors and executive officers. See the section of this Annual Report on Form 20-F entitled “Item 6.B - Compensation—Compensation of Executive Officers—Limitations on Liability and Indemnification Matters.”</w:t>
      </w:r>
    </w:p>
    <w:p>
      <w:pPr>
        <w:spacing w:after="0" w:line="8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Agreements with Shareholders</w:t>
      </w:r>
    </w:p>
    <w:p>
      <w:pPr>
        <w:spacing w:after="0" w:line="153"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9"/>
          <w:szCs w:val="19"/>
          <w:color w:val="auto"/>
        </w:rPr>
        <w:t>See “Item 4.B - Business Overview—License and Collaboration Agreements" for information regarding the Novartis Option Agreement, the Ensovibep License Agreement and the Novartis Radioligand Agreement with Novartis.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Transactions Policy</w:t>
      </w:r>
    </w:p>
    <w:p>
      <w:pPr>
        <w:spacing w:after="0" w:line="12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or which is unusual in its nature or conditions. Transactions involving compensation for services provided to us as an employee, consultant or director are not covered by this policy. A related person is any enterprise that controls, is controlled by or is under common control with the Company, or in which the Company has significant influence or which has significant influence over the Company; an individual owning, directly or indirectly, an interest in the voting power of the Company that gives them significant influence over the Company, and close members of any such individual’s family; key management personnel, including directors and senior management and close members of such individuals' families; and any enterprise in which a substantial interest in the voting power of the Company is owned, directly or indirectly, by any person described in the foregoing list or over which such a person is able to exercise significant influence, including enterprises owned by directors or major shareholders of the Company and enterprises that have a member of key management in common with the Company.</w:t>
      </w:r>
    </w:p>
    <w:p>
      <w:pPr>
        <w:spacing w:after="0" w:line="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Under the policy, any proposed transaction that has been identified as a related person transaction may be consummated or materially amended only following approved by our Audit and Finance Committee, or, if Audit and Finance Committee approval would be inappropriate, another independent body of our board of directors. Any transaction that was not a related person transaction when originally consummated or any transaction that was not initially identified as a related person transaction prior to consummation shall be submitted for review and ratification by our Audit and Finance Committee, The presentation of such related party transactions shall include a description of, among other things, the parties thereto, the interests, direct and indirect, of the related persons, the purpose and material facts of the transaction,,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0" w:right="359" w:bottom="1440" w:gutter="0" w:footer="0" w:header="0"/>
        </w:sectPr>
      </w:pPr>
    </w:p>
    <w:bookmarkStart w:id="152" w:name="page153"/>
    <w:bookmarkEnd w:id="152"/>
    <w:p>
      <w:pPr>
        <w:ind w:right="20"/>
        <w:spacing w:after="0" w:line="254" w:lineRule="auto"/>
        <w:rPr>
          <w:sz w:val="20"/>
          <w:szCs w:val="20"/>
          <w:color w:val="auto"/>
        </w:rPr>
      </w:pPr>
      <w:r>
        <w:rPr>
          <w:rFonts w:ascii="Times New Roman" w:cs="Times New Roman" w:eastAsia="Times New Roman" w:hAnsi="Times New Roman"/>
          <w:sz w:val="19"/>
          <w:szCs w:val="19"/>
          <w:color w:val="auto"/>
        </w:rPr>
        <w:t>benefits to the Company of the transaction and whether the transaction is on terms that are comparable to the terms available to or from, as the case may be, an unrelated third- party or to or from employees generally, and management's recommendation with respect to the transaction. The Audit and Finance Committee shall approve only those related person transactions that, in light of known circumstances, are in, or are not inconsistent with, the best interests of the Company and its shareholders, as the Audit and Finance Committee determines in the good faith.</w:t>
      </w:r>
    </w:p>
    <w:p>
      <w:pPr>
        <w:spacing w:after="0" w:line="10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9"/>
          <w:szCs w:val="19"/>
          <w:color w:val="auto"/>
        </w:rPr>
        <w:t>In addition, while related party transaction policies are generally not required by statutory Swiss law, our articles of association provide for the following rules in connection with transactions with members of the board of directors and the executive management:</w:t>
      </w:r>
    </w:p>
    <w:p>
      <w:pPr>
        <w:spacing w:after="0" w:line="82" w:lineRule="exact"/>
        <w:rPr>
          <w:sz w:val="20"/>
          <w:szCs w:val="20"/>
          <w:color w:val="auto"/>
        </w:rPr>
      </w:pPr>
    </w:p>
    <w:p>
      <w:pPr>
        <w:ind w:left="300" w:right="200" w:hanging="299"/>
        <w:spacing w:after="0" w:line="261" w:lineRule="auto"/>
        <w:tabs>
          <w:tab w:leader="none" w:pos="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enter into mandate or other agreements with the members of our board of directors regarding their compensation as directors for a fixed term or for an indefinite term. The duration and termination are subject to term of office and the law.</w:t>
      </w:r>
    </w:p>
    <w:p>
      <w:pPr>
        <w:spacing w:after="0" w:line="107" w:lineRule="exact"/>
        <w:rPr>
          <w:rFonts w:ascii="Times New Roman" w:cs="Times New Roman" w:eastAsia="Times New Roman" w:hAnsi="Times New Roman"/>
          <w:sz w:val="19"/>
          <w:szCs w:val="19"/>
          <w:color w:val="auto"/>
        </w:rPr>
      </w:pPr>
    </w:p>
    <w:p>
      <w:pPr>
        <w:ind w:left="300" w:right="20" w:hanging="299"/>
        <w:spacing w:after="0" w:line="256" w:lineRule="auto"/>
        <w:tabs>
          <w:tab w:leader="none" w:pos="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p>
      <w:pPr>
        <w:spacing w:after="0" w:line="98" w:lineRule="exact"/>
        <w:rPr>
          <w:rFonts w:ascii="Times New Roman" w:cs="Times New Roman" w:eastAsia="Times New Roman" w:hAnsi="Times New Roman"/>
          <w:sz w:val="19"/>
          <w:szCs w:val="19"/>
          <w:color w:val="auto"/>
        </w:rPr>
      </w:pPr>
    </w:p>
    <w:p>
      <w:pPr>
        <w:ind w:left="300" w:hanging="299"/>
        <w:spacing w:after="0" w:line="254" w:lineRule="auto"/>
        <w:tabs>
          <w:tab w:leader="none" w:pos="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spacing w:after="0" w:line="100" w:lineRule="exact"/>
        <w:rPr>
          <w:rFonts w:ascii="Times New Roman" w:cs="Times New Roman" w:eastAsia="Times New Roman" w:hAnsi="Times New Roman"/>
          <w:sz w:val="19"/>
          <w:szCs w:val="19"/>
          <w:color w:val="auto"/>
        </w:rPr>
      </w:pPr>
    </w:p>
    <w:p>
      <w:pPr>
        <w:ind w:left="300" w:right="20" w:hanging="299"/>
        <w:spacing w:after="0" w:line="256" w:lineRule="auto"/>
        <w:tabs>
          <w:tab w:leader="none" w:pos="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spacing w:after="0" w:line="111" w:lineRule="exact"/>
        <w:rPr>
          <w:rFonts w:ascii="Times New Roman" w:cs="Times New Roman" w:eastAsia="Times New Roman" w:hAnsi="Times New Roman"/>
          <w:sz w:val="19"/>
          <w:szCs w:val="19"/>
          <w:color w:val="auto"/>
        </w:rPr>
      </w:pPr>
    </w:p>
    <w:p>
      <w:pPr>
        <w:ind w:left="300" w:right="60" w:hanging="299"/>
        <w:spacing w:after="0" w:line="256" w:lineRule="auto"/>
        <w:tabs>
          <w:tab w:leader="none" w:pos="289"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Interests of Experts and Counsel.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Information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Consolidated Statements and Other Financial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consolidated financial statements are appended at the end of this Annual Report, starting at page F-1,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b w:val="1"/>
          <w:bCs w:val="1"/>
          <w:color w:val="auto"/>
        </w:rPr>
        <w:t>Dividend Distribution Policy</w:t>
      </w:r>
    </w:p>
    <w:p>
      <w:pPr>
        <w:spacing w:after="0" w:line="14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We have never declared or paid any dividends on our ordinary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ordinary shares or ADSs will benefit in the foreseeable future only if the ordinary shares or ADSs appreciate in value.</w:t>
      </w:r>
    </w:p>
    <w:p>
      <w:pPr>
        <w:spacing w:after="0" w:line="1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In order for us to declare and pay dividends, the distribution must be approved by shareholders holding an absolute majority of the ordinary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spacing w:after="0" w:line="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Common dividends may be paid only if we have sufficient distributable profits from previous years (</w:t>
      </w:r>
      <w:r>
        <w:rPr>
          <w:rFonts w:ascii="Times New Roman" w:cs="Times New Roman" w:eastAsia="Times New Roman" w:hAnsi="Times New Roman"/>
          <w:sz w:val="19"/>
          <w:szCs w:val="19"/>
          <w:i w:val="1"/>
          <w:iCs w:val="1"/>
          <w:color w:val="auto"/>
        </w:rPr>
        <w:t>Gewinnvortrag</w:t>
      </w:r>
      <w:r>
        <w:rPr>
          <w:rFonts w:ascii="Times New Roman" w:cs="Times New Roman" w:eastAsia="Times New Roman" w:hAnsi="Times New Roman"/>
          <w:sz w:val="19"/>
          <w:szCs w:val="19"/>
          <w:color w:val="auto"/>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Times New Roman" w:cs="Times New Roman" w:eastAsia="Times New Roman" w:hAnsi="Times New Roman"/>
          <w:sz w:val="19"/>
          <w:szCs w:val="19"/>
          <w:i w:val="1"/>
          <w:iCs w:val="1"/>
          <w:color w:val="auto"/>
        </w:rPr>
        <w:t>Statuten</w:t>
      </w:r>
      <w:r>
        <w:rPr>
          <w:rFonts w:ascii="Times New Roman" w:cs="Times New Roman" w:eastAsia="Times New Roman" w:hAnsi="Times New Roman"/>
          <w:sz w:val="19"/>
          <w:szCs w:val="19"/>
          <w:color w:val="auto"/>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Times New Roman" w:cs="Times New Roman" w:eastAsia="Times New Roman" w:hAnsi="Times New Roman"/>
          <w:sz w:val="19"/>
          <w:szCs w:val="19"/>
          <w:i w:val="1"/>
          <w:iCs w:val="1"/>
          <w:color w:val="auto"/>
        </w:rPr>
        <w:t>Reserven aus Kapitaleinlagen</w:t>
      </w:r>
      <w:r>
        <w:rPr>
          <w:rFonts w:ascii="Times New Roman" w:cs="Times New Roman" w:eastAsia="Times New Roman" w:hAnsi="Times New Roman"/>
          <w:sz w:val="19"/>
          <w:szCs w:val="19"/>
          <w:color w:val="auto"/>
        </w:rPr>
        <w:t>), a shareholders’ meeting must approve by the absolute majority of votes represented the reclassification of such reserves from capital contributions to freely distributable reserves (</w:t>
      </w:r>
      <w:r>
        <w:rPr>
          <w:rFonts w:ascii="Times New Roman" w:cs="Times New Roman" w:eastAsia="Times New Roman" w:hAnsi="Times New Roman"/>
          <w:sz w:val="19"/>
          <w:szCs w:val="19"/>
          <w:i w:val="1"/>
          <w:iCs w:val="1"/>
          <w:color w:val="auto"/>
        </w:rPr>
        <w:t>frei verfügbare Reserven</w:t>
      </w:r>
      <w:r>
        <w:rPr>
          <w:rFonts w:ascii="Times New Roman" w:cs="Times New Roman" w:eastAsia="Times New Roman" w:hAnsi="Times New Roman"/>
          <w:sz w:val="19"/>
          <w:szCs w:val="19"/>
          <w:color w:val="auto"/>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ordinary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ordinary shares. As of December 31, 2024, we had reserves from capital contributions in an aggregate amount of CHF 342,466,412.</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 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ordinary shares that are based upon a capital reduction. For a description of share capital reductions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54" w:name="page155"/>
    <w:bookmarkEnd w:id="154"/>
    <w:p>
      <w:pPr>
        <w:ind w:right="60"/>
        <w:spacing w:after="0" w:line="275" w:lineRule="auto"/>
        <w:rPr>
          <w:sz w:val="20"/>
          <w:szCs w:val="20"/>
          <w:color w:val="auto"/>
        </w:rPr>
      </w:pPr>
      <w:r>
        <w:rPr>
          <w:rFonts w:ascii="Times New Roman" w:cs="Times New Roman" w:eastAsia="Times New Roman" w:hAnsi="Times New Roman"/>
          <w:sz w:val="19"/>
          <w:szCs w:val="19"/>
          <w:color w:val="auto"/>
        </w:rPr>
        <w:t>under the revised Swiss corporate law that entered into force in 2023, see "Item 10.B. Memorandum and Articles of Association Swiss Corporate Law Reform."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Dividend distributions, if any in the future, will be declared and paid in Swiss francs and converted into U.S. dollars with respect to our ADSs.</w:t>
      </w:r>
    </w:p>
    <w:p>
      <w:pPr>
        <w:spacing w:after="0" w:line="13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Proceedings</w:t>
      </w:r>
    </w:p>
    <w:p>
      <w:pPr>
        <w:spacing w:after="0" w:line="14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From time to time we may become involved in legal proceedings or be subject to claims arising in the ordinary course of our business.Regardless of the outcome, litigation can have an adverse impact on us because of defense and settlement costs, diversion of management resources and other factors.</w:t>
      </w:r>
    </w:p>
    <w:p>
      <w:pPr>
        <w:spacing w:after="0" w:line="9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On July 12, 2022, a putative class action complaint was filed in the U.S. District Court for the Southern District of New York against the Company, its directors, and certain of its executive officers. On May 23, 2023, an amended complaint was filed. The amended complaint alleged that the defendants violated federal securities laws by, among other things, making misrepresentations and omissions regarding its product candidate MP0310 and an associated licensing agreement. The amended complaint sought unspecified compensatory damages, as well as an award of reasonable attorneys’ fees and other costs, on behalf of persons and/or entities which purchased the Company's American Depositary Shares (ADSs) pursuant to certain offering documents issued in connection with the Company's initial public offering of ADSs. The Company and named individual defendants moved to dismiss the amended complaint on July 24, 2023. Plaintiffs filed their opposition on September 7, 2023 and the Company and named individual defendants filed their reply brief on October 5, 2023. On February 5, 2024, the court dismissed the amended complaint without prejudice and gave plaintiff the opportunity to amend the complaint by February 26, 2024. On February 23, 2024, plaintiff filed a stipulation of dismissal with prejudice. On February 29, 2024, the court ordered the case closed.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Significant Changes.</w:t>
      </w:r>
    </w:p>
    <w:p>
      <w:pPr>
        <w:spacing w:after="0" w:line="140" w:lineRule="exact"/>
        <w:rPr>
          <w:sz w:val="20"/>
          <w:szCs w:val="20"/>
          <w:color w:val="auto"/>
        </w:rPr>
      </w:pPr>
    </w:p>
    <w:p>
      <w:pPr>
        <w:jc w:val="both"/>
        <w:ind w:right="3520"/>
        <w:spacing w:after="0" w:line="256" w:lineRule="auto"/>
        <w:rPr>
          <w:sz w:val="20"/>
          <w:szCs w:val="20"/>
          <w:color w:val="auto"/>
        </w:rPr>
      </w:pPr>
      <w:r>
        <w:rPr>
          <w:rFonts w:ascii="Times New Roman" w:cs="Times New Roman" w:eastAsia="Times New Roman" w:hAnsi="Times New Roman"/>
          <w:sz w:val="19"/>
          <w:szCs w:val="19"/>
          <w:color w:val="auto"/>
        </w:rPr>
        <w:t>Please see Note 27, Events After the Balance Sheet Date, included in the audited consolidated financial statements start at page F-1 included elsewhere in this Form 20-F. Other than the events included in this note, no significant changes have occurred.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The Offer and Listing.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Offer and Listing Details.</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Our ADSs have been listed on the Nasdaq Global Select Market under the symbol “MOLN” since June 16, 2021. Prior to June 16, 2021, there was no public trading market for ADSs. Our ordinary shares have been listed on the SIX Swiss Exchange, or SIX, under the symbol “MOLN” since November 5, 2014. Prior to November 5, 2014, there was no public trading market for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155" w:name="page156"/>
    <w:bookmarkEnd w:id="155"/>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Plan of Distribution.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Markets.</w:t>
      </w:r>
    </w:p>
    <w:p>
      <w:pPr>
        <w:spacing w:after="0" w:line="14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auto"/>
        </w:rPr>
        <w:t>Our ADSs have been listed on the Nasdaq Global Select Market under the symbol “MOLN” since June 16, 2021, and our ordinary shares have been listed on SIX under the symbol “MOLN” since November 5, 2014.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Selling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Dilution.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 Expenses of the Issue.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Additional Information.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Share 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Memorandum and Articles of Association.</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Please see the information set forth in Exhibit 2.3 “Description of Securities” and the copy of our Articles of Association filed as Exhibit 1.1, which are each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Material Contracts.</w:t>
      </w:r>
    </w:p>
    <w:p>
      <w:pPr>
        <w:spacing w:after="0" w:line="14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In addition to the contracts described elsewhere in this Annual Report, the following are summaries of each material contract to which we are a party for the two years preceding the date of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Sales Agreement</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 2022, we entered into the Sales Agreement with Leerink Partners LLC (previously known as SVB Securities LLC to sell ordinary shares from time to time at our discretion under an “at the market”, or ATM, program, with aggregate gross sales proceeds of up to $100.0 million. The Sales Agreement provides that the commission payable to Leerink Partners LLC (previously known as SVB Securities LLC, as sales agent, for sales of ordinary shares under the ATM program shall be up to 3.0% of the aggregate gross proceeds of any ordinary shares sold under the Sales Agreement. The Sales Agreement contains customary representations and warranties of the parties and indemnification and contribution provisions, including our agreement to indemnify Leerink Partners LLC (previously known as SVB Securities LLC against certain liabilities, including liabilities under the Securities Act. We and Leerink Partners LLC (previously known as SVB Securities LLC have the right, by giving written notice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6" w:name="page157"/>
    <w:bookmarkEnd w:id="156"/>
    <w:p>
      <w:pPr>
        <w:ind w:right="340"/>
        <w:spacing w:after="0" w:line="396" w:lineRule="auto"/>
        <w:rPr>
          <w:sz w:val="20"/>
          <w:szCs w:val="20"/>
          <w:color w:val="auto"/>
        </w:rPr>
      </w:pPr>
      <w:r>
        <w:rPr>
          <w:rFonts w:ascii="Times New Roman" w:cs="Times New Roman" w:eastAsia="Times New Roman" w:hAnsi="Times New Roman"/>
          <w:sz w:val="19"/>
          <w:szCs w:val="19"/>
          <w:color w:val="auto"/>
        </w:rPr>
        <w:t xml:space="preserve">specified in the Sales Agreement, to terminate the Sales Agreement. As of March 6, 2025, we have not made any sales under the Sales Agreement. </w:t>
      </w:r>
      <w:r>
        <w:rPr>
          <w:rFonts w:ascii="Times New Roman" w:cs="Times New Roman" w:eastAsia="Times New Roman" w:hAnsi="Times New Roman"/>
          <w:sz w:val="19"/>
          <w:szCs w:val="19"/>
          <w:i w:val="1"/>
          <w:iCs w:val="1"/>
          <w:color w:val="auto"/>
        </w:rPr>
        <w:t>Underwriting Agreement</w:t>
      </w:r>
    </w:p>
    <w:p>
      <w:pPr>
        <w:spacing w:after="0" w:line="1" w:lineRule="exact"/>
        <w:rPr>
          <w:sz w:val="20"/>
          <w:szCs w:val="20"/>
          <w:color w:val="auto"/>
        </w:rPr>
      </w:pPr>
    </w:p>
    <w:p>
      <w:pPr>
        <w:ind w:right="3580"/>
        <w:spacing w:after="0" w:line="249" w:lineRule="auto"/>
        <w:rPr>
          <w:sz w:val="20"/>
          <w:szCs w:val="20"/>
          <w:color w:val="auto"/>
        </w:rPr>
      </w:pPr>
      <w:r>
        <w:rPr>
          <w:rFonts w:ascii="Times New Roman" w:cs="Times New Roman" w:eastAsia="Times New Roman" w:hAnsi="Times New Roman"/>
          <w:sz w:val="19"/>
          <w:szCs w:val="19"/>
          <w:color w:val="auto"/>
        </w:rPr>
        <w:t>On October 24, 2024, we entered into an underwriting agreement with Leerink Partners LLC and TD Securities (USA) LLC, as representatives of the several underwriters, in connection with an offering of our ADSs. We have agreed to indemnify the underwriters against certain liabilities, including liabilities under the Securities Act, and to contribute to payments the underwriters may be required to make in respect of such liabilities.</w:t>
      </w:r>
    </w:p>
    <w:p>
      <w:pPr>
        <w:spacing w:after="0" w:line="19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For additional information on our material contracts, please see “Item 4. - Information on the Company,” “Item 6. - Directors, Senior Management and Employees,” and “Item 7.B. - Related Party Transactions” of this Annual Report.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Exchange Controls.</w:t>
      </w:r>
    </w:p>
    <w:p>
      <w:pPr>
        <w:spacing w:after="0" w:line="14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ordinary shares.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Taxation.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Swiss Federal, Cantonal and Communal Individual Income Tax and Corporate Income Tax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Non-Resident Shareholders</w:t>
      </w:r>
    </w:p>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Times New Roman" w:cs="Times New Roman" w:eastAsia="Times New Roman" w:hAnsi="Times New Roman"/>
          <w:sz w:val="18"/>
          <w:szCs w:val="18"/>
          <w:i w:val="1"/>
          <w:iCs w:val="1"/>
          <w:color w:val="auto"/>
        </w:rPr>
        <w:t>Nennwertrückzahlungen</w:t>
      </w:r>
      <w:r>
        <w:rPr>
          <w:rFonts w:ascii="Times New Roman" w:cs="Times New Roman" w:eastAsia="Times New Roman" w:hAnsi="Times New Roman"/>
          <w:sz w:val="18"/>
          <w:szCs w:val="18"/>
          <w:color w:val="auto"/>
        </w:rPr>
        <w:t>) or paid out of reserves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on shares underlying the ADSs, or capital gains realized on the sale or other disposition of ADSs (see, however, "</w:t>
      </w:r>
      <w:r>
        <w:rPr>
          <w:rFonts w:ascii="Times New Roman" w:cs="Times New Roman" w:eastAsia="Times New Roman" w:hAnsi="Times New Roman"/>
          <w:sz w:val="18"/>
          <w:szCs w:val="18"/>
          <w:i w:val="1"/>
          <w:iCs w:val="1"/>
          <w:color w:val="auto"/>
        </w:rPr>
        <w:t>Swiss Federal Withholding Tax</w:t>
      </w:r>
      <w:r>
        <w:rPr>
          <w:rFonts w:ascii="Times New Roman" w:cs="Times New Roman" w:eastAsia="Times New Roman" w:hAnsi="Times New Roman"/>
          <w:sz w:val="18"/>
          <w:szCs w:val="18"/>
          <w:color w:val="auto"/>
        </w:rPr>
        <w:t>" for a summary of Swiss federal withholding tax on Dividends).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Resident Private Shareholders</w:t>
      </w:r>
    </w:p>
    <w:p>
      <w:pPr>
        <w:spacing w:after="0" w:line="15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Swiss resident individuals who hold their ADSs as private assets (all such shareholders are hereinafter referred to as the Resident Private Shareholders) are required to include Dividends, but not distributions based upon a capital reduction (</w:t>
      </w:r>
      <w:r>
        <w:rPr>
          <w:rFonts w:ascii="Times New Roman" w:cs="Times New Roman" w:eastAsia="Times New Roman" w:hAnsi="Times New Roman"/>
          <w:sz w:val="18"/>
          <w:szCs w:val="18"/>
          <w:i w:val="1"/>
          <w:iCs w:val="1"/>
          <w:color w:val="auto"/>
        </w:rPr>
        <w:t>Nennwertrückzahlungen</w:t>
      </w:r>
      <w:r>
        <w:rPr>
          <w:rFonts w:ascii="Times New Roman" w:cs="Times New Roman" w:eastAsia="Times New Roman" w:hAnsi="Times New Roman"/>
          <w:sz w:val="18"/>
          <w:szCs w:val="18"/>
          <w:color w:val="auto"/>
        </w:rPr>
        <w:t>) or paid out of reserves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Times New Roman" w:cs="Times New Roman" w:eastAsia="Times New Roman" w:hAnsi="Times New Roman"/>
          <w:sz w:val="18"/>
          <w:szCs w:val="18"/>
          <w:i w:val="1"/>
          <w:iCs w:val="1"/>
          <w:color w:val="auto"/>
        </w:rPr>
        <w:t>Nennwertrückzahlungen</w:t>
      </w:r>
      <w:r>
        <w:rPr>
          <w:rFonts w:ascii="Times New Roman" w:cs="Times New Roman" w:eastAsia="Times New Roman" w:hAnsi="Times New Roman"/>
          <w:sz w:val="18"/>
          <w:szCs w:val="18"/>
          <w:color w:val="auto"/>
        </w:rPr>
        <w:t>) or paid out of reserves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Capital gains resulting from the sale or other dispositions of ADSs are not subject to Swiss federal, cantonal and communal income tax, and conversely, capital losses are not tax-deductible for Resident Private Shareholders. See "</w:t>
      </w:r>
      <w:r>
        <w:rPr>
          <w:rFonts w:ascii="Times New Roman" w:cs="Times New Roman" w:eastAsia="Times New Roman" w:hAnsi="Times New Roman"/>
          <w:sz w:val="18"/>
          <w:szCs w:val="18"/>
          <w:i w:val="1"/>
          <w:iCs w:val="1"/>
          <w:color w:val="auto"/>
        </w:rPr>
        <w:t>Domestic Commercial Shareholders</w:t>
      </w:r>
      <w:r>
        <w:rPr>
          <w:rFonts w:ascii="Times New Roman" w:cs="Times New Roman" w:eastAsia="Times New Roman" w:hAnsi="Times New Roman"/>
          <w:sz w:val="18"/>
          <w:szCs w:val="18"/>
          <w:color w:val="auto"/>
        </w:rPr>
        <w:t>" for a summary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57" w:name="page158"/>
    <w:bookmarkEnd w:id="157"/>
    <w:p>
      <w:pPr>
        <w:ind w:right="840"/>
        <w:spacing w:after="0" w:line="396" w:lineRule="auto"/>
        <w:rPr>
          <w:sz w:val="20"/>
          <w:szCs w:val="20"/>
          <w:color w:val="auto"/>
        </w:rPr>
      </w:pPr>
      <w:r>
        <w:rPr>
          <w:rFonts w:ascii="Times New Roman" w:cs="Times New Roman" w:eastAsia="Times New Roman" w:hAnsi="Times New Roman"/>
          <w:sz w:val="19"/>
          <w:szCs w:val="19"/>
          <w:color w:val="auto"/>
        </w:rPr>
        <w:t xml:space="preserve">taxation treatment applicable to Swiss resident individuals, who, for income tax purposes, are classified as "professional securities dealers." </w:t>
      </w:r>
      <w:r>
        <w:rPr>
          <w:rFonts w:ascii="Times New Roman" w:cs="Times New Roman" w:eastAsia="Times New Roman" w:hAnsi="Times New Roman"/>
          <w:sz w:val="19"/>
          <w:szCs w:val="19"/>
          <w:i w:val="1"/>
          <w:iCs w:val="1"/>
          <w:color w:val="auto"/>
        </w:rPr>
        <w:t>Domestic Commercial Shareholders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Times New Roman" w:cs="Times New Roman" w:eastAsia="Times New Roman" w:hAnsi="Times New Roman"/>
          <w:sz w:val="18"/>
          <w:szCs w:val="18"/>
          <w:i w:val="1"/>
          <w:iCs w:val="1"/>
          <w:color w:val="auto"/>
        </w:rPr>
        <w:t>Nennwertrückzahlungen</w:t>
      </w:r>
      <w:r>
        <w:rPr>
          <w:rFonts w:ascii="Times New Roman" w:cs="Times New Roman" w:eastAsia="Times New Roman" w:hAnsi="Times New Roman"/>
          <w:sz w:val="18"/>
          <w:szCs w:val="18"/>
          <w:color w:val="auto"/>
        </w:rPr>
        <w:t>) or paid out of reserves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xml:space="preserve">) received on shares underlying the ADSs and capital gains or losses realized on the sale or other disposition of ADSs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 or leveraged investments in ADSs and other securities (the shareholders referred to in this section, the Domestic Commercial Shareholders). Domestic Commercial Shareholders who are corporate taxpayers may be eligible for dividend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in respect of Dividends and distributions based upon a capital reduction (</w:t>
      </w:r>
      <w:r>
        <w:rPr>
          <w:rFonts w:ascii="Times New Roman" w:cs="Times New Roman" w:eastAsia="Times New Roman" w:hAnsi="Times New Roman"/>
          <w:sz w:val="18"/>
          <w:szCs w:val="18"/>
          <w:i w:val="1"/>
          <w:iCs w:val="1"/>
          <w:color w:val="auto"/>
        </w:rPr>
        <w:t>Nennwertrückzahlungen</w:t>
      </w:r>
      <w:r>
        <w:rPr>
          <w:rFonts w:ascii="Times New Roman" w:cs="Times New Roman" w:eastAsia="Times New Roman" w:hAnsi="Times New Roman"/>
          <w:sz w:val="18"/>
          <w:szCs w:val="18"/>
          <w:color w:val="auto"/>
        </w:rPr>
        <w:t>) or paid out of reserves from capital contributions (</w:t>
      </w:r>
      <w:r>
        <w:rPr>
          <w:rFonts w:ascii="Times New Roman" w:cs="Times New Roman" w:eastAsia="Times New Roman" w:hAnsi="Times New Roman"/>
          <w:sz w:val="18"/>
          <w:szCs w:val="18"/>
          <w:i w:val="1"/>
          <w:iCs w:val="1"/>
          <w:color w:val="auto"/>
        </w:rPr>
        <w:t>Reserven aus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if the shares underlying the ADSs held by them as part of a Swiss business have an aggregate market value of at least CHF 1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Swiss Cantonal and Communal Private Wealth Tax and Capital Tax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Non-Resident Shareholders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Non-Resident Shareholders are not subject to Swiss cantonal and communal private wealth tax or capital tax.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Resident Private Shareholders and Domestic Commercial Shareholders</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Swiss Federal Withholding Tax</w:t>
      </w:r>
    </w:p>
    <w:p>
      <w:pPr>
        <w:spacing w:after="0" w:line="13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9"/>
          <w:szCs w:val="19"/>
          <w:color w:val="auto"/>
        </w:rPr>
        <w:t>Dividends that the Company pays on the shares underlying the ADSs are subject to Swiss Federal withholding tax (</w:t>
      </w:r>
      <w:r>
        <w:rPr>
          <w:rFonts w:ascii="Times New Roman" w:cs="Times New Roman" w:eastAsia="Times New Roman" w:hAnsi="Times New Roman"/>
          <w:sz w:val="19"/>
          <w:szCs w:val="19"/>
          <w:i w:val="1"/>
          <w:iCs w:val="1"/>
          <w:color w:val="auto"/>
        </w:rPr>
        <w:t>Verrechnungssteuer</w:t>
      </w:r>
      <w:r>
        <w:rPr>
          <w:rFonts w:ascii="Times New Roman" w:cs="Times New Roman" w:eastAsia="Times New Roman" w:hAnsi="Times New Roman"/>
          <w:sz w:val="19"/>
          <w:szCs w:val="19"/>
          <w:color w:val="auto"/>
        </w:rPr>
        <w:t>) at a rate of 35% on the gross amount of the Dividend. The Company is required to withhold the Swiss federal withholding tax from the Dividend and remit it to the Swiss Federal Tax Administration. Distributions based upon a capital reduction (</w:t>
      </w:r>
      <w:r>
        <w:rPr>
          <w:rFonts w:ascii="Times New Roman" w:cs="Times New Roman" w:eastAsia="Times New Roman" w:hAnsi="Times New Roman"/>
          <w:sz w:val="19"/>
          <w:szCs w:val="19"/>
          <w:i w:val="1"/>
          <w:iCs w:val="1"/>
          <w:color w:val="auto"/>
        </w:rPr>
        <w:t>Nennwertrückzahlungen</w:t>
      </w:r>
      <w:r>
        <w:rPr>
          <w:rFonts w:ascii="Times New Roman" w:cs="Times New Roman" w:eastAsia="Times New Roman" w:hAnsi="Times New Roman"/>
          <w:sz w:val="19"/>
          <w:szCs w:val="19"/>
          <w:color w:val="auto"/>
        </w:rPr>
        <w:t>) or paid out of reserves from capital contributions (</w:t>
      </w:r>
      <w:r>
        <w:rPr>
          <w:rFonts w:ascii="Times New Roman" w:cs="Times New Roman" w:eastAsia="Times New Roman" w:hAnsi="Times New Roman"/>
          <w:sz w:val="19"/>
          <w:szCs w:val="19"/>
          <w:i w:val="1"/>
          <w:iCs w:val="1"/>
          <w:color w:val="auto"/>
        </w:rPr>
        <w:t>Reserven aus Kapitaleinlagen</w:t>
      </w:r>
      <w:r>
        <w:rPr>
          <w:rFonts w:ascii="Times New Roman" w:cs="Times New Roman" w:eastAsia="Times New Roman" w:hAnsi="Times New Roman"/>
          <w:sz w:val="19"/>
          <w:szCs w:val="19"/>
          <w:color w:val="auto"/>
        </w:rPr>
        <w:t>) are not subject to Swiss federal withholding tax.</w:t>
      </w:r>
    </w:p>
    <w:p>
      <w:pPr>
        <w:spacing w:after="0" w:line="10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9"/>
          <w:szCs w:val="19"/>
          <w:color w:val="auto"/>
        </w:rPr>
        <w:t>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5" w:right="379" w:bottom="1440" w:gutter="0" w:footer="0" w:header="0"/>
        </w:sectPr>
      </w:pPr>
    </w:p>
    <w:bookmarkStart w:id="158" w:name="page159"/>
    <w:bookmarkEnd w:id="158"/>
    <w:p>
      <w:pPr>
        <w:spacing w:after="0" w:line="247" w:lineRule="auto"/>
        <w:rPr>
          <w:sz w:val="20"/>
          <w:szCs w:val="20"/>
          <w:color w:val="auto"/>
        </w:rPr>
      </w:pPr>
      <w:r>
        <w:rPr>
          <w:rFonts w:ascii="Times New Roman" w:cs="Times New Roman" w:eastAsia="Times New Roman" w:hAnsi="Times New Roman"/>
          <w:sz w:val="19"/>
          <w:szCs w:val="19"/>
          <w:color w:val="auto"/>
        </w:rPr>
        <w:t>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or the Treaty,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Swiss Federal Stamp Taxes</w:t>
      </w:r>
    </w:p>
    <w:p>
      <w:pPr>
        <w:spacing w:after="0" w:line="142"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9"/>
          <w:szCs w:val="19"/>
          <w:color w:val="auto"/>
        </w:rPr>
        <w:t>Any dealings in the ADSs, where a bank or another securities dealer in Switzerland, as defined in the Swiss Federal Stamp Tax Act, acts as intermediary or is a party to the transaction, are, subject to certain exemptions provided for in the Swiss Federal Stamp Tax Act, subject to Swiss securities turnover tax at an aggregate tax rate of up to 0.15% of the consideration paid for such ADSs.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International Automatic Exchange of Information in Tax Matters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spacing w:after="0" w:line="1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spacing w:after="0" w:line="1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an EU member state or in a treaty state.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Swiss Facilitation of the Implementation of the U.S. Foreign Account Tax Compliance Act</w:t>
      </w:r>
    </w:p>
    <w:p>
      <w:pPr>
        <w:spacing w:after="0" w:line="14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Switzerland has concluded an intergovernmental agreement with the U.S.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59" w:name="page160"/>
    <w:bookmarkEnd w:id="159"/>
    <w:p>
      <w:pPr>
        <w:ind w:right="160"/>
        <w:spacing w:after="0" w:line="248" w:lineRule="auto"/>
        <w:rPr>
          <w:sz w:val="20"/>
          <w:szCs w:val="20"/>
          <w:color w:val="auto"/>
        </w:rPr>
      </w:pPr>
      <w:r>
        <w:rPr>
          <w:rFonts w:ascii="Times New Roman" w:cs="Times New Roman" w:eastAsia="Times New Roman" w:hAnsi="Times New Roman"/>
          <w:sz w:val="19"/>
          <w:szCs w:val="19"/>
          <w:color w:val="auto"/>
        </w:rPr>
        <w:t>changing the current direct-notification-based regime to a regime where the relevant information is sent to the Swiss Federal Tax Administration, which in turn provides the information to the U.S. tax authorities. The negotiations were concluded on November 13, 2023 and on June 27, 2024, the Swiss Federal Tax Administration issued a press release announcing the signing of a reciprocal FATCA Model 1 intergovernmental agreement (the “Model 1 IGA”). This means that Switzerland will also receive account data from the United States in the future. Swiss financial institutions will no longer provide the required data to the U.S. authorities, but rather to the Swiss Federal Tax Administration, which will then transmit it to the Internal Revenue Service. In Switzerland, the implementation of the Model 1 IGA necessitates changes to national law, which will be decided by the Federal Assembly. Such changes to national law implementing the Model 1 IGA are currently expected to enter into force in Switzerland on January 1, 2027. However, it is not possible to predict whether and when such changes will be enacted.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Material U.S. Federal Income Tax Consequences for U.S. Holders</w:t>
      </w:r>
    </w:p>
    <w:p>
      <w:pPr>
        <w:spacing w:after="0" w:line="140"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9"/>
          <w:szCs w:val="19"/>
          <w:color w:val="auto"/>
        </w:rPr>
        <w:t>The following discussion describes the material U.S. federal income tax consequences relating to the ownership and disposition of our ADSs by U.S. Holders (as defined below). This discussion applies to U.S. Holders that hold our ADSs as capital assets (generally, property held for investment) within the meaning of Section 1221 of the U.S. Internal Revenue Code of 1986, as amended, or the Code. This discussion is based on the Code, U.S. Treasury Regulations promulgated thereunder,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dealers and traders in securities or other persons that generally mark their securities to market for U.S. federal income tax purposes, tax</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ADSs, corporations that accumulate earnings to avoid U.S. federal income tax, S-corporations, partnerships (including entities or arrangements treated as partnerships for U.S. federal income tax purposes) and other pass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through entities, and investors in such pass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through entities, or persons who hold our ADSs in connection with a trade or business, permanent establishment or fixed place of business outside the United States, including a permanent establishment in Switzerland). This discussion relates only to U.S. federal income taxes and does not address any other taxes, including but not limited to, U.S. state or local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tax consequences or any U.S. federal estate, gift or alternative minimum tax consequences, or the special tax accounting rules under Section 451(b) of the Code.</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our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60" w:name="page161"/>
    <w:bookmarkEnd w:id="160"/>
    <w:p>
      <w:pPr>
        <w:ind w:right="40"/>
        <w:spacing w:after="0" w:line="254" w:lineRule="auto"/>
        <w:rPr>
          <w:sz w:val="20"/>
          <w:szCs w:val="20"/>
          <w:color w:val="auto"/>
        </w:rPr>
      </w:pPr>
      <w:r>
        <w:rPr>
          <w:rFonts w:ascii="Times New Roman" w:cs="Times New Roman" w:eastAsia="Times New Roman" w:hAnsi="Times New Roman"/>
          <w:sz w:val="19"/>
          <w:szCs w:val="19"/>
          <w:color w:val="auto"/>
        </w:rPr>
        <w:t>If a partnership (including an entity or arrangement treated as a partnership for U.S. federal income tax purposes) holds our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our ADSs.</w:t>
      </w:r>
    </w:p>
    <w:p>
      <w:pPr>
        <w:spacing w:after="0" w:line="1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discussion below assumes that the representations contained in the deposit agreement are true and that the obligations in the deposit agreement and any related agreement will be complied with in accordance with their terms. A U.S. Holder of our ADSs will generally be treated for U.S. federal income tax purposes as holding the ordinary shares represented by the ADSs, and, accordingly, no gain or loss will be recognized upon an exchange of the ADSs for the ordinary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Passive Foreign Investment Company Consequences</w:t>
      </w:r>
    </w:p>
    <w:p>
      <w:pPr>
        <w:spacing w:after="0" w:line="140" w:lineRule="exact"/>
        <w:rPr>
          <w:sz w:val="20"/>
          <w:szCs w:val="20"/>
          <w:color w:val="auto"/>
        </w:rPr>
      </w:pPr>
    </w:p>
    <w:p>
      <w:pPr>
        <w:ind w:right="20"/>
        <w:spacing w:after="0" w:line="225" w:lineRule="exact"/>
        <w:rPr>
          <w:sz w:val="20"/>
          <w:szCs w:val="20"/>
          <w:color w:val="auto"/>
        </w:rPr>
      </w:pPr>
      <w:r>
        <w:rPr>
          <w:rFonts w:ascii="Times New Roman" w:cs="Times New Roman" w:eastAsia="Times New Roman" w:hAnsi="Times New Roman"/>
          <w:sz w:val="19"/>
          <w:szCs w:val="19"/>
          <w:color w:val="auto"/>
        </w:rPr>
        <w:t>In general, a corporation organized outside the United States will be treated as a passive foreign investment company, or PFIC, for U.S. federal income tax purposes for any taxable year in which, after the application of certain look-through rules with respect to income and assets of its subsidiaries, either (1) at least 75% of its gross income is “passive income,” or (2) on average at least 50% of its assets, determined on a quarterly basis, for the taxable year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(unless held in a non-interest bearing account for short-term working capital needs), marketable securities, and other assets that may produce passive income. Generally, in determining whether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corporation is a PFIC, a proportionate share of the income and assets of each corporation in which it owns, directly or indirectly, at least a 25% interest (by value) is taken into account.</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upon our analysis of the value of our assets and the nature and composition of our income and assets, we believe that we were a PFIC for the taxable year ended December 31, 2024. However, the determination of whether or not we are a PFIC is a fact-intensive determination made annually after the end of the taxable year and the applicable law is subject to varying interpretations. For instance, the value of our assets may be determined in large part by reference to the market price of our ADSs, which is likely to continue to fluctuate. Accordingly, we cannot provide any assurance regarding, and our U.S. counsel expresses no opinion with respect to, our PFIC status for any taxable year. Furthermore, there can be no assurance that the U.S. Internal Revenue Service, or the IRS, will agree with our conclusion or that the IRS will not successfully challenge our position.</w:t>
      </w:r>
    </w:p>
    <w:p>
      <w:pPr>
        <w:spacing w:after="0" w:line="1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If we are a PFIC in any taxable year during which a U.S. Holder owns our ADSs, the U.S. Holder could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the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61" w:name="page162"/>
    <w:bookmarkEnd w:id="161"/>
    <w:p>
      <w:pPr>
        <w:ind w:right="2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spacing w:after="0" w:line="48" w:lineRule="exact"/>
        <w:rPr>
          <w:sz w:val="20"/>
          <w:szCs w:val="20"/>
          <w:color w:val="auto"/>
        </w:rPr>
      </w:pPr>
    </w:p>
    <w:p>
      <w:pPr>
        <w:ind w:right="40"/>
        <w:spacing w:after="0" w:line="240" w:lineRule="exact"/>
        <w:rPr>
          <w:sz w:val="20"/>
          <w:szCs w:val="20"/>
          <w:color w:val="auto"/>
        </w:rPr>
      </w:pPr>
      <w:r>
        <w:rPr>
          <w:rFonts w:ascii="Times New Roman" w:cs="Times New Roman" w:eastAsia="Times New Roman" w:hAnsi="Times New Roman"/>
          <w:sz w:val="19"/>
          <w:szCs w:val="19"/>
          <w:color w:val="auto"/>
        </w:rPr>
        <w:t>If we are a PFIC for any taxable year during which a U.S. Holder holds our ADSs and at any time have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corporate subsidiary that is also a PFIC (i.e., a lower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tier PFIC), such U.S. Holder generally will be treated as owning a proportionate amount (by value) of the shares of the lower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tier PFIC and will be taxed under the PFIC excess distribution regime on distributions by the lower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tier PFIC and on gain from the disposition of shares of the lower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tier PFIC even though such U.S. Holder would not receive the proceeds of those distributions or dispositions. Each U.S. Holder is advised to consult its tax advisors regarding the application of the PFIC rules to our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subsidiaries, if any.</w:t>
      </w:r>
    </w:p>
    <w:p>
      <w:pPr>
        <w:spacing w:after="0" w:line="87" w:lineRule="exact"/>
        <w:rPr>
          <w:sz w:val="20"/>
          <w:szCs w:val="20"/>
          <w:color w:val="auto"/>
        </w:rPr>
      </w:pPr>
    </w:p>
    <w:p>
      <w:pPr>
        <w:ind w:right="40"/>
        <w:spacing w:after="0" w:line="227" w:lineRule="exact"/>
        <w:rPr>
          <w:sz w:val="20"/>
          <w:szCs w:val="20"/>
          <w:color w:val="auto"/>
        </w:rPr>
      </w:pPr>
      <w:r>
        <w:rPr>
          <w:rFonts w:ascii="Times New Roman" w:cs="Times New Roman" w:eastAsia="Times New Roman" w:hAnsi="Times New Roman"/>
          <w:sz w:val="19"/>
          <w:szCs w:val="19"/>
          <w:color w:val="auto"/>
        </w:rPr>
        <w:t>If we are a PFIC for any taxable year during which a U.S. Holder holds our ADSs, such U.S. Holder will not be subject to tax under the PFIC excess distribution regime on distributions or gain recognized on the ADSs if such U.S. Holder makes a valid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for our ADSs. A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is available to a U.S. Holder only for “marketable stock.” Our ADSs will be marketable stock as long as they remain listed on the Nasdaq Global Select Market and are regularly traded, other than in de minimis quantities, on at least 15 days during each calendar quarter. If a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is in effect, a U.S. Holder generally will take into account, as ordinary income for each taxable year of the U.S. Holder, any excess of the fair market value of the U.S. Holder’s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The U.S. Holder’s tax basis in its ADSs will be adjusted to reflect any income or loss recognized as a result of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Any gain from a sale, exchange or other disposition of the ADSs in any taxable year in which we are a PFIC will be treated as ordinary income and any loss from such sale, exchange or other disposition would be treated first as ordinary loss (to the extent of any net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gains previously included in income) and thereafter as capital loss.</w:t>
      </w:r>
    </w:p>
    <w:p>
      <w:pPr>
        <w:spacing w:after="0" w:line="48" w:lineRule="exact"/>
        <w:rPr>
          <w:sz w:val="20"/>
          <w:szCs w:val="20"/>
          <w:color w:val="auto"/>
        </w:rPr>
      </w:pPr>
    </w:p>
    <w:p>
      <w:pPr>
        <w:spacing w:after="0" w:line="243" w:lineRule="exact"/>
        <w:rPr>
          <w:sz w:val="20"/>
          <w:szCs w:val="20"/>
          <w:color w:val="auto"/>
        </w:rPr>
      </w:pPr>
      <w:r>
        <w:rPr>
          <w:rFonts w:ascii="Times New Roman" w:cs="Times New Roman" w:eastAsia="Times New Roman" w:hAnsi="Times New Roman"/>
          <w:sz w:val="19"/>
          <w:szCs w:val="19"/>
          <w:color w:val="auto"/>
        </w:rPr>
        <w:t>A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will not apply to our ADSs for any taxable year during which we are not a PFIC but will remain in effect with respect to any subsequent taxable year in which we become a PFIC. Such election generally will not apply to any lower-tier PFICs that we may organize or acquire in the future, unless shares of such lower-tier PFICs are themselves marketable stock. Accordingly, a U.S. Holder may continue to be subject to tax under the PFIC excess distribution regime with respect to any lower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tier PFICs that we may organize or acquire in the future notwithstanding the U.S. Holder’s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election for our ADSs.</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The tax consequences that would apply if we are a PFIC would also be different from those described above if a U.S. Holder were able to make a valid qualified electing fund, or QEF, election for taxable years during which the U.S. Holder holds our ADSs and in which we are a PFIC. Instead, a U.S. Holder that makes a QEF election is required for each taxable year to include in income (i) the U.S. Holder’s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62" w:name="page163"/>
    <w:bookmarkEnd w:id="162"/>
    <w:p>
      <w:pPr>
        <w:ind w:right="40"/>
        <w:spacing w:after="0" w:line="263" w:lineRule="auto"/>
        <w:rPr>
          <w:sz w:val="20"/>
          <w:szCs w:val="20"/>
          <w:color w:val="auto"/>
        </w:rPr>
      </w:pPr>
      <w:r>
        <w:rPr>
          <w:rFonts w:ascii="Times New Roman" w:cs="Times New Roman" w:eastAsia="Times New Roman" w:hAnsi="Times New Roman"/>
          <w:sz w:val="18"/>
          <w:szCs w:val="18"/>
          <w:color w:val="auto"/>
        </w:rPr>
        <w:t>rata share of the PFIC’s ordinary earnings as ordinary income or (ii) the U.S. Holder’s pro rata share of the PFIC’s net capital gains as capital gain, regardless of whether such earnings or gain have in fact been distributed,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U.S. Holder. A U.S. Holder will increase its tax basis in its ADSs by an amount equal to any income included under the QEF election and will decrease its tax basis by any amount distributed on the ADSs that is not included in the U.S. Holder’s income. If a U.S. Holder has made a QEF election with respect to its ADSs, any gain or loss recognized by the U.S. Holder on a sale or other disposition of such ADSs will constitute capital gain or loss. In addition, if a U.S. Holder makes a timely QEF election, our ADSs will not be considered shares in a PFIC in years in which we are not a PFIC, even if the U.S. Holder had held ADSs in prior years in which we were a PFIC.</w:t>
      </w:r>
    </w:p>
    <w:p>
      <w:pPr>
        <w:spacing w:after="0" w:line="9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9"/>
          <w:szCs w:val="19"/>
          <w:color w:val="auto"/>
        </w:rPr>
        <w:t>U.S. Holders should consult their tax advisors regarding making QEF elections in their particular circumstances. If a U.S. Holder does not make and maintain a QEF election for the U.S. Holder’s entire holding period for our ADSs by making the election for the first year in which the U.S. Holder owns our ADSs, the U.S. Holder will be subject to the adverse PFIC rules discussed above unless the U.S. Holder can properly make a “purging election” with respect to our ADSs in connection with the U.S. Holder’s QEF election. A purging election may require the U.S. Holder to recognize taxable gain on the U.S. Holder’s ADSs.</w:t>
      </w:r>
    </w:p>
    <w:p>
      <w:pPr>
        <w:spacing w:after="0" w:line="1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In order to comply with the requirements of a QEF election, a U.S. Holder must receive certain information from us. The QEF election is made on a shareholder-by-shareholder basis and can be revoked only with the consent of the IRS. A shareholder makes a QEF election by attaching a completed IRS Form 8621, including the information provided in a PFIC annual information statement, to a timely filed U.S. federal income tax return and by filing a copy of the form with the IRS. We expect to provide the information necessary for a U.S. Holder to make a QEF election if we were treated as a PFIC for any taxable year, although there is no assurance that we will do so. There is no assurance that we have not been previously classified as a PFIC during a U.S. Holder’s holding period for our ADSs. Accordingly, U.S. holders may be unable to make a timely QEF election with respect to our ADSs.</w:t>
      </w:r>
    </w:p>
    <w:p>
      <w:pPr>
        <w:spacing w:after="0" w:line="1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U.S. Holders should consult their tax advisors to determine whether any of these above elections would be available and if so, what the consequences of the alternative treatments would be in their particular circumstances.</w:t>
      </w:r>
    </w:p>
    <w:p>
      <w:pPr>
        <w:spacing w:after="0" w:line="10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b w:val="1"/>
          <w:bCs w:val="1"/>
          <w:color w:val="auto"/>
        </w:rPr>
        <w:t>The U.S. federal income tax rules relating to PFICs are very complex. U.S. Holders are strongly urged to consult their own tax advisors with respect to the impact of PFIC status on the ownership and disposition of our ADSs, the consequences to them of an investment in a PFIC, any elections available with respect to the ADSs and the IRS information reporting obligations with respect to the ownership and disposition of ADSs of a PFIC.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Distributions</w:t>
      </w:r>
    </w:p>
    <w:p>
      <w:pPr>
        <w:spacing w:after="0" w:line="14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9"/>
          <w:szCs w:val="19"/>
          <w:color w:val="auto"/>
        </w:rPr>
        <w:t>We do not anticipate declaring or paying dividends to holders of our ADSs in the foreseeable future. However, if we make a distribution contrary to this expectation, subject to the discussion above under “- Passive Foreign Investment Company Consequences,” a U.S. Holder that receives a distribution with respect to our ADSs generally will be required to include the gross amount of such distribution in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63" w:name="page164"/>
    <w:bookmarkEnd w:id="163"/>
    <w:p>
      <w:pPr>
        <w:spacing w:after="0" w:line="262" w:lineRule="auto"/>
        <w:rPr>
          <w:sz w:val="20"/>
          <w:szCs w:val="20"/>
          <w:color w:val="auto"/>
        </w:rPr>
      </w:pPr>
      <w:r>
        <w:rPr>
          <w:rFonts w:ascii="Times New Roman" w:cs="Times New Roman" w:eastAsia="Times New Roman" w:hAnsi="Times New Roman"/>
          <w:sz w:val="18"/>
          <w:szCs w:val="18"/>
          <w:color w:val="auto"/>
        </w:rPr>
        <w:t>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0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Distributions on our ADSs that are treated as dividends generally will constitute income from sources outside the United States for U.S. foreign tax credit purposes and generally will constitute passive category income. Subject to certain complex conditions and limitations, Swiss taxes withheld on any distributions on our ADSs at a rate not exceeding the rate provided by the Treaty may be eligible for credit against a U.S. Holder’s U.S.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10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Dividends paid by a “qualified foreign corporation” are eligible for taxation to non-corporate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our ADSs that are treated as dividends generally will not be eligible for the “dividends received” deduction generally allowed to corporate shareholders with respect to dividends received from U.S. corporations.</w:t>
      </w:r>
    </w:p>
    <w:p>
      <w:pPr>
        <w:spacing w:after="0" w:line="1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provision. Our ADSs will generally be considered to be readily tradable on an established securities market in the United States if they are listed on Nasdaq Global Select Market, as we intend our ADSs to be. U.S. Holders should consult their own tax advisors regarding the availability of the lower rate for dividends paid with respect to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b w:val="1"/>
          <w:bCs w:val="1"/>
          <w:color w:val="auto"/>
        </w:rPr>
        <w:t>Sale, Exchange or Other Disposition of Our ADSs</w:t>
      </w:r>
    </w:p>
    <w:p>
      <w:pPr>
        <w:spacing w:after="0" w:line="14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Subject to the discussion above under “- Passive Foreign Investment Company Consequences,” a U.S. Holder generally will recognize capital gain or loss for U.S. federal income tax purposes upon the sale, exchange or other disposition of our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will be taxed at ordinary income rates. The deductibility of capital losses is subject to limitations. Any gain or loss recognized from the sale or other disposition of the ADSs will generally be gain or loss from sources within the United States for U.S. foreign tax credit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Medicare Tax</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our ADSs. If you are a United States person that is an individual, estate or trust, you are encouraged to consult your tax advisors regarding the applicability of this Medicare tax to your income and gains in respect of your investment in our ADSs.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Reporting and Backup Withholding</w:t>
      </w:r>
    </w:p>
    <w:p>
      <w:pPr>
        <w:spacing w:after="0" w:line="14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9"/>
          <w:szCs w:val="19"/>
          <w:color w:val="auto"/>
        </w:rPr>
        <w:t>U.S. Holders may be required to file certain U.S. information reporting returns with the IRS with respect to their investment in our ADSs, including, among others, IRS Form 8938 (Statement of Specified Foreign Financial Assets). As described above under “- Passive Foreign Investment Company Consequences,” each U.S. Holder who is a shareholder of a PFIC must file an annual report containing certain information.</w:t>
      </w:r>
    </w:p>
    <w:p>
      <w:pPr>
        <w:spacing w:after="0" w:line="1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Dividends on and proceeds from the sale or other disposition of our ADSs may be subject to U.S. backup withholding unless the U.S. Holder establishes a basis for exemption. Backup withholding generally would apply if the holder fails to (1) provide an accurate United States taxpayer identification number (usually on IRS Form W-9), or (2) otherwise establish an exemption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U.S. Holders paying more than US$100,000 for our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Holders should consult their own tax advisors regarding the backup withholding and information reporting rules.</w:t>
      </w:r>
    </w:p>
    <w:p>
      <w:pPr>
        <w:spacing w:after="0" w:line="1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b w:val="1"/>
          <w:bCs w:val="1"/>
          <w:color w:val="auto"/>
        </w:rPr>
        <w:t>The discussion above is for general informational purposes only and is not tax advice. Prospective investors in our ADSs should consult their tax advisors regarding the U.S. federal, state, and local and non-U.S. income and non-income tax consequences of the ownership and disposition of our ADSs in their particular circumstances, including information reporting requirements and the impact of any potential 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0" w:right="399" w:bottom="1440" w:gutter="0" w:footer="0" w:header="0"/>
        </w:sectPr>
      </w:pPr>
    </w:p>
    <w:bookmarkStart w:id="165" w:name="page166"/>
    <w:bookmarkEnd w:id="165"/>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 Dividends and Paying Agents.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 Statement by Experts.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 Documents on Display.</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9"/>
          <w:szCs w:val="19"/>
          <w:color w:val="auto"/>
        </w:rPr>
        <w:t xml:space="preserve">We maintain a corporate website at </w:t>
      </w:r>
      <w:r>
        <w:rPr>
          <w:rFonts w:ascii="Times New Roman" w:cs="Times New Roman" w:eastAsia="Times New Roman" w:hAnsi="Times New Roman"/>
          <w:sz w:val="19"/>
          <w:szCs w:val="19"/>
          <w:i w:val="1"/>
          <w:iCs w:val="1"/>
          <w:color w:val="auto"/>
        </w:rPr>
        <w:t>www.molecularpartners.com</w:t>
      </w:r>
      <w:r>
        <w:rPr>
          <w:rFonts w:ascii="Times New Roman" w:cs="Times New Roman" w:eastAsia="Times New Roman" w:hAnsi="Times New Roman"/>
          <w:sz w:val="19"/>
          <w:szCs w:val="19"/>
          <w:color w:val="auto"/>
        </w:rPr>
        <w:t>. We intend to post our Annual Report on Form 20-F on our website promptly following it being filed with the SEC. Information contained on, or that can be accessed through, our website does not constitute a part of this Annual Report on Form 20-F. We have included our website address in this Annual Report on Form 20-F solely as an inactive textual reference.</w:t>
      </w:r>
    </w:p>
    <w:p>
      <w:pPr>
        <w:spacing w:after="0" w:line="93"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9"/>
          <w:szCs w:val="19"/>
          <w:color w:val="auto"/>
        </w:rPr>
        <w:t>The Securities and Exchange Commission maintains a website (</w:t>
      </w:r>
      <w:r>
        <w:rPr>
          <w:rFonts w:ascii="Times New Roman" w:cs="Times New Roman" w:eastAsia="Times New Roman" w:hAnsi="Times New Roman"/>
          <w:sz w:val="19"/>
          <w:szCs w:val="19"/>
          <w:i w:val="1"/>
          <w:iCs w:val="1"/>
          <w:color w:val="auto"/>
        </w:rPr>
        <w:t>www.sec.gov</w:t>
      </w:r>
      <w:r>
        <w:rPr>
          <w:rFonts w:ascii="Times New Roman" w:cs="Times New Roman" w:eastAsia="Times New Roman" w:hAnsi="Times New Roman"/>
          <w:sz w:val="19"/>
          <w:szCs w:val="19"/>
          <w:color w:val="auto"/>
        </w:rPr>
        <w:t>) that contains reports, proxy and information statements and other information regarding registrants, such as Molecular Partners, that file electronically with the SEC.</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With respect to references made in this Annual Report on Form 20-F to any contract or other document of our company, such references are not necessarily complete and you should refer to the exhibits attached or incorporated by reference to this Annual Report on Form 20-F for copies of the actual contract or document.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 Subsidiary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required.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 Annual Report to Security 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intends to submit any annual report provided to security holders in electronic format as an exhibit to a current report on Form 6-K.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Quantitative and Qualitative Disclosures About Market Risk.</w:t>
      </w:r>
    </w:p>
    <w:p>
      <w:pPr>
        <w:spacing w:after="0" w:line="14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9"/>
          <w:szCs w:val="19"/>
          <w:color w:val="auto"/>
        </w:rPr>
        <w:t>We operate primarily in Switzerland, Europe and in the United States and are therefore exposed to market risk, which represents the risk of loss that may impact our financial position due to adverse changes in financial market prices and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color w:val="auto"/>
        </w:rPr>
        <w:t>As of December 31, 2024, we had cash and cash equivalents plus short-term time deposits of CHF 149.4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Foreign exchange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primarily in Switzerland, Europe and in the United States and our functional currency is the Swiss franc, and as a result, we are exposed to</w:t>
      </w:r>
    </w:p>
    <w:p>
      <w:pPr>
        <w:spacing w:after="0" w:line="28" w:lineRule="exact"/>
        <w:rPr>
          <w:sz w:val="20"/>
          <w:szCs w:val="20"/>
          <w:color w:val="auto"/>
        </w:rPr>
      </w:pPr>
    </w:p>
    <w:p>
      <w:pPr>
        <w:ind w:right="140" w:firstLine="1"/>
        <w:spacing w:after="0" w:line="253" w:lineRule="auto"/>
        <w:tabs>
          <w:tab w:leader="none" w:pos="263"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transactional foreign exchange risk when we enter into a transaction in a currency other than our functional currency and (2) translational foreign exchange risk when we translate our financial statements from USD into our functional currency.</w:t>
      </w:r>
    </w:p>
    <w:p>
      <w:pPr>
        <w:spacing w:after="0" w:line="10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In order to reduce our foreign exchange exposure, we may enter into currency contracts with selected high-quality financial institutions to hedge against foreign currency exchange rate risks. The Group’s primary exposure to financial risk is due to fluctuation of exchange rates between CHF, USD and EUR. Our hedging policy is (1) to maximize natural hedging by matching expected future cash flows in the different currencies and (2), if market conditions allow and as the need arises, to consider hedging some of the remaining expected net currency exposure. However, due to market volatilities and uncertainties in the cash flows, a 100% hedging of the currency exposure is impossible.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risk</w:t>
      </w:r>
    </w:p>
    <w:p>
      <w:pPr>
        <w:spacing w:after="0" w:line="14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The maximum credit risk on financial instruments corresponds to the carrying amounts of our cash and cash equivalents, short-term time deposits and receivables. We have not entered into any guarantees or similar obligations that would increase the risk over and above the carrying amounts. As of December 31, 2024, substantially all of our cash and cash equivalents, and short-term time deposits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Description of Securities Other than Equity Securities.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Debt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Warrants and Rights.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Other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5" w:right="399" w:bottom="1440" w:gutter="0" w:footer="0" w:header="0"/>
        </w:sectPr>
      </w:pPr>
    </w:p>
    <w:bookmarkStart w:id="167" w:name="page168"/>
    <w:bookmarkEnd w:id="167"/>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American Depositary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Fees and Charges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ADSs are required to pay the following service fees to the depositary under the terms of our deposit agreement:</w:t>
      </w:r>
    </w:p>
    <w:p>
      <w:pPr>
        <w:sectPr>
          <w:pgSz w:w="11900" w:h="16838" w:orient="portrait"/>
          <w:cols w:equalWidth="0" w:num="1">
            <w:col w:w="11060"/>
          </w:cols>
          <w:pgMar w:left="320" w:top="1440" w:right="519" w:bottom="1440" w:gutter="0" w:footer="0" w:header="0"/>
        </w:sect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Service</w:t>
      </w:r>
    </w:p>
    <w:p>
      <w:pPr>
        <w:spacing w:after="0" w:line="191" w:lineRule="exact"/>
        <w:rPr>
          <w:sz w:val="20"/>
          <w:szCs w:val="20"/>
          <w:color w:val="auto"/>
        </w:rPr>
      </w:pPr>
    </w:p>
    <w:p>
      <w:pPr>
        <w:jc w:val="both"/>
        <w:ind w:left="320" w:right="20" w:hanging="303"/>
        <w:spacing w:after="0" w:line="256" w:lineRule="auto"/>
        <w:rPr>
          <w:sz w:val="20"/>
          <w:szCs w:val="20"/>
          <w:color w:val="auto"/>
        </w:rPr>
      </w:pPr>
      <w:r>
        <w:rPr>
          <w:rFonts w:ascii="Times New Roman" w:cs="Times New Roman" w:eastAsia="Times New Roman" w:hAnsi="Times New Roman"/>
          <w:sz w:val="19"/>
          <w:szCs w:val="19"/>
          <w:color w:val="auto"/>
        </w:rPr>
        <w:t>•Issuance of ADSs (e.g., an issuance of ADS upon a deposit of ordinary shares, upon a change in the ADS(s)-to- common share(s) ratio, or for any other reason), excluding ADS issuances as a result of distributions of ordinary shares)</w:t>
      </w:r>
    </w:p>
    <w:p>
      <w:pPr>
        <w:spacing w:after="0" w:line="149" w:lineRule="exact"/>
        <w:rPr>
          <w:sz w:val="20"/>
          <w:szCs w:val="20"/>
          <w:color w:val="auto"/>
        </w:rPr>
      </w:pPr>
    </w:p>
    <w:p>
      <w:pPr>
        <w:ind w:left="320" w:right="500" w:hanging="303"/>
        <w:spacing w:after="0" w:line="261" w:lineRule="auto"/>
        <w:rPr>
          <w:sz w:val="20"/>
          <w:szCs w:val="20"/>
          <w:color w:val="auto"/>
        </w:rPr>
      </w:pPr>
      <w:r>
        <w:rPr>
          <w:rFonts w:ascii="Times New Roman" w:cs="Times New Roman" w:eastAsia="Times New Roman" w:hAnsi="Times New Roman"/>
          <w:sz w:val="19"/>
          <w:szCs w:val="19"/>
          <w:color w:val="auto"/>
        </w:rPr>
        <w:t>•Cancellation of ADSs (e.g., a cancellation of ADSs for delivery of deposited property, upon a change in the ADS(s)-to- common share(s) ratio, or for any other reason)</w:t>
      </w:r>
    </w:p>
    <w:p>
      <w:pPr>
        <w:spacing w:after="0" w:line="158" w:lineRule="exact"/>
        <w:rPr>
          <w:sz w:val="20"/>
          <w:szCs w:val="20"/>
          <w:color w:val="auto"/>
        </w:rPr>
      </w:pPr>
    </w:p>
    <w:p>
      <w:pPr>
        <w:ind w:left="320" w:right="500" w:hanging="303"/>
        <w:spacing w:after="0" w:line="261" w:lineRule="auto"/>
        <w:rPr>
          <w:sz w:val="20"/>
          <w:szCs w:val="20"/>
          <w:color w:val="auto"/>
        </w:rPr>
      </w:pPr>
      <w:r>
        <w:rPr>
          <w:rFonts w:ascii="Times New Roman" w:cs="Times New Roman" w:eastAsia="Times New Roman" w:hAnsi="Times New Roman"/>
          <w:sz w:val="19"/>
          <w:szCs w:val="19"/>
          <w:color w:val="auto"/>
        </w:rPr>
        <w:t>•Distribution of cash dividends or other cash distributions (e.g., upon a sale of rights and other entitlements)</w:t>
      </w:r>
    </w:p>
    <w:p>
      <w:pPr>
        <w:spacing w:after="0" w:line="158" w:lineRule="exact"/>
        <w:rPr>
          <w:sz w:val="20"/>
          <w:szCs w:val="20"/>
          <w:color w:val="auto"/>
        </w:rPr>
      </w:pPr>
    </w:p>
    <w:p>
      <w:pPr>
        <w:ind w:left="320" w:right="20" w:hanging="303"/>
        <w:spacing w:after="0" w:line="261" w:lineRule="auto"/>
        <w:rPr>
          <w:sz w:val="20"/>
          <w:szCs w:val="20"/>
          <w:color w:val="auto"/>
        </w:rPr>
      </w:pPr>
      <w:r>
        <w:rPr>
          <w:rFonts w:ascii="Times New Roman" w:cs="Times New Roman" w:eastAsia="Times New Roman" w:hAnsi="Times New Roman"/>
          <w:sz w:val="19"/>
          <w:szCs w:val="19"/>
          <w:color w:val="auto"/>
        </w:rPr>
        <w:t>•Distribution of ADSs pursuant to stock dividends, other free stock distributions or exercise of rights to purchase additional ADSs.</w:t>
      </w:r>
    </w:p>
    <w:p>
      <w:pPr>
        <w:spacing w:after="0" w:line="158" w:lineRule="exact"/>
        <w:rPr>
          <w:sz w:val="20"/>
          <w:szCs w:val="20"/>
          <w:color w:val="auto"/>
        </w:rPr>
      </w:pPr>
    </w:p>
    <w:p>
      <w:pPr>
        <w:ind w:left="320" w:right="80" w:hanging="303"/>
        <w:spacing w:after="0" w:line="261" w:lineRule="auto"/>
        <w:rPr>
          <w:sz w:val="20"/>
          <w:szCs w:val="20"/>
          <w:color w:val="auto"/>
        </w:rPr>
      </w:pPr>
      <w:r>
        <w:rPr>
          <w:rFonts w:ascii="Times New Roman" w:cs="Times New Roman" w:eastAsia="Times New Roman" w:hAnsi="Times New Roman"/>
          <w:sz w:val="19"/>
          <w:szCs w:val="19"/>
          <w:color w:val="auto"/>
        </w:rPr>
        <w:t>•Distribution of securities other than ADSs or rights to purchase additional ADSs (e.g., upon a spin-off)</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•ADS Services</w:t>
      </w:r>
    </w:p>
    <w:p>
      <w:pPr>
        <w:spacing w:after="0" w:line="200" w:lineRule="exact"/>
        <w:rPr>
          <w:sz w:val="20"/>
          <w:szCs w:val="20"/>
          <w:color w:val="auto"/>
        </w:rPr>
      </w:pPr>
    </w:p>
    <w:p>
      <w:pPr>
        <w:spacing w:after="0" w:line="354" w:lineRule="exact"/>
        <w:rPr>
          <w:sz w:val="20"/>
          <w:szCs w:val="20"/>
          <w:color w:val="auto"/>
        </w:rPr>
      </w:pPr>
    </w:p>
    <w:p>
      <w:pPr>
        <w:ind w:left="320" w:right="220" w:hanging="303"/>
        <w:spacing w:after="0" w:line="261" w:lineRule="auto"/>
        <w:rPr>
          <w:sz w:val="20"/>
          <w:szCs w:val="20"/>
          <w:color w:val="auto"/>
        </w:rPr>
      </w:pPr>
      <w:r>
        <w:rPr>
          <w:rFonts w:ascii="Times New Roman" w:cs="Times New Roman" w:eastAsia="Times New Roman" w:hAnsi="Times New Roman"/>
          <w:sz w:val="19"/>
          <w:szCs w:val="19"/>
          <w:color w:val="auto"/>
        </w:rPr>
        <w:t>•Registration of ADS Transfers (e.g., upon a registration of the transfer of registered ownership of ADSs, upon a transfer of ADSs into DTC and vice versa, or for any other reason).</w:t>
      </w:r>
    </w:p>
    <w:p>
      <w:pPr>
        <w:spacing w:after="0" w:line="158" w:lineRule="exact"/>
        <w:rPr>
          <w:sz w:val="20"/>
          <w:szCs w:val="20"/>
          <w:color w:val="auto"/>
        </w:rPr>
      </w:pPr>
    </w:p>
    <w:p>
      <w:pPr>
        <w:ind w:left="320" w:hanging="303"/>
        <w:spacing w:after="0" w:line="256" w:lineRule="auto"/>
        <w:rPr>
          <w:sz w:val="20"/>
          <w:szCs w:val="20"/>
          <w:color w:val="auto"/>
        </w:rPr>
      </w:pPr>
      <w:r>
        <w:rPr>
          <w:rFonts w:ascii="Times New Roman" w:cs="Times New Roman" w:eastAsia="Times New Roman" w:hAnsi="Times New Roman"/>
          <w:sz w:val="19"/>
          <w:szCs w:val="19"/>
          <w:color w:val="auto"/>
        </w:rPr>
        <w:t>•Conversion of ADSs of one series for ADSs of another series (e.g., upon conversion of Partial Entitlement ADSs for Full Entitlement ADSs, or upon conversion of Restricted ADSs into freely transferable ADSs, and vice versa).</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Fees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issued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canceled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held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held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held</w:t>
      </w:r>
    </w:p>
    <w:p>
      <w:pPr>
        <w:spacing w:after="0" w:line="200" w:lineRule="exact"/>
        <w:rPr>
          <w:sz w:val="20"/>
          <w:szCs w:val="20"/>
          <w:color w:val="auto"/>
        </w:rPr>
      </w:pP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Up to U.S. $0.05 per ADS held on the applicable record date(s) established by the depositary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transferred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 to U.S. $0.05 per ADS converted</w:t>
      </w:r>
    </w:p>
    <w:p>
      <w:pPr>
        <w:spacing w:after="0" w:line="680" w:lineRule="exact"/>
        <w:rPr>
          <w:sz w:val="20"/>
          <w:szCs w:val="20"/>
          <w:color w:val="auto"/>
        </w:rPr>
      </w:pPr>
    </w:p>
    <w:p>
      <w:pPr>
        <w:sectPr>
          <w:pgSz w:w="11900" w:h="16838" w:orient="portrait"/>
          <w:cols w:equalWidth="0" w:num="2">
            <w:col w:w="7520" w:space="340"/>
            <w:col w:w="3200"/>
          </w:cols>
          <w:pgMar w:left="320" w:top="1440" w:right="5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also responsible to pay certain fees, expenses, taxes and governmental charges such as: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•taxes (including applicable interest and penalties) and other governmental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type w:val="continuous"/>
        </w:sectPr>
      </w:pPr>
    </w:p>
    <w:bookmarkStart w:id="168" w:name="page169"/>
    <w:bookmarkEnd w:id="168"/>
    <w:p>
      <w:pPr>
        <w:ind w:left="300" w:hanging="303"/>
        <w:spacing w:after="0" w:line="256" w:lineRule="auto"/>
        <w:rPr>
          <w:sz w:val="20"/>
          <w:szCs w:val="20"/>
          <w:color w:val="auto"/>
        </w:rPr>
      </w:pPr>
      <w:r>
        <w:rPr>
          <w:rFonts w:ascii="Times New Roman" w:cs="Times New Roman" w:eastAsia="Times New Roman" w:hAnsi="Times New Roman"/>
          <w:sz w:val="19"/>
          <w:szCs w:val="19"/>
          <w:color w:val="auto"/>
        </w:rPr>
        <w:t>•such registration fees as may from time to time be in effect for the registration of ordinary shares or other deposited securities on the share register and applicable to transfers of ordinary shares or other deposited securities to or from the name of the custodian, the depositary or any nominees upon the making of deposits and withdrawals, respectively;</w:t>
      </w:r>
    </w:p>
    <w:p>
      <w:pPr>
        <w:spacing w:after="0" w:line="99" w:lineRule="exact"/>
        <w:rPr>
          <w:sz w:val="20"/>
          <w:szCs w:val="20"/>
          <w:color w:val="auto"/>
        </w:rPr>
      </w:pPr>
    </w:p>
    <w:p>
      <w:pPr>
        <w:ind w:left="300" w:right="460" w:hanging="303"/>
        <w:spacing w:after="0" w:line="275" w:lineRule="auto"/>
        <w:rPr>
          <w:sz w:val="20"/>
          <w:szCs w:val="20"/>
          <w:color w:val="auto"/>
        </w:rPr>
      </w:pPr>
      <w:r>
        <w:rPr>
          <w:rFonts w:ascii="Times New Roman" w:cs="Times New Roman" w:eastAsia="Times New Roman" w:hAnsi="Times New Roman"/>
          <w:sz w:val="19"/>
          <w:szCs w:val="19"/>
          <w:color w:val="auto"/>
        </w:rPr>
        <w:t>•such cable, telex and facsimile transmission and delivery expenses as are expressly provided in the deposit agreement to be at the expense of the person depositing ordinary shares or withdrawing deposited property or of the holders and beneficial owners of ADSs;</w:t>
      </w:r>
    </w:p>
    <w:p>
      <w:pPr>
        <w:spacing w:after="0" w:line="82" w:lineRule="exact"/>
        <w:rPr>
          <w:sz w:val="20"/>
          <w:szCs w:val="20"/>
          <w:color w:val="auto"/>
        </w:rPr>
      </w:pPr>
    </w:p>
    <w:p>
      <w:pPr>
        <w:jc w:val="both"/>
        <w:ind w:left="300" w:right="40" w:hanging="303"/>
        <w:spacing w:after="0" w:line="256" w:lineRule="auto"/>
        <w:rPr>
          <w:sz w:val="20"/>
          <w:szCs w:val="20"/>
          <w:color w:val="auto"/>
        </w:rPr>
      </w:pPr>
      <w:r>
        <w:rPr>
          <w:rFonts w:ascii="Times New Roman" w:cs="Times New Roman" w:eastAsia="Times New Roman" w:hAnsi="Times New Roman"/>
          <w:sz w:val="19"/>
          <w:szCs w:val="19"/>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1" w:lineRule="exact"/>
        <w:rPr>
          <w:sz w:val="20"/>
          <w:szCs w:val="20"/>
          <w:color w:val="auto"/>
        </w:rPr>
      </w:pPr>
    </w:p>
    <w:p>
      <w:pPr>
        <w:ind w:left="300" w:right="20" w:hanging="303"/>
        <w:spacing w:after="0" w:line="261" w:lineRule="auto"/>
        <w:rPr>
          <w:sz w:val="20"/>
          <w:szCs w:val="20"/>
          <w:color w:val="auto"/>
        </w:rPr>
      </w:pPr>
      <w:r>
        <w:rPr>
          <w:rFonts w:ascii="Times New Roman" w:cs="Times New Roman" w:eastAsia="Times New Roman" w:hAnsi="Times New Roman"/>
          <w:sz w:val="19"/>
          <w:szCs w:val="19"/>
          <w:color w:val="auto"/>
        </w:rPr>
        <w:t>•any reasonable and customary out-of-pocket expenses incurred in such conversion and/or on behalf of the holders and beneficial owners in complying with currency exchange control or other governmental requirements; 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fees, charges, costs and expenses incurred by the depositary, the custodian, or any nominee in connection with the ADR program.</w:t>
      </w:r>
    </w:p>
    <w:p>
      <w:pPr>
        <w:spacing w:after="0" w:line="13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0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1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9"/>
          <w:szCs w:val="19"/>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99"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8"/>
          <w:szCs w:val="18"/>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5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auto"/>
        </w:rPr>
        <w:t>The fees and charges holders of ADSs may be required to pay may vary over time and may be changed by us and by the depositary. Holders of ADSs will receive prior notice of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69" w:name="page170"/>
    <w:bookmarkEnd w:id="169"/>
    <w:p>
      <w:pPr>
        <w:ind w:right="140"/>
        <w:spacing w:after="0" w:line="304"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Defaults, Dividend Arrearages and Delinquencies.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Material Modifications to the Rights of Security Holders and Use of Proceeds.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Not applicable.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Not applicable.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Not applicable.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Not applicable.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Use of Proceeds.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Controls and Procedures.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Disclosure Controls and Procedures</w:t>
      </w:r>
    </w:p>
    <w:p>
      <w:pPr>
        <w:spacing w:after="0" w:line="1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Chief Executive Officer and SVP Finance, as appropriate to allow timely decisions regarding required disclosure. Our management, with the participation of our Chief Executive Officer and SVP Finance, has evaluated the effectiveness of our disclosure controls and procedures (as defined in Exchange Act Rules 13a-15(e) and 15d-15(e)) as of December 31, 2024. Based on such evaluation, our Chief Executive Officer and SVP Finance as principal financial officer, have concluded that, as of December 31, 2024, our disclosure controls and procedures were effective.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Management’s Annual Report on Internal Control over Financial Reporting</w:t>
      </w:r>
    </w:p>
    <w:p>
      <w:pPr>
        <w:spacing w:after="0" w:line="2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controls over financial reporting (as defined in Rules 13a-15(f) and 15d-15(f) under the Exchange Act) and for the assessment of the effectiveness of our internal control over financial reporting. Under the supervision and with the participation of our Chief Executive Officer (principal executive officer) and SVP Finance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5" w:right="379" w:bottom="1440" w:gutter="0" w:footer="0" w:header="0"/>
        </w:sectPr>
      </w:pPr>
    </w:p>
    <w:bookmarkStart w:id="170" w:name="page171"/>
    <w:bookmarkEnd w:id="170"/>
    <w:p>
      <w:pPr>
        <w:ind w:right="100"/>
        <w:spacing w:after="0" w:line="276" w:lineRule="auto"/>
        <w:rPr>
          <w:sz w:val="20"/>
          <w:szCs w:val="20"/>
          <w:color w:val="auto"/>
        </w:rPr>
      </w:pPr>
      <w:r>
        <w:rPr>
          <w:rFonts w:ascii="Times New Roman" w:cs="Times New Roman" w:eastAsia="Times New Roman" w:hAnsi="Times New Roman"/>
          <w:sz w:val="18"/>
          <w:szCs w:val="18"/>
          <w:color w:val="auto"/>
        </w:rPr>
        <w:t>financial officer), management assessed our internal control over financial reporting based upon the framework in Internal Control - Integrated Framework (2013) issued by the Committee of Sponsoring Organizations of the Treadway Commission (COSO). Based on this assessment, our management has concluded that our internal control over financial reporting was effective at the reasonable assurance level as of December 31, 2024.</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 Attestation Report of the Registered Public Accounting Firm</w:t>
      </w:r>
    </w:p>
    <w:p>
      <w:pPr>
        <w:spacing w:after="0" w:line="14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9"/>
          <w:szCs w:val="19"/>
          <w:color w:val="auto"/>
        </w:rPr>
        <w:t>This Annual Report does not include an attestation report of our registered public accounting firm regarding the effectiveness of our internal control over financial reporting due to an exemption provided by the JOBS Act for emerging growth companies.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Changes in Internal Control Over Financial Reporting</w:t>
      </w:r>
    </w:p>
    <w:p>
      <w:pPr>
        <w:spacing w:after="0" w:line="15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Reserved.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16A. Audit Committees Financial Expert.</w:t>
      </w:r>
    </w:p>
    <w:p>
      <w:pPr>
        <w:spacing w:after="0" w:line="140" w:lineRule="exact"/>
        <w:rPr>
          <w:sz w:val="20"/>
          <w:szCs w:val="20"/>
          <w:color w:val="auto"/>
        </w:rPr>
      </w:pPr>
    </w:p>
    <w:p>
      <w:pPr>
        <w:jc w:val="both"/>
        <w:ind w:right="240"/>
        <w:spacing w:after="0" w:line="284" w:lineRule="auto"/>
        <w:rPr>
          <w:sz w:val="20"/>
          <w:szCs w:val="20"/>
          <w:color w:val="auto"/>
        </w:rPr>
      </w:pPr>
      <w:r>
        <w:rPr>
          <w:rFonts w:ascii="Times New Roman" w:cs="Times New Roman" w:eastAsia="Times New Roman" w:hAnsi="Times New Roman"/>
          <w:sz w:val="18"/>
          <w:szCs w:val="18"/>
          <w:color w:val="auto"/>
        </w:rPr>
        <w:t>Our board of directors has further determined that Sandip Kapadia is an “audit committee financial expert” as defined by SEC rules and regulations and that each of the members of the Audit and Finance Committee qualifies as financially sophisticated under the applicable exchange listing rules. Mr. Kapadia is independent as such term is defined in Rule 10A-3 under the Exchange Act and under the listing standards of Nasdaq.</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16B. Code of Business Conduct and Ethics.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We have adopted a Code of Conduct which is applicable to all of our employees, executive officers and directors. The Code of Conduct is available on our website at </w:t>
      </w:r>
      <w:r>
        <w:rPr>
          <w:rFonts w:ascii="Times New Roman" w:cs="Times New Roman" w:eastAsia="Times New Roman" w:hAnsi="Times New Roman"/>
          <w:sz w:val="19"/>
          <w:szCs w:val="19"/>
          <w:i w:val="1"/>
          <w:iCs w:val="1"/>
          <w:color w:val="auto"/>
        </w:rPr>
        <w:t>www.molecularpartners.com</w:t>
      </w:r>
      <w:r>
        <w:rPr>
          <w:rFonts w:ascii="Times New Roman" w:cs="Times New Roman" w:eastAsia="Times New Roman" w:hAnsi="Times New Roman"/>
          <w:sz w:val="19"/>
          <w:szCs w:val="19"/>
          <w:color w:val="auto"/>
        </w:rPr>
        <w:t>. The Audit and Finance Committee of our board of directors is responsible for overseeing the Code of Conduct and is required to approve any waivers of the Code of Conduct for employees, executive officers and directors. We did not grant any waivers to the Code of Conduct during the year ended December 31, 2024. We expect that any amendments to the Code of Conduct will be disclosed on our website.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16C. Principal Accountant Fees and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aggregate fees for services rendered by KPMG AG, Zurich, Switzerland (PCAOB ID 3240), for professional services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71" w:name="page172"/>
    <w:bookmarkEnd w:id="171"/>
    <w:tbl>
      <w:tblPr>
        <w:tblLayout w:type="fixed"/>
        <w:tblInd w:w="200" w:type="dxa"/>
        <w:tblCellMar>
          <w:top w:w="0" w:type="dxa"/>
          <w:left w:w="0" w:type="dxa"/>
          <w:bottom w:w="0" w:type="dxa"/>
          <w:right w:w="0" w:type="dxa"/>
        </w:tblCellMar>
      </w:tblPr>
      <w:tr>
        <w:trPr>
          <w:trHeight w:val="272"/>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9"/>
                <w:szCs w:val="19"/>
                <w:b w:val="1"/>
                <w:bCs w:val="1"/>
                <w:color w:val="auto"/>
              </w:rPr>
              <w:t>in CHF thousands</w:t>
            </w:r>
          </w:p>
        </w:tc>
        <w:tc>
          <w:tcPr>
            <w:tcW w:w="446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rPr>
              <w:t>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74"/>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Audit fees</w:t>
            </w:r>
          </w:p>
        </w:tc>
        <w:tc>
          <w:tcPr>
            <w:tcW w:w="4460" w:type="dxa"/>
            <w:vAlign w:val="bottom"/>
          </w:tcPr>
          <w:p>
            <w:pPr>
              <w:jc w:val="right"/>
              <w:ind w:right="747"/>
              <w:spacing w:after="0"/>
              <w:rPr>
                <w:sz w:val="20"/>
                <w:szCs w:val="20"/>
                <w:color w:val="auto"/>
              </w:rPr>
            </w:pPr>
            <w:r>
              <w:rPr>
                <w:rFonts w:ascii="Times New Roman" w:cs="Times New Roman" w:eastAsia="Times New Roman" w:hAnsi="Times New Roman"/>
                <w:sz w:val="19"/>
                <w:szCs w:val="19"/>
                <w:color w:val="auto"/>
              </w:rPr>
              <w:t>674</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571</w:t>
            </w:r>
          </w:p>
        </w:tc>
      </w:tr>
      <w:tr>
        <w:trPr>
          <w:trHeight w:val="26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9"/>
                <w:szCs w:val="19"/>
                <w:color w:val="auto"/>
              </w:rPr>
              <w:t>Audit related fees</w:t>
            </w:r>
          </w:p>
        </w:tc>
        <w:tc>
          <w:tcPr>
            <w:tcW w:w="4460" w:type="dxa"/>
            <w:vAlign w:val="bottom"/>
            <w:tcBorders>
              <w:bottom w:val="single" w:sz="8" w:color="CCEEFF"/>
            </w:tcBorders>
            <w:shd w:val="clear" w:color="auto" w:fill="CCEEFF"/>
          </w:tcPr>
          <w:p>
            <w:pPr>
              <w:jc w:val="right"/>
              <w:ind w:right="747"/>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6"/>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Tax fees</w:t>
            </w:r>
          </w:p>
        </w:tc>
        <w:tc>
          <w:tcPr>
            <w:tcW w:w="4460" w:type="dxa"/>
            <w:vAlign w:val="bottom"/>
          </w:tcPr>
          <w:p>
            <w:pPr>
              <w:jc w:val="right"/>
              <w:ind w:right="747"/>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52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9"/>
                <w:szCs w:val="19"/>
                <w:color w:val="auto"/>
              </w:rPr>
              <w:t>All other fees</w:t>
            </w:r>
          </w:p>
        </w:tc>
        <w:tc>
          <w:tcPr>
            <w:tcW w:w="4460" w:type="dxa"/>
            <w:vAlign w:val="bottom"/>
            <w:tcBorders>
              <w:bottom w:val="single" w:sz="8" w:color="CCEEFF"/>
            </w:tcBorders>
            <w:shd w:val="clear" w:color="auto" w:fill="CCEEFF"/>
          </w:tcPr>
          <w:p>
            <w:pPr>
              <w:jc w:val="right"/>
              <w:ind w:right="747"/>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46"/>
        </w:trPr>
        <w:tc>
          <w:tcPr>
            <w:tcW w:w="5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at December 31</w:t>
            </w:r>
          </w:p>
        </w:tc>
        <w:tc>
          <w:tcPr>
            <w:tcW w:w="4460" w:type="dxa"/>
            <w:vAlign w:val="bottom"/>
          </w:tcPr>
          <w:p>
            <w:pPr>
              <w:jc w:val="right"/>
              <w:ind w:right="747"/>
              <w:spacing w:after="0"/>
              <w:rPr>
                <w:sz w:val="20"/>
                <w:szCs w:val="20"/>
                <w:color w:val="auto"/>
              </w:rPr>
            </w:pPr>
            <w:r>
              <w:rPr>
                <w:rFonts w:ascii="Times New Roman" w:cs="Times New Roman" w:eastAsia="Times New Roman" w:hAnsi="Times New Roman"/>
                <w:sz w:val="19"/>
                <w:szCs w:val="19"/>
                <w:b w:val="1"/>
                <w:bCs w:val="1"/>
                <w:color w:val="auto"/>
              </w:rPr>
              <w:t>674</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571</w:t>
            </w:r>
          </w:p>
        </w:tc>
      </w:tr>
      <w:tr>
        <w:trPr>
          <w:trHeight w:val="33"/>
        </w:trPr>
        <w:tc>
          <w:tcPr>
            <w:tcW w:w="52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Fees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Audit fees include the standard audit work performed each fiscal year necessary to allow the auditor to issue an opinion on our Consolidated Financial Statements and to issue an opinion on the local statutory financial statements of the Company and its subsidiaries. Audit fees also include services that can be provided only by the auditor such as reviews of quarterly financial results, review of the registration statement filed with the SEC and comfort letters delivered to underwriters in connection with equity offerings.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Audit related fees</w:t>
      </w:r>
    </w:p>
    <w:p>
      <w:pPr>
        <w:spacing w:after="0" w:line="14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These services consisting primarily of agreed-upon procedure reports, accounting consultations and other attest services related to financial reporting that are not required by statute or regulation.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 fees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Fees for tax services represent income tax and indirect tax compliance services as well as tax advisory services.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 other fees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Fees for other services not included in the above three categories.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Pre-Approval Procedures and Policies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In accordance with the requirements of the U.S. Sarbanes-Oxley Act of 2002 and rules issued by the SEC, we utilize a procedure for the review and pre-approval of any services performed by KPMG. The procedure requires that all proposed engagements of KPMG for audit and permitted non-audit services are submitted to the Audit and Finance Committee for approval prior to the beginning of any such services. In accordance with this policy, all services performed by and fees paid to KPMG in 2024 and 2023 were approved by the Audit and Finance Committee.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16D. Exemptions from the Listing Standards for Audit Committees.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16E. Purchases of Equity Securities by the Issuer and Affiliated Purchasers.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16F. Change in Registrant’s Certifying Accountant.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81" w:right="399" w:bottom="1440" w:gutter="0" w:footer="0" w:header="0"/>
        </w:sectPr>
      </w:pPr>
    </w:p>
    <w:bookmarkStart w:id="172" w:name="page173"/>
    <w:bookmarkEnd w:id="172"/>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16G. Corporate 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Summary of Significant Corporate Governance Differences From Nasdaq Listing Standards</w:t>
      </w:r>
    </w:p>
    <w:p>
      <w:pPr>
        <w:spacing w:after="0" w:line="15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color w:val="auto"/>
        </w:rPr>
        <w:t>We are a "foreign private issuer" as defined by the SEC. As a result, in accordance with Nasdaq Listing Rule 5615(a)(3), we comply with home country governance requirements and certain exemptions thereunder rather than complying with certain of the corporate governance requirements of Nasdaq.</w:t>
      </w:r>
    </w:p>
    <w:p>
      <w:pPr>
        <w:spacing w:after="0" w:line="9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 We believe seven of the Board members satisfy the “independence” requirements of the Nasdaq rules.</w:t>
      </w:r>
    </w:p>
    <w:p>
      <w:pPr>
        <w:spacing w:after="0" w:line="10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To this extent, our practice varies from the independent director oversight of director nominations requirements of Nasdaq Listing Rule 5605(e).</w:t>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0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16H. Mine Safety Disclosure.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16I. Disclosure Regarding Foreign Jurisdictions that Prevent Inspection.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16J. Insider Trading Policies.</w:t>
      </w:r>
    </w:p>
    <w:p>
      <w:pPr>
        <w:spacing w:after="0" w:line="140" w:lineRule="exact"/>
        <w:rPr>
          <w:sz w:val="20"/>
          <w:szCs w:val="20"/>
          <w:color w:val="auto"/>
        </w:rPr>
      </w:pPr>
    </w:p>
    <w:p>
      <w:pPr>
        <w:ind w:right="3360"/>
        <w:spacing w:after="0" w:line="249" w:lineRule="auto"/>
        <w:rPr>
          <w:sz w:val="20"/>
          <w:szCs w:val="20"/>
          <w:color w:val="auto"/>
        </w:rPr>
      </w:pPr>
      <w:r>
        <w:rPr>
          <w:rFonts w:ascii="Times New Roman" w:cs="Times New Roman" w:eastAsia="Times New Roman" w:hAnsi="Times New Roman"/>
          <w:sz w:val="19"/>
          <w:szCs w:val="19"/>
          <w:color w:val="auto"/>
        </w:rPr>
        <w:t>Our board of directors has adopted an Insider Trading Policy that governs the purchase, sale, and other dispositions of our securities by directors, senior management, and employees that is reasonably designed to promote compliance with applicable insider trading laws, rules and regulations, and any listing standards applicable to us. A copy of the Company’s Insider Trading Policy is filed as Exhibit 11.1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16K. Cybersecurity.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 Management and Strategy</w:t>
      </w:r>
    </w:p>
    <w:p>
      <w:pPr>
        <w:spacing w:after="0" w:line="2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(“Information Systems and Data”).</w:t>
      </w:r>
    </w:p>
    <w:p>
      <w:pPr>
        <w:spacing w:after="0" w:line="10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Our information security function, legal team, and management board help identify, assess and manage the Company’s cybersecurity threats and risks. We identify and assess risks from cybersecurity threats by monitoring and evaluating our threat environment using various methods including, for example manual and automated tools, evaluating our and our industry’s risk profile, evaluating threats reported to us, audits, conducting threat assessments, and conducting tabletop incident response exercises.</w:t>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Depending on the environment, we implement and maintain various technical, physical, and organizational measures, processes, and policies designed to manage and mitigate material risks from cybersecurity threats to our Information Systems and Data, including, for example: an incident response plan, disaster recovery/business continuity plans, risk assessments, network security controls, access controls, vendor risk management processes, employee training, and written IT policies.</w:t>
      </w:r>
    </w:p>
    <w:p>
      <w:pPr>
        <w:spacing w:after="0" w:line="10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Our assessment and management of material risks from cybersecurity threats are integrated into our overall risk management processes. For example, we prioritize and mitigate cybersecurity threats that we assess are more likely to lead to a material impact to our business.</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We use third-party service providers to assist us from time to time to identify, assess, and manage material risks from cybersecurity threats, including for example professional services firms, cybersecurity consultants, penetrating testing firms, and forensic investigators.</w:t>
      </w:r>
    </w:p>
    <w:p>
      <w:pPr>
        <w:spacing w:after="0" w:line="10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We use third-party service providers to perform a variety of functions throughout our business, such as data hosting, contract research, and contract manufacturing. We have a vendor management program to manage cybersecurity risks associated with our use of these providers. Depending on the nature of the services provided, the sensitivity of the Information Systems and Data at issue, and the identity of the provider, our vendor management process may involve, for example, different assessments designed to help identify cybersecurity risks associated with a provider and imposing contractual obligations related to cybersecurity on the provider.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For a description of the risks from cybersecurity threats that may materially affect the Company and how they may do so. See “Risk Factors—General Risks— If our data or information technology systems, or those of the third parties with whom we work, are or were compromised,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Governance</w:t>
      </w:r>
    </w:p>
    <w:p>
      <w:pPr>
        <w:spacing w:after="0" w:line="14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9"/>
          <w:szCs w:val="19"/>
          <w:color w:val="auto"/>
        </w:rPr>
        <w:t>Our board of directors addresses the Company’s cybersecurity risk management as part of its general oversight function. The board of directors’ audit and finance committee is responsible for overseeing Company’s cybersecurity risk management processes, including oversight and mitigation of risks from cybersecurity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9"/>
          <w:szCs w:val="19"/>
          <w:color w:val="auto"/>
        </w:rPr>
        <w:t>Our cybersecurity risk assessment and management processes are implemented and maintained by certain Company management, including:</w:t>
      </w:r>
    </w:p>
    <w:p>
      <w:pPr>
        <w:spacing w:after="0" w:line="136" w:lineRule="exact"/>
        <w:rPr>
          <w:sz w:val="20"/>
          <w:szCs w:val="20"/>
          <w:color w:val="auto"/>
        </w:rPr>
      </w:pPr>
    </w:p>
    <w:p>
      <w:pPr>
        <w:ind w:left="600" w:right="240" w:hanging="295"/>
        <w:spacing w:after="0" w:line="275" w:lineRule="auto"/>
        <w:tabs>
          <w:tab w:leader="none" w:pos="58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Baris Arican, Vice President of Information Technology. Mr. Arican has over 20 years experience in information technology/security at life sciences companies, including as the Chief Information Officer.</w:t>
      </w:r>
    </w:p>
    <w:p>
      <w:pPr>
        <w:spacing w:after="0" w:line="81" w:lineRule="exact"/>
        <w:rPr>
          <w:rFonts w:ascii="Times New Roman" w:cs="Times New Roman" w:eastAsia="Times New Roman" w:hAnsi="Times New Roman"/>
          <w:sz w:val="19"/>
          <w:szCs w:val="19"/>
          <w:color w:val="auto"/>
        </w:rPr>
      </w:pPr>
    </w:p>
    <w:p>
      <w:pPr>
        <w:ind w:left="600" w:hanging="295"/>
        <w:spacing w:after="0" w:line="275" w:lineRule="auto"/>
        <w:tabs>
          <w:tab w:leader="none" w:pos="58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Michael Pitzner, General Counsel and Compliance Officer and Senior Vice President of Legal and Business Development. Mr. Pitzner worked in various senior legal roles at other life sciences companies prior to joining our company.</w:t>
      </w:r>
    </w:p>
    <w:p>
      <w:pPr>
        <w:spacing w:after="0" w:line="81" w:lineRule="exact"/>
        <w:rPr>
          <w:rFonts w:ascii="Times New Roman" w:cs="Times New Roman" w:eastAsia="Times New Roman" w:hAnsi="Times New Roman"/>
          <w:sz w:val="19"/>
          <w:szCs w:val="19"/>
          <w:color w:val="auto"/>
        </w:rPr>
      </w:pPr>
    </w:p>
    <w:p>
      <w:pPr>
        <w:ind w:left="600" w:right="100" w:hanging="295"/>
        <w:spacing w:after="0" w:line="275" w:lineRule="auto"/>
        <w:tabs>
          <w:tab w:leader="none" w:pos="58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Robert Hendriks, Senior Vice President Finance and Principal Financial Officer. Mr. Hendriks worked in various senior finance roles at other life sciences companies prior to joining our company.</w:t>
      </w:r>
    </w:p>
    <w:p>
      <w:pPr>
        <w:spacing w:after="0" w:line="82"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9"/>
          <w:szCs w:val="19"/>
          <w:color w:val="auto"/>
        </w:rPr>
        <w:t>Company management is responsible for hiring appropriate personnel, communicating key priorities to relevant personnel, helping prepare for cybersecurity incidents, approving cybersecurity processes.</w:t>
      </w:r>
    </w:p>
    <w:p>
      <w:pPr>
        <w:spacing w:after="0" w:line="10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color w:val="auto"/>
        </w:rPr>
        <w:t>Our cybersecurity incident response processes are designed to escalate certain cybersecurity incidents to members of management depending on the circumstances, including to Messers Arican, Pitzner and Hendriks, who work with the Company’s incident response team to help the Company mitigate and remediate cybersecurity incidents of which they are notified. In addition, the Company’s incident response process includes reporting to the audit of the board of directors for certain cybersecurity incidents.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The board receives periodic reports from Mr. Arican concerning the Company’s significant cybersecurity threats and risk and the processes the Company has implemented to address them. The board also receives various reports, summaries or presentations related to cybersecurity threats, risk and mitigation.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34" w:right="399" w:bottom="1440" w:gutter="0" w:footer="0" w:header="0"/>
        </w:sectPr>
      </w:pPr>
    </w:p>
    <w:bookmarkStart w:id="175" w:name="page176"/>
    <w:bookmarkEnd w:id="175"/>
    <w:p>
      <w:pPr>
        <w:jc w:val="right"/>
        <w:ind w:right="4139"/>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17.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pages F-1 through page F-</w:t>
      </w:r>
      <w:r>
        <w:rPr>
          <w:rFonts w:ascii="Times New Roman" w:cs="Times New Roman" w:eastAsia="Times New Roman" w:hAnsi="Times New Roman"/>
          <w:sz w:val="19"/>
          <w:szCs w:val="19"/>
          <w:u w:val="single" w:color="auto"/>
          <w:color w:val="auto"/>
        </w:rPr>
        <w:t>41</w:t>
      </w:r>
      <w:r>
        <w:rPr>
          <w:rFonts w:ascii="Times New Roman" w:cs="Times New Roman" w:eastAsia="Times New Roman" w:hAnsi="Times New Roman"/>
          <w:sz w:val="19"/>
          <w:szCs w:val="19"/>
          <w:color w:val="auto"/>
        </w:rPr>
        <w:t xml:space="preserve"> of this Annual Report on Form 20-F</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18.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330" w:right="1440" w:bottom="1440" w:gutter="0" w:footer="0" w:header="0"/>
        </w:sectPr>
      </w:pPr>
    </w:p>
    <w:bookmarkStart w:id="176" w:name="page177"/>
    <w:bookmarkEnd w:id="176"/>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98"/>
              </w:rPr>
              <w:t>Item 19. Exhibits.</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4"/>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18"/>
          </w:tcPr>
          <w:p>
            <w:pPr>
              <w:ind w:left="14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35"/>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1.1*</w:t>
            </w:r>
          </w:p>
        </w:tc>
        <w:tc>
          <w:tcPr>
            <w:tcW w:w="3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7"/>
              </w:rPr>
              <w:t>Articles of Association, as currently in effect.</w:t>
            </w:r>
          </w:p>
        </w:tc>
        <w:tc>
          <w:tcPr>
            <w:tcW w:w="10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1.2</w:t>
            </w:r>
          </w:p>
        </w:tc>
        <w:tc>
          <w:tcPr>
            <w:tcW w:w="2800" w:type="dxa"/>
            <w:vAlign w:val="bottom"/>
            <w:tcBorders>
              <w:bottom w:val="single" w:sz="8" w:color="0000FF"/>
            </w:tcBorders>
            <w:gridSpan w:val="10"/>
          </w:tcPr>
          <w:p>
            <w:pPr>
              <w:spacing w:after="0"/>
              <w:rPr>
                <w:rFonts w:ascii="Times New Roman" w:cs="Times New Roman" w:eastAsia="Times New Roman" w:hAnsi="Times New Roman"/>
                <w:sz w:val="19"/>
                <w:szCs w:val="19"/>
                <w:color w:val="0000FF"/>
                <w:w w:val="97"/>
              </w:rPr>
            </w:pPr>
            <w:hyperlink r:id="rId207">
              <w:r>
                <w:rPr>
                  <w:rFonts w:ascii="Times New Roman" w:cs="Times New Roman" w:eastAsia="Times New Roman" w:hAnsi="Times New Roman"/>
                  <w:sz w:val="19"/>
                  <w:szCs w:val="19"/>
                  <w:color w:val="0000FF"/>
                  <w:w w:val="97"/>
                </w:rPr>
                <w:t>Organizational Rules of the registrant</w:t>
              </w:r>
            </w:hyperlink>
          </w:p>
        </w:tc>
        <w:tc>
          <w:tcPr>
            <w:tcW w:w="16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2.1</w:t>
            </w:r>
          </w:p>
        </w:tc>
        <w:tc>
          <w:tcPr>
            <w:tcW w:w="4400" w:type="dxa"/>
            <w:vAlign w:val="bottom"/>
            <w:gridSpan w:val="24"/>
          </w:tcPr>
          <w:p>
            <w:pPr>
              <w:spacing w:after="0"/>
              <w:rPr>
                <w:rFonts w:ascii="Times New Roman" w:cs="Times New Roman" w:eastAsia="Times New Roman" w:hAnsi="Times New Roman"/>
                <w:sz w:val="19"/>
                <w:szCs w:val="19"/>
                <w:color w:val="0000FF"/>
              </w:rPr>
            </w:pPr>
            <w:hyperlink r:id="rId208">
              <w:r>
                <w:rPr>
                  <w:rFonts w:ascii="Times New Roman" w:cs="Times New Roman" w:eastAsia="Times New Roman" w:hAnsi="Times New Roman"/>
                  <w:sz w:val="19"/>
                  <w:szCs w:val="19"/>
                  <w:color w:val="0000FF"/>
                </w:rPr>
                <w:t>Deposit Agreement.</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2.2</w:t>
            </w:r>
          </w:p>
        </w:tc>
        <w:tc>
          <w:tcPr>
            <w:tcW w:w="4400" w:type="dxa"/>
            <w:vAlign w:val="bottom"/>
            <w:tcBorders>
              <w:bottom w:val="single" w:sz="8" w:color="0000FF"/>
            </w:tcBorders>
            <w:gridSpan w:val="24"/>
          </w:tcPr>
          <w:p>
            <w:pPr>
              <w:spacing w:after="0"/>
              <w:rPr>
                <w:rFonts w:ascii="Times New Roman" w:cs="Times New Roman" w:eastAsia="Times New Roman" w:hAnsi="Times New Roman"/>
                <w:sz w:val="19"/>
                <w:szCs w:val="19"/>
                <w:color w:val="0000FF"/>
                <w:w w:val="97"/>
              </w:rPr>
            </w:pPr>
            <w:hyperlink r:id="rId209">
              <w:r>
                <w:rPr>
                  <w:rFonts w:ascii="Times New Roman" w:cs="Times New Roman" w:eastAsia="Times New Roman" w:hAnsi="Times New Roman"/>
                  <w:sz w:val="19"/>
                  <w:szCs w:val="19"/>
                  <w:color w:val="0000FF"/>
                  <w:w w:val="97"/>
                </w:rPr>
                <w:t>Form of American Depositary Receipt (included in Exhibit</w:t>
              </w:r>
            </w:hyperlink>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340" w:type="dxa"/>
            <w:vAlign w:val="bottom"/>
            <w:tcBorders>
              <w:bottom w:val="single" w:sz="8" w:color="0000FF"/>
            </w:tcBorders>
          </w:tcPr>
          <w:p>
            <w:pPr>
              <w:spacing w:after="0" w:line="195" w:lineRule="exact"/>
              <w:rPr>
                <w:rFonts w:ascii="Times New Roman" w:cs="Times New Roman" w:eastAsia="Times New Roman" w:hAnsi="Times New Roman"/>
                <w:sz w:val="19"/>
                <w:szCs w:val="19"/>
                <w:color w:val="0000FF"/>
                <w:w w:val="91"/>
              </w:rPr>
            </w:pPr>
            <w:hyperlink r:id="rId209">
              <w:r>
                <w:rPr>
                  <w:rFonts w:ascii="Times New Roman" w:cs="Times New Roman" w:eastAsia="Times New Roman" w:hAnsi="Times New Roman"/>
                  <w:sz w:val="19"/>
                  <w:szCs w:val="19"/>
                  <w:color w:val="0000FF"/>
                  <w:w w:val="91"/>
                </w:rPr>
                <w:t>2.</w:t>
              </w:r>
              <w:r>
                <w:rPr>
                  <w:rFonts w:ascii="Times New Roman" w:cs="Times New Roman" w:eastAsia="Times New Roman" w:hAnsi="Times New Roman"/>
                  <w:sz w:val="19"/>
                  <w:szCs w:val="19"/>
                  <w:u w:val="single" w:color="auto"/>
                  <w:color w:val="0000FF"/>
                  <w:w w:val="91"/>
                </w:rPr>
                <w:t>1)</w:t>
              </w:r>
              <w:r>
                <w:rPr>
                  <w:rFonts w:ascii="Times New Roman" w:cs="Times New Roman" w:eastAsia="Times New Roman" w:hAnsi="Times New Roman"/>
                  <w:sz w:val="19"/>
                  <w:szCs w:val="19"/>
                  <w:color w:val="0000FF"/>
                  <w:w w:val="91"/>
                </w:rPr>
                <w:t>.</w:t>
              </w:r>
            </w:hyperlink>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2.3</w:t>
            </w:r>
          </w:p>
        </w:tc>
        <w:tc>
          <w:tcPr>
            <w:tcW w:w="1860" w:type="dxa"/>
            <w:vAlign w:val="bottom"/>
            <w:tcBorders>
              <w:bottom w:val="single" w:sz="8" w:color="0000FF"/>
            </w:tcBorders>
            <w:gridSpan w:val="7"/>
          </w:tcPr>
          <w:p>
            <w:pPr>
              <w:spacing w:after="0"/>
              <w:rPr>
                <w:rFonts w:ascii="Times New Roman" w:cs="Times New Roman" w:eastAsia="Times New Roman" w:hAnsi="Times New Roman"/>
                <w:sz w:val="19"/>
                <w:szCs w:val="19"/>
                <w:color w:val="0000FF"/>
                <w:w w:val="97"/>
              </w:rPr>
            </w:pPr>
            <w:hyperlink r:id="rId210">
              <w:r>
                <w:rPr>
                  <w:rFonts w:ascii="Times New Roman" w:cs="Times New Roman" w:eastAsia="Times New Roman" w:hAnsi="Times New Roman"/>
                  <w:sz w:val="19"/>
                  <w:szCs w:val="19"/>
                  <w:color w:val="0000FF"/>
                  <w:w w:val="97"/>
                </w:rPr>
                <w:t>Description of Securities</w:t>
              </w:r>
            </w:hyperlink>
          </w:p>
        </w:tc>
        <w:tc>
          <w:tcPr>
            <w:tcW w:w="254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4.1#</w:t>
            </w:r>
          </w:p>
        </w:tc>
        <w:tc>
          <w:tcPr>
            <w:tcW w:w="4340" w:type="dxa"/>
            <w:vAlign w:val="bottom"/>
            <w:tcBorders>
              <w:bottom w:val="single" w:sz="8" w:color="0000FF"/>
            </w:tcBorders>
            <w:gridSpan w:val="22"/>
          </w:tcPr>
          <w:p>
            <w:pPr>
              <w:spacing w:after="0"/>
              <w:rPr>
                <w:rFonts w:ascii="Times New Roman" w:cs="Times New Roman" w:eastAsia="Times New Roman" w:hAnsi="Times New Roman"/>
                <w:sz w:val="19"/>
                <w:szCs w:val="19"/>
                <w:color w:val="0000FF"/>
                <w:w w:val="97"/>
              </w:rPr>
            </w:pPr>
            <w:hyperlink r:id="rId211">
              <w:r>
                <w:rPr>
                  <w:rFonts w:ascii="Times New Roman" w:cs="Times New Roman" w:eastAsia="Times New Roman" w:hAnsi="Times New Roman"/>
                  <w:sz w:val="19"/>
                  <w:szCs w:val="19"/>
                  <w:color w:val="0000FF"/>
                  <w:w w:val="97"/>
                </w:rPr>
                <w:t>Form of indemnification agreement between the registrant</w:t>
              </w:r>
            </w:hyperlink>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440" w:type="dxa"/>
            <w:vAlign w:val="bottom"/>
            <w:vMerge w:val="continue"/>
          </w:tcPr>
          <w:p>
            <w:pPr>
              <w:spacing w:after="0"/>
              <w:rPr>
                <w:sz w:val="10"/>
                <w:szCs w:val="10"/>
                <w:color w:val="auto"/>
              </w:rPr>
            </w:pPr>
          </w:p>
        </w:tc>
        <w:tc>
          <w:tcPr>
            <w:tcW w:w="4400" w:type="dxa"/>
            <w:vAlign w:val="bottom"/>
            <w:gridSpan w:val="24"/>
            <w:vMerge w:val="restart"/>
          </w:tcPr>
          <w:p>
            <w:pPr>
              <w:spacing w:after="0" w:line="195" w:lineRule="exact"/>
              <w:rPr>
                <w:rFonts w:ascii="Times New Roman" w:cs="Times New Roman" w:eastAsia="Times New Roman" w:hAnsi="Times New Roman"/>
                <w:sz w:val="19"/>
                <w:szCs w:val="19"/>
                <w:color w:val="0000FF"/>
              </w:rPr>
            </w:pPr>
            <w:hyperlink r:id="rId211">
              <w:r>
                <w:rPr>
                  <w:rFonts w:ascii="Times New Roman" w:cs="Times New Roman" w:eastAsia="Times New Roman" w:hAnsi="Times New Roman"/>
                  <w:sz w:val="19"/>
                  <w:szCs w:val="19"/>
                  <w:color w:val="0000FF"/>
                </w:rPr>
                <w:t>and each of its executive officers and directors</w:t>
              </w:r>
            </w:hyperlink>
          </w:p>
        </w:tc>
        <w:tc>
          <w:tcPr>
            <w:tcW w:w="0" w:type="dxa"/>
            <w:vAlign w:val="bottom"/>
          </w:tcPr>
          <w:p>
            <w:pPr>
              <w:spacing w:after="0"/>
              <w:rPr>
                <w:sz w:val="1"/>
                <w:szCs w:val="1"/>
                <w:color w:val="auto"/>
              </w:rPr>
            </w:pPr>
          </w:p>
        </w:tc>
      </w:tr>
      <w:tr>
        <w:trPr>
          <w:trHeight w:val="71"/>
        </w:trPr>
        <w:tc>
          <w:tcPr>
            <w:tcW w:w="1440" w:type="dxa"/>
            <w:vAlign w:val="bottom"/>
          </w:tcPr>
          <w:p>
            <w:pPr>
              <w:spacing w:after="0"/>
              <w:rPr>
                <w:sz w:val="6"/>
                <w:szCs w:val="6"/>
                <w:color w:val="auto"/>
              </w:rPr>
            </w:pPr>
          </w:p>
        </w:tc>
        <w:tc>
          <w:tcPr>
            <w:tcW w:w="440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4.2†</w:t>
            </w:r>
          </w:p>
        </w:tc>
        <w:tc>
          <w:tcPr>
            <w:tcW w:w="3740" w:type="dxa"/>
            <w:vAlign w:val="bottom"/>
            <w:tcBorders>
              <w:bottom w:val="single" w:sz="8" w:color="0000FF"/>
            </w:tcBorders>
            <w:gridSpan w:val="15"/>
          </w:tcPr>
          <w:p>
            <w:pPr>
              <w:spacing w:after="0"/>
              <w:rPr>
                <w:rFonts w:ascii="Times New Roman" w:cs="Times New Roman" w:eastAsia="Times New Roman" w:hAnsi="Times New Roman"/>
                <w:sz w:val="19"/>
                <w:szCs w:val="19"/>
                <w:color w:val="0000FF"/>
                <w:w w:val="97"/>
              </w:rPr>
            </w:pPr>
            <w:hyperlink r:id="rId212">
              <w:r>
                <w:rPr>
                  <w:rFonts w:ascii="Times New Roman" w:cs="Times New Roman" w:eastAsia="Times New Roman" w:hAnsi="Times New Roman"/>
                  <w:sz w:val="19"/>
                  <w:szCs w:val="19"/>
                  <w:color w:val="0000FF"/>
                  <w:w w:val="97"/>
                </w:rPr>
                <w:t>Collaboration and License Agreement, dated as of</w:t>
              </w:r>
            </w:hyperlink>
          </w:p>
        </w:tc>
        <w:tc>
          <w:tcPr>
            <w:tcW w:w="6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4400" w:type="dxa"/>
            <w:vAlign w:val="bottom"/>
            <w:gridSpan w:val="24"/>
          </w:tcPr>
          <w:p>
            <w:pPr>
              <w:spacing w:after="0" w:line="195" w:lineRule="exact"/>
              <w:rPr>
                <w:rFonts w:ascii="Times New Roman" w:cs="Times New Roman" w:eastAsia="Times New Roman" w:hAnsi="Times New Roman"/>
                <w:sz w:val="19"/>
                <w:szCs w:val="19"/>
                <w:color w:val="0000FF"/>
              </w:rPr>
            </w:pPr>
            <w:hyperlink r:id="rId212">
              <w:r>
                <w:rPr>
                  <w:rFonts w:ascii="Times New Roman" w:cs="Times New Roman" w:eastAsia="Times New Roman" w:hAnsi="Times New Roman"/>
                  <w:sz w:val="19"/>
                  <w:szCs w:val="19"/>
                  <w:color w:val="0000FF"/>
                </w:rPr>
                <w:t>December 18, 2018, by and between Molecular Partners</w:t>
              </w:r>
            </w:hyperlink>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1520" w:type="dxa"/>
            <w:vAlign w:val="bottom"/>
            <w:tcBorders>
              <w:top w:val="single" w:sz="8" w:color="0000FF"/>
              <w:bottom w:val="single" w:sz="8" w:color="0000FF"/>
            </w:tcBorders>
            <w:gridSpan w:val="5"/>
          </w:tcPr>
          <w:p>
            <w:pPr>
              <w:spacing w:after="0" w:line="208" w:lineRule="exact"/>
              <w:rPr>
                <w:rFonts w:ascii="Times New Roman" w:cs="Times New Roman" w:eastAsia="Times New Roman" w:hAnsi="Times New Roman"/>
                <w:sz w:val="19"/>
                <w:szCs w:val="19"/>
                <w:color w:val="0000FF"/>
                <w:w w:val="97"/>
              </w:rPr>
            </w:pPr>
            <w:hyperlink r:id="rId212">
              <w:r>
                <w:rPr>
                  <w:rFonts w:ascii="Times New Roman" w:cs="Times New Roman" w:eastAsia="Times New Roman" w:hAnsi="Times New Roman"/>
                  <w:sz w:val="19"/>
                  <w:szCs w:val="19"/>
                  <w:color w:val="0000FF"/>
                  <w:w w:val="97"/>
                </w:rPr>
                <w:t>AG and Amgen Inc.</w:t>
              </w:r>
            </w:hyperlink>
          </w:p>
        </w:tc>
        <w:tc>
          <w:tcPr>
            <w:tcW w:w="2660" w:type="dxa"/>
            <w:vAlign w:val="bottom"/>
            <w:tcBorders>
              <w:top w:val="single" w:sz="8" w:color="0000FF"/>
            </w:tcBorders>
            <w:gridSpan w:val="14"/>
          </w:tcPr>
          <w:p>
            <w:pPr>
              <w:spacing w:after="0"/>
              <w:rPr>
                <w:sz w:val="18"/>
                <w:szCs w:val="18"/>
                <w:color w:val="auto"/>
              </w:rPr>
            </w:pPr>
          </w:p>
        </w:tc>
        <w:tc>
          <w:tcPr>
            <w:tcW w:w="2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4.3†</w:t>
            </w:r>
          </w:p>
        </w:tc>
        <w:tc>
          <w:tcPr>
            <w:tcW w:w="4400" w:type="dxa"/>
            <w:vAlign w:val="bottom"/>
            <w:gridSpan w:val="24"/>
          </w:tcPr>
          <w:p>
            <w:pPr>
              <w:spacing w:after="0"/>
              <w:rPr>
                <w:rFonts w:ascii="Times New Roman" w:cs="Times New Roman" w:eastAsia="Times New Roman" w:hAnsi="Times New Roman"/>
                <w:sz w:val="19"/>
                <w:szCs w:val="19"/>
                <w:color w:val="0000FF"/>
                <w:w w:val="99"/>
              </w:rPr>
            </w:pPr>
            <w:hyperlink r:id="rId213">
              <w:r>
                <w:rPr>
                  <w:rFonts w:ascii="Times New Roman" w:cs="Times New Roman" w:eastAsia="Times New Roman" w:hAnsi="Times New Roman"/>
                  <w:sz w:val="19"/>
                  <w:szCs w:val="19"/>
                  <w:color w:val="0000FF"/>
                  <w:w w:val="99"/>
                </w:rPr>
                <w:t>Option and Equity Rights Agreement, dated as of October</w:t>
              </w:r>
            </w:hyperlink>
          </w:p>
        </w:tc>
        <w:tc>
          <w:tcPr>
            <w:tcW w:w="0" w:type="dxa"/>
            <w:vAlign w:val="bottom"/>
          </w:tcPr>
          <w:p>
            <w:pPr>
              <w:spacing w:after="0"/>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4020" w:type="dxa"/>
            <w:vAlign w:val="bottom"/>
            <w:tcBorders>
              <w:top w:val="single" w:sz="8" w:color="0000FF"/>
              <w:bottom w:val="single" w:sz="8" w:color="0000FF"/>
            </w:tcBorders>
            <w:gridSpan w:val="17"/>
          </w:tcPr>
          <w:p>
            <w:pPr>
              <w:spacing w:after="0" w:line="195" w:lineRule="exact"/>
              <w:rPr>
                <w:rFonts w:ascii="Times New Roman" w:cs="Times New Roman" w:eastAsia="Times New Roman" w:hAnsi="Times New Roman"/>
                <w:sz w:val="19"/>
                <w:szCs w:val="19"/>
                <w:color w:val="0000FF"/>
                <w:w w:val="97"/>
              </w:rPr>
            </w:pPr>
            <w:hyperlink r:id="rId213">
              <w:r>
                <w:rPr>
                  <w:rFonts w:ascii="Times New Roman" w:cs="Times New Roman" w:eastAsia="Times New Roman" w:hAnsi="Times New Roman"/>
                  <w:sz w:val="19"/>
                  <w:szCs w:val="19"/>
                  <w:color w:val="0000FF"/>
                  <w:w w:val="97"/>
                </w:rPr>
                <w:t>27, 2020, by and between Molecular Partners AG and</w:t>
              </w:r>
            </w:hyperlink>
          </w:p>
        </w:tc>
        <w:tc>
          <w:tcPr>
            <w:tcW w:w="300" w:type="dxa"/>
            <w:vAlign w:val="bottom"/>
            <w:tcBorders>
              <w:top w:val="single" w:sz="8" w:color="0000FF"/>
            </w:tcBorders>
            <w:gridSpan w:val="4"/>
          </w:tcPr>
          <w:p>
            <w:pPr>
              <w:spacing w:after="0"/>
              <w:rPr>
                <w:sz w:val="16"/>
                <w:szCs w:val="16"/>
                <w:color w:val="auto"/>
              </w:rPr>
            </w:pPr>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4400" w:type="dxa"/>
            <w:vAlign w:val="bottom"/>
            <w:gridSpan w:val="24"/>
          </w:tcPr>
          <w:p>
            <w:pPr>
              <w:spacing w:after="0" w:line="208" w:lineRule="exact"/>
              <w:rPr>
                <w:rFonts w:ascii="Times New Roman" w:cs="Times New Roman" w:eastAsia="Times New Roman" w:hAnsi="Times New Roman"/>
                <w:sz w:val="19"/>
                <w:szCs w:val="19"/>
                <w:color w:val="0000FF"/>
              </w:rPr>
            </w:pPr>
            <w:hyperlink r:id="rId213">
              <w:r>
                <w:rPr>
                  <w:rFonts w:ascii="Times New Roman" w:cs="Times New Roman" w:eastAsia="Times New Roman" w:hAnsi="Times New Roman"/>
                  <w:sz w:val="19"/>
                  <w:szCs w:val="19"/>
                  <w:color w:val="0000FF"/>
                </w:rPr>
                <w:t>Novartis Pharma AG.</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4.4†</w:t>
            </w:r>
          </w:p>
        </w:tc>
        <w:tc>
          <w:tcPr>
            <w:tcW w:w="4400" w:type="dxa"/>
            <w:vAlign w:val="bottom"/>
            <w:gridSpan w:val="24"/>
          </w:tcPr>
          <w:p>
            <w:pPr>
              <w:spacing w:after="0"/>
              <w:rPr>
                <w:rFonts w:ascii="Times New Roman" w:cs="Times New Roman" w:eastAsia="Times New Roman" w:hAnsi="Times New Roman"/>
                <w:sz w:val="19"/>
                <w:szCs w:val="19"/>
                <w:color w:val="0000FF"/>
              </w:rPr>
            </w:pPr>
            <w:hyperlink r:id="rId213">
              <w:r>
                <w:rPr>
                  <w:rFonts w:ascii="Times New Roman" w:cs="Times New Roman" w:eastAsia="Times New Roman" w:hAnsi="Times New Roman"/>
                  <w:sz w:val="19"/>
                  <w:szCs w:val="19"/>
                  <w:color w:val="0000FF"/>
                </w:rPr>
                <w:t>License Agreement, dated as of January 17, 2022, by and</w:t>
              </w:r>
            </w:hyperlink>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440" w:type="dxa"/>
            <w:vAlign w:val="bottom"/>
            <w:vMerge w:val="continue"/>
          </w:tcPr>
          <w:p>
            <w:pPr>
              <w:spacing w:after="0"/>
              <w:rPr>
                <w:sz w:val="10"/>
                <w:szCs w:val="10"/>
                <w:color w:val="auto"/>
              </w:rPr>
            </w:pPr>
          </w:p>
        </w:tc>
        <w:tc>
          <w:tcPr>
            <w:tcW w:w="4380" w:type="dxa"/>
            <w:vAlign w:val="bottom"/>
            <w:gridSpan w:val="23"/>
            <w:vMerge w:val="restart"/>
          </w:tcPr>
          <w:p>
            <w:pPr>
              <w:spacing w:after="0" w:line="195" w:lineRule="exact"/>
              <w:rPr>
                <w:rFonts w:ascii="Times New Roman" w:cs="Times New Roman" w:eastAsia="Times New Roman" w:hAnsi="Times New Roman"/>
                <w:sz w:val="19"/>
                <w:szCs w:val="19"/>
                <w:color w:val="0000FF"/>
                <w:w w:val="97"/>
              </w:rPr>
            </w:pPr>
            <w:hyperlink r:id="rId213">
              <w:r>
                <w:rPr>
                  <w:rFonts w:ascii="Times New Roman" w:cs="Times New Roman" w:eastAsia="Times New Roman" w:hAnsi="Times New Roman"/>
                  <w:sz w:val="19"/>
                  <w:szCs w:val="19"/>
                  <w:color w:val="0000FF"/>
                  <w:w w:val="97"/>
                </w:rPr>
                <w:t>between Molecular Partners AG and Novartis Pharma AG.</w:t>
              </w:r>
            </w:hyperlink>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40" w:type="dxa"/>
            <w:vAlign w:val="bottom"/>
          </w:tcPr>
          <w:p>
            <w:pPr>
              <w:spacing w:after="0"/>
              <w:rPr>
                <w:sz w:val="6"/>
                <w:szCs w:val="6"/>
                <w:color w:val="auto"/>
              </w:rPr>
            </w:pPr>
          </w:p>
        </w:tc>
        <w:tc>
          <w:tcPr>
            <w:tcW w:w="4380" w:type="dxa"/>
            <w:vAlign w:val="bottom"/>
            <w:tcBorders>
              <w:bottom w:val="single" w:sz="8" w:color="0000FF"/>
            </w:tcBorders>
            <w:gridSpan w:val="23"/>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4.5†</w:t>
            </w:r>
          </w:p>
        </w:tc>
        <w:tc>
          <w:tcPr>
            <w:tcW w:w="3740" w:type="dxa"/>
            <w:vAlign w:val="bottom"/>
            <w:tcBorders>
              <w:bottom w:val="single" w:sz="8" w:color="0000FF"/>
            </w:tcBorders>
            <w:gridSpan w:val="15"/>
          </w:tcPr>
          <w:p>
            <w:pPr>
              <w:spacing w:after="0"/>
              <w:rPr>
                <w:rFonts w:ascii="Times New Roman" w:cs="Times New Roman" w:eastAsia="Times New Roman" w:hAnsi="Times New Roman"/>
                <w:sz w:val="19"/>
                <w:szCs w:val="19"/>
                <w:color w:val="0000FF"/>
                <w:w w:val="97"/>
              </w:rPr>
            </w:pPr>
            <w:hyperlink r:id="rId214">
              <w:r>
                <w:rPr>
                  <w:rFonts w:ascii="Times New Roman" w:cs="Times New Roman" w:eastAsia="Times New Roman" w:hAnsi="Times New Roman"/>
                  <w:sz w:val="19"/>
                  <w:szCs w:val="19"/>
                  <w:color w:val="0000FF"/>
                  <w:w w:val="97"/>
                </w:rPr>
                <w:t>License and Collaboration Agreement, dated as of</w:t>
              </w:r>
            </w:hyperlink>
          </w:p>
        </w:tc>
        <w:tc>
          <w:tcPr>
            <w:tcW w:w="6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4400" w:type="dxa"/>
            <w:vAlign w:val="bottom"/>
            <w:gridSpan w:val="24"/>
          </w:tcPr>
          <w:p>
            <w:pPr>
              <w:spacing w:after="0" w:line="195" w:lineRule="exact"/>
              <w:rPr>
                <w:rFonts w:ascii="Times New Roman" w:cs="Times New Roman" w:eastAsia="Times New Roman" w:hAnsi="Times New Roman"/>
                <w:sz w:val="19"/>
                <w:szCs w:val="19"/>
                <w:color w:val="0000FF"/>
              </w:rPr>
            </w:pPr>
            <w:hyperlink r:id="rId214">
              <w:r>
                <w:rPr>
                  <w:rFonts w:ascii="Times New Roman" w:cs="Times New Roman" w:eastAsia="Times New Roman" w:hAnsi="Times New Roman"/>
                  <w:sz w:val="19"/>
                  <w:szCs w:val="19"/>
                  <w:color w:val="0000FF"/>
                </w:rPr>
                <w:t>December 13, 2021, by and between Molecular Partners</w:t>
              </w:r>
            </w:hyperlink>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2260" w:type="dxa"/>
            <w:vAlign w:val="bottom"/>
            <w:tcBorders>
              <w:top w:val="single" w:sz="8" w:color="0000FF"/>
              <w:bottom w:val="single" w:sz="8" w:color="0000FF"/>
            </w:tcBorders>
            <w:gridSpan w:val="9"/>
          </w:tcPr>
          <w:p>
            <w:pPr>
              <w:spacing w:after="0" w:line="208" w:lineRule="exact"/>
              <w:rPr>
                <w:rFonts w:ascii="Times New Roman" w:cs="Times New Roman" w:eastAsia="Times New Roman" w:hAnsi="Times New Roman"/>
                <w:sz w:val="19"/>
                <w:szCs w:val="19"/>
                <w:color w:val="0000FF"/>
                <w:w w:val="97"/>
              </w:rPr>
            </w:pPr>
            <w:hyperlink r:id="rId214">
              <w:r>
                <w:rPr>
                  <w:rFonts w:ascii="Times New Roman" w:cs="Times New Roman" w:eastAsia="Times New Roman" w:hAnsi="Times New Roman"/>
                  <w:sz w:val="19"/>
                  <w:szCs w:val="19"/>
                  <w:color w:val="0000FF"/>
                  <w:w w:val="97"/>
                </w:rPr>
                <w:t>AG and Novartis Pharma AG.</w:t>
              </w:r>
            </w:hyperlink>
          </w:p>
        </w:tc>
        <w:tc>
          <w:tcPr>
            <w:tcW w:w="1920" w:type="dxa"/>
            <w:vAlign w:val="bottom"/>
            <w:tcBorders>
              <w:top w:val="single" w:sz="8" w:color="0000FF"/>
            </w:tcBorders>
            <w:gridSpan w:val="10"/>
          </w:tcPr>
          <w:p>
            <w:pPr>
              <w:spacing w:after="0"/>
              <w:rPr>
                <w:sz w:val="18"/>
                <w:szCs w:val="18"/>
                <w:color w:val="auto"/>
              </w:rPr>
            </w:pPr>
          </w:p>
        </w:tc>
        <w:tc>
          <w:tcPr>
            <w:tcW w:w="2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4.6†</w:t>
            </w:r>
          </w:p>
        </w:tc>
        <w:tc>
          <w:tcPr>
            <w:tcW w:w="4000" w:type="dxa"/>
            <w:vAlign w:val="bottom"/>
            <w:tcBorders>
              <w:bottom w:val="single" w:sz="8" w:color="0000FF"/>
            </w:tcBorders>
            <w:gridSpan w:val="16"/>
          </w:tcPr>
          <w:p>
            <w:pPr>
              <w:spacing w:after="0"/>
              <w:rPr>
                <w:rFonts w:ascii="Times New Roman" w:cs="Times New Roman" w:eastAsia="Times New Roman" w:hAnsi="Times New Roman"/>
                <w:sz w:val="19"/>
                <w:szCs w:val="19"/>
                <w:color w:val="0000FF"/>
                <w:w w:val="97"/>
              </w:rPr>
            </w:pPr>
            <w:hyperlink r:id="rId215">
              <w:r>
                <w:rPr>
                  <w:rFonts w:ascii="Times New Roman" w:cs="Times New Roman" w:eastAsia="Times New Roman" w:hAnsi="Times New Roman"/>
                  <w:sz w:val="19"/>
                  <w:szCs w:val="19"/>
                  <w:color w:val="0000FF"/>
                  <w:w w:val="97"/>
                </w:rPr>
                <w:t>Research and Development Collaboration and Option</w:t>
              </w:r>
            </w:hyperlink>
          </w:p>
        </w:tc>
        <w:tc>
          <w:tcPr>
            <w:tcW w:w="4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4260" w:type="dxa"/>
            <w:vAlign w:val="bottom"/>
            <w:tcBorders>
              <w:bottom w:val="single" w:sz="8" w:color="0000FF"/>
            </w:tcBorders>
            <w:gridSpan w:val="20"/>
          </w:tcPr>
          <w:p>
            <w:pPr>
              <w:spacing w:after="0" w:line="195" w:lineRule="exact"/>
              <w:rPr>
                <w:rFonts w:ascii="Times New Roman" w:cs="Times New Roman" w:eastAsia="Times New Roman" w:hAnsi="Times New Roman"/>
                <w:sz w:val="19"/>
                <w:szCs w:val="19"/>
                <w:color w:val="0000FF"/>
                <w:w w:val="97"/>
              </w:rPr>
            </w:pPr>
            <w:hyperlink r:id="rId215">
              <w:r>
                <w:rPr>
                  <w:rFonts w:ascii="Times New Roman" w:cs="Times New Roman" w:eastAsia="Times New Roman" w:hAnsi="Times New Roman"/>
                  <w:sz w:val="19"/>
                  <w:szCs w:val="19"/>
                  <w:color w:val="0000FF"/>
                  <w:w w:val="97"/>
                </w:rPr>
                <w:t>Agreement, dated as of January 5, 2024, by and between</w:t>
              </w:r>
            </w:hyperlink>
          </w:p>
        </w:tc>
        <w:tc>
          <w:tcPr>
            <w:tcW w:w="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4400" w:type="dxa"/>
            <w:vAlign w:val="bottom"/>
            <w:gridSpan w:val="24"/>
          </w:tcPr>
          <w:p>
            <w:pPr>
              <w:spacing w:after="0" w:line="208" w:lineRule="exact"/>
              <w:rPr>
                <w:rFonts w:ascii="Times New Roman" w:cs="Times New Roman" w:eastAsia="Times New Roman" w:hAnsi="Times New Roman"/>
                <w:sz w:val="19"/>
                <w:szCs w:val="19"/>
                <w:color w:val="0000FF"/>
              </w:rPr>
            </w:pPr>
            <w:hyperlink r:id="rId215">
              <w:r>
                <w:rPr>
                  <w:rFonts w:ascii="Times New Roman" w:cs="Times New Roman" w:eastAsia="Times New Roman" w:hAnsi="Times New Roman"/>
                  <w:sz w:val="19"/>
                  <w:szCs w:val="19"/>
                  <w:color w:val="0000FF"/>
                </w:rPr>
                <w:t>Molecular Partners AG and Orano Med SAS.</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tcPr>
          <w:p>
            <w:pPr>
              <w:spacing w:after="0"/>
              <w:rPr>
                <w:sz w:val="22"/>
                <w:szCs w:val="22"/>
                <w:color w:val="auto"/>
              </w:rPr>
            </w:pPr>
          </w:p>
        </w:tc>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9"/>
                <w:szCs w:val="19"/>
                <w:color w:val="0000FF"/>
                <w:w w:val="97"/>
              </w:rPr>
              <w:t>Amendment to the Research and Development</w:t>
            </w:r>
          </w:p>
        </w:tc>
        <w:tc>
          <w:tcPr>
            <w:tcW w:w="9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4.7*†</w:t>
            </w:r>
          </w:p>
        </w:tc>
        <w:tc>
          <w:tcPr>
            <w:tcW w:w="4320" w:type="dxa"/>
            <w:vAlign w:val="bottom"/>
            <w:tcBorders>
              <w:bottom w:val="single" w:sz="8" w:color="0000FF"/>
            </w:tcBorders>
            <w:gridSpan w:val="21"/>
          </w:tcPr>
          <w:p>
            <w:pPr>
              <w:spacing w:after="0" w:line="195" w:lineRule="exact"/>
              <w:rPr>
                <w:sz w:val="20"/>
                <w:szCs w:val="20"/>
                <w:color w:val="auto"/>
              </w:rPr>
            </w:pPr>
            <w:r>
              <w:rPr>
                <w:rFonts w:ascii="Times New Roman" w:cs="Times New Roman" w:eastAsia="Times New Roman" w:hAnsi="Times New Roman"/>
                <w:sz w:val="19"/>
                <w:szCs w:val="19"/>
                <w:color w:val="0000FF"/>
                <w:w w:val="97"/>
              </w:rPr>
              <w:t>Collaboration and Option Agreement, dated as of October</w:t>
            </w:r>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40" w:type="dxa"/>
            <w:vAlign w:val="bottom"/>
            <w:vMerge w:val="continue"/>
          </w:tcPr>
          <w:p>
            <w:pPr>
              <w:spacing w:after="0"/>
              <w:rPr>
                <w:sz w:val="11"/>
                <w:szCs w:val="11"/>
                <w:color w:val="auto"/>
              </w:rPr>
            </w:pPr>
          </w:p>
        </w:tc>
        <w:tc>
          <w:tcPr>
            <w:tcW w:w="4020" w:type="dxa"/>
            <w:vAlign w:val="bottom"/>
            <w:gridSpan w:val="17"/>
            <w:vMerge w:val="restart"/>
          </w:tcPr>
          <w:p>
            <w:pPr>
              <w:spacing w:after="0" w:line="208" w:lineRule="exact"/>
              <w:rPr>
                <w:sz w:val="20"/>
                <w:szCs w:val="20"/>
                <w:color w:val="auto"/>
              </w:rPr>
            </w:pPr>
            <w:r>
              <w:rPr>
                <w:rFonts w:ascii="Times New Roman" w:cs="Times New Roman" w:eastAsia="Times New Roman" w:hAnsi="Times New Roman"/>
                <w:sz w:val="19"/>
                <w:szCs w:val="19"/>
                <w:color w:val="0000FF"/>
                <w:w w:val="97"/>
              </w:rPr>
              <w:t>22, 2024, by and between Molecular Partners AG and</w:t>
            </w:r>
          </w:p>
        </w:tc>
        <w:tc>
          <w:tcPr>
            <w:tcW w:w="38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440" w:type="dxa"/>
            <w:vAlign w:val="bottom"/>
          </w:tcPr>
          <w:p>
            <w:pPr>
              <w:spacing w:after="0"/>
              <w:rPr>
                <w:sz w:val="6"/>
                <w:szCs w:val="6"/>
                <w:color w:val="auto"/>
              </w:rPr>
            </w:pPr>
          </w:p>
        </w:tc>
        <w:tc>
          <w:tcPr>
            <w:tcW w:w="4020" w:type="dxa"/>
            <w:vAlign w:val="bottom"/>
            <w:tcBorders>
              <w:bottom w:val="single" w:sz="8" w:color="0000FF"/>
            </w:tcBorders>
            <w:gridSpan w:val="17"/>
            <w:vMerge w:val="continue"/>
          </w:tcPr>
          <w:p>
            <w:pPr>
              <w:spacing w:after="0"/>
              <w:rPr>
                <w:sz w:val="6"/>
                <w:szCs w:val="6"/>
                <w:color w:val="auto"/>
              </w:rPr>
            </w:pPr>
          </w:p>
        </w:tc>
        <w:tc>
          <w:tcPr>
            <w:tcW w:w="3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4400" w:type="dxa"/>
            <w:vAlign w:val="bottom"/>
            <w:gridSpan w:val="24"/>
          </w:tcPr>
          <w:p>
            <w:pPr>
              <w:spacing w:after="0" w:line="195" w:lineRule="exact"/>
              <w:rPr>
                <w:sz w:val="20"/>
                <w:szCs w:val="20"/>
                <w:color w:val="auto"/>
              </w:rPr>
            </w:pPr>
            <w:r>
              <w:rPr>
                <w:rFonts w:ascii="Times New Roman" w:cs="Times New Roman" w:eastAsia="Times New Roman" w:hAnsi="Times New Roman"/>
                <w:sz w:val="19"/>
                <w:szCs w:val="19"/>
                <w:color w:val="0000FF"/>
              </w:rPr>
              <w:t>Orano Med SAS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4.8*†</w:t>
            </w:r>
          </w:p>
        </w:tc>
        <w:tc>
          <w:tcPr>
            <w:tcW w:w="4400" w:type="dxa"/>
            <w:vAlign w:val="bottom"/>
            <w:gridSpan w:val="24"/>
          </w:tcPr>
          <w:p>
            <w:pPr>
              <w:spacing w:after="0"/>
              <w:rPr>
                <w:sz w:val="20"/>
                <w:szCs w:val="20"/>
                <w:color w:val="auto"/>
              </w:rPr>
            </w:pPr>
            <w:r>
              <w:rPr>
                <w:rFonts w:ascii="Times New Roman" w:cs="Times New Roman" w:eastAsia="Times New Roman" w:hAnsi="Times New Roman"/>
                <w:sz w:val="19"/>
                <w:szCs w:val="19"/>
                <w:color w:val="0000FF"/>
              </w:rPr>
              <w:t>Development and Option Agreement, dated January 11,</w:t>
            </w: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92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40" w:type="dxa"/>
            <w:vAlign w:val="bottom"/>
            <w:vMerge w:val="continue"/>
          </w:tcPr>
          <w:p>
            <w:pPr>
              <w:spacing w:after="0"/>
              <w:rPr>
                <w:sz w:val="16"/>
                <w:szCs w:val="16"/>
                <w:color w:val="auto"/>
              </w:rPr>
            </w:pPr>
          </w:p>
        </w:tc>
        <w:tc>
          <w:tcPr>
            <w:tcW w:w="4400" w:type="dxa"/>
            <w:vAlign w:val="bottom"/>
            <w:gridSpan w:val="24"/>
          </w:tcPr>
          <w:p>
            <w:pPr>
              <w:spacing w:after="0" w:line="195" w:lineRule="exact"/>
              <w:rPr>
                <w:sz w:val="20"/>
                <w:szCs w:val="20"/>
                <w:color w:val="auto"/>
              </w:rPr>
            </w:pPr>
            <w:r>
              <w:rPr>
                <w:rFonts w:ascii="Times New Roman" w:cs="Times New Roman" w:eastAsia="Times New Roman" w:hAnsi="Times New Roman"/>
                <w:sz w:val="19"/>
                <w:szCs w:val="19"/>
                <w:color w:val="0000FF"/>
              </w:rPr>
              <w:t>2025, by and between Molecular Partners AG and OMT</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960" w:type="dxa"/>
            <w:vAlign w:val="bottom"/>
            <w:tcBorders>
              <w:top w:val="single" w:sz="8" w:color="0000FF"/>
              <w:bottom w:val="single" w:sz="8" w:color="0000FF"/>
            </w:tcBorders>
            <w:gridSpan w:val="2"/>
          </w:tcPr>
          <w:p>
            <w:pPr>
              <w:spacing w:after="0" w:line="208" w:lineRule="exact"/>
              <w:rPr>
                <w:sz w:val="20"/>
                <w:szCs w:val="20"/>
                <w:color w:val="auto"/>
              </w:rPr>
            </w:pPr>
            <w:r>
              <w:rPr>
                <w:rFonts w:ascii="Times New Roman" w:cs="Times New Roman" w:eastAsia="Times New Roman" w:hAnsi="Times New Roman"/>
                <w:sz w:val="19"/>
                <w:szCs w:val="19"/>
                <w:color w:val="0000FF"/>
                <w:w w:val="96"/>
              </w:rPr>
              <w:t>Theranostics</w:t>
            </w:r>
          </w:p>
        </w:tc>
        <w:tc>
          <w:tcPr>
            <w:tcW w:w="3220" w:type="dxa"/>
            <w:vAlign w:val="bottom"/>
            <w:tcBorders>
              <w:top w:val="single" w:sz="8" w:color="0000FF"/>
            </w:tcBorders>
            <w:gridSpan w:val="17"/>
          </w:tcPr>
          <w:p>
            <w:pPr>
              <w:spacing w:after="0"/>
              <w:rPr>
                <w:sz w:val="18"/>
                <w:szCs w:val="18"/>
                <w:color w:val="auto"/>
              </w:rPr>
            </w:pPr>
          </w:p>
        </w:tc>
        <w:tc>
          <w:tcPr>
            <w:tcW w:w="2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4.9#</w:t>
            </w:r>
          </w:p>
        </w:tc>
        <w:tc>
          <w:tcPr>
            <w:tcW w:w="4400" w:type="dxa"/>
            <w:vAlign w:val="bottom"/>
            <w:gridSpan w:val="24"/>
          </w:tcPr>
          <w:p>
            <w:pPr>
              <w:spacing w:after="0"/>
              <w:rPr>
                <w:rFonts w:ascii="Times New Roman" w:cs="Times New Roman" w:eastAsia="Times New Roman" w:hAnsi="Times New Roman"/>
                <w:sz w:val="19"/>
                <w:szCs w:val="19"/>
                <w:color w:val="0000FF"/>
              </w:rPr>
            </w:pPr>
            <w:hyperlink r:id="rId216">
              <w:r>
                <w:rPr>
                  <w:rFonts w:ascii="Times New Roman" w:cs="Times New Roman" w:eastAsia="Times New Roman" w:hAnsi="Times New Roman"/>
                  <w:sz w:val="19"/>
                  <w:szCs w:val="19"/>
                  <w:color w:val="0000FF"/>
                </w:rPr>
                <w:t>Performance Share Plan 2018</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21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4.10#</w:t>
            </w:r>
          </w:p>
        </w:tc>
        <w:tc>
          <w:tcPr>
            <w:tcW w:w="4400" w:type="dxa"/>
            <w:vAlign w:val="bottom"/>
            <w:gridSpan w:val="24"/>
          </w:tcPr>
          <w:p>
            <w:pPr>
              <w:spacing w:after="0"/>
              <w:rPr>
                <w:rFonts w:ascii="Times New Roman" w:cs="Times New Roman" w:eastAsia="Times New Roman" w:hAnsi="Times New Roman"/>
                <w:sz w:val="19"/>
                <w:szCs w:val="19"/>
                <w:color w:val="0000FF"/>
              </w:rPr>
            </w:pPr>
            <w:hyperlink r:id="rId217">
              <w:r>
                <w:rPr>
                  <w:rFonts w:ascii="Times New Roman" w:cs="Times New Roman" w:eastAsia="Times New Roman" w:hAnsi="Times New Roman"/>
                  <w:sz w:val="19"/>
                  <w:szCs w:val="19"/>
                  <w:color w:val="0000FF"/>
                </w:rPr>
                <w:t>Performance Share Plan 2019</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21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4.11#</w:t>
            </w:r>
          </w:p>
        </w:tc>
        <w:tc>
          <w:tcPr>
            <w:tcW w:w="4400" w:type="dxa"/>
            <w:vAlign w:val="bottom"/>
            <w:gridSpan w:val="24"/>
          </w:tcPr>
          <w:p>
            <w:pPr>
              <w:spacing w:after="0"/>
              <w:rPr>
                <w:rFonts w:ascii="Times New Roman" w:cs="Times New Roman" w:eastAsia="Times New Roman" w:hAnsi="Times New Roman"/>
                <w:sz w:val="19"/>
                <w:szCs w:val="19"/>
                <w:color w:val="0000FF"/>
              </w:rPr>
            </w:pPr>
            <w:hyperlink r:id="rId218">
              <w:r>
                <w:rPr>
                  <w:rFonts w:ascii="Times New Roman" w:cs="Times New Roman" w:eastAsia="Times New Roman" w:hAnsi="Times New Roman"/>
                  <w:sz w:val="19"/>
                  <w:szCs w:val="19"/>
                  <w:color w:val="0000FF"/>
                </w:rPr>
                <w:t>Performance Share Plan 2020</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Incorporated by Reference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1140" w:type="dxa"/>
            <w:vAlign w:val="bottom"/>
          </w:tcPr>
          <w:p>
            <w:pPr>
              <w:spacing w:after="0"/>
              <w:rPr>
                <w:sz w:val="17"/>
                <w:szCs w:val="17"/>
                <w:color w:val="auto"/>
              </w:rPr>
            </w:pP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7"/>
                <w:szCs w:val="17"/>
                <w:b w:val="1"/>
                <w:bCs w:val="1"/>
                <w:color w:val="auto"/>
              </w:rPr>
              <w:t>File</w:t>
            </w:r>
          </w:p>
        </w:tc>
      </w:tr>
      <w:tr>
        <w:trPr>
          <w:trHeight w:val="222"/>
        </w:trPr>
        <w:tc>
          <w:tcPr>
            <w:tcW w:w="1000" w:type="dxa"/>
            <w:vAlign w:val="bottom"/>
          </w:tcPr>
          <w:p>
            <w:pPr>
              <w:jc w:val="center"/>
              <w:ind w:right="189"/>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60" w:type="dxa"/>
            <w:vAlign w:val="bottom"/>
          </w:tcPr>
          <w:p>
            <w:pPr>
              <w:jc w:val="center"/>
              <w:ind w:left="189"/>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551"/>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279"/>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2.1</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279"/>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2.2</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494"/>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2.3</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279"/>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8"/>
              </w:rPr>
              <w:t>F-1</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10.1</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4/22/2021</w:t>
            </w:r>
          </w:p>
        </w:tc>
      </w:tr>
      <w:tr>
        <w:trPr>
          <w:trHeight w:val="494"/>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8"/>
              </w:rPr>
              <w:t>F-1</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10.3</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4/22/2021</w:t>
            </w:r>
          </w:p>
        </w:tc>
      </w:tr>
      <w:tr>
        <w:trPr>
          <w:trHeight w:val="722"/>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8"/>
              </w:rPr>
              <w:t>F-1</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10.6</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4/22/2021</w:t>
            </w:r>
          </w:p>
        </w:tc>
      </w:tr>
      <w:tr>
        <w:trPr>
          <w:trHeight w:val="722"/>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4.4</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494"/>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4.5</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3/09/2023</w:t>
            </w:r>
          </w:p>
        </w:tc>
      </w:tr>
      <w:tr>
        <w:trPr>
          <w:trHeight w:val="722"/>
        </w:trPr>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9"/>
                <w:szCs w:val="19"/>
                <w:color w:val="auto"/>
                <w:w w:val="94"/>
              </w:rPr>
              <w:t>20-F</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4.6</w:t>
            </w:r>
          </w:p>
        </w:tc>
        <w:tc>
          <w:tcPr>
            <w:tcW w:w="1060" w:type="dxa"/>
            <w:vAlign w:val="bottom"/>
          </w:tcPr>
          <w:p>
            <w:pPr>
              <w:jc w:val="center"/>
              <w:ind w:left="209"/>
              <w:spacing w:after="0"/>
              <w:rPr>
                <w:sz w:val="20"/>
                <w:szCs w:val="20"/>
                <w:color w:val="auto"/>
              </w:rPr>
            </w:pPr>
            <w:r>
              <w:rPr>
                <w:rFonts w:ascii="Times New Roman" w:cs="Times New Roman" w:eastAsia="Times New Roman" w:hAnsi="Times New Roman"/>
                <w:sz w:val="19"/>
                <w:szCs w:val="19"/>
                <w:color w:val="auto"/>
                <w:w w:val="98"/>
              </w:rPr>
              <w:t>3/14/2024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F-1</w:t>
            </w:r>
          </w:p>
        </w:tc>
        <w:tc>
          <w:tcPr>
            <w:tcW w:w="1640" w:type="dxa"/>
            <w:vAlign w:val="bottom"/>
          </w:tcPr>
          <w:p>
            <w:pPr>
              <w:jc w:val="right"/>
              <w:ind w:right="227"/>
              <w:spacing w:after="0"/>
              <w:rPr>
                <w:sz w:val="20"/>
                <w:szCs w:val="20"/>
                <w:color w:val="auto"/>
              </w:rPr>
            </w:pPr>
            <w:r>
              <w:rPr>
                <w:rFonts w:ascii="Times New Roman" w:cs="Times New Roman" w:eastAsia="Times New Roman" w:hAnsi="Times New Roman"/>
                <w:sz w:val="19"/>
                <w:szCs w:val="19"/>
                <w:color w:val="auto"/>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10.8</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F-1</w:t>
            </w:r>
          </w:p>
        </w:tc>
        <w:tc>
          <w:tcPr>
            <w:tcW w:w="1640" w:type="dxa"/>
            <w:vAlign w:val="bottom"/>
          </w:tcPr>
          <w:p>
            <w:pPr>
              <w:jc w:val="right"/>
              <w:ind w:right="227"/>
              <w:spacing w:after="0"/>
              <w:rPr>
                <w:sz w:val="20"/>
                <w:szCs w:val="20"/>
                <w:color w:val="auto"/>
              </w:rPr>
            </w:pPr>
            <w:r>
              <w:rPr>
                <w:rFonts w:ascii="Times New Roman" w:cs="Times New Roman" w:eastAsia="Times New Roman" w:hAnsi="Times New Roman"/>
                <w:sz w:val="19"/>
                <w:szCs w:val="19"/>
                <w:color w:val="auto"/>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10.9</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r>
      <w:tr>
        <w:trPr>
          <w:trHeight w:val="279"/>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F-1</w:t>
            </w:r>
          </w:p>
        </w:tc>
        <w:tc>
          <w:tcPr>
            <w:tcW w:w="1640" w:type="dxa"/>
            <w:vAlign w:val="bottom"/>
          </w:tcPr>
          <w:p>
            <w:pPr>
              <w:jc w:val="right"/>
              <w:ind w:right="227"/>
              <w:spacing w:after="0"/>
              <w:rPr>
                <w:sz w:val="20"/>
                <w:szCs w:val="20"/>
                <w:color w:val="auto"/>
              </w:rPr>
            </w:pPr>
            <w:r>
              <w:rPr>
                <w:rFonts w:ascii="Times New Roman" w:cs="Times New Roman" w:eastAsia="Times New Roman" w:hAnsi="Times New Roman"/>
                <w:sz w:val="19"/>
                <w:szCs w:val="19"/>
                <w:color w:val="auto"/>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10.10</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r>
    </w:tbl>
    <w:p>
      <w:pPr>
        <w:sectPr>
          <w:pgSz w:w="11900" w:h="16838" w:orient="portrait"/>
          <w:cols w:equalWidth="0" w:num="2">
            <w:col w:w="5840" w:space="400"/>
            <w:col w:w="4720"/>
          </w:cols>
          <w:pgMar w:left="320" w:top="1440" w:right="619" w:bottom="1440" w:gutter="0" w:footer="0" w:header="0"/>
        </w:sectPr>
      </w:pPr>
    </w:p>
    <w:bookmarkStart w:id="177" w:name="page178"/>
    <w:bookmarkEnd w:id="177"/>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4.12#</w:t>
            </w:r>
          </w:p>
        </w:tc>
        <w:tc>
          <w:tcPr>
            <w:tcW w:w="3200" w:type="dxa"/>
            <w:vAlign w:val="bottom"/>
            <w:tcBorders>
              <w:bottom w:val="single" w:sz="8" w:color="0000FF"/>
            </w:tcBorders>
            <w:gridSpan w:val="7"/>
          </w:tcPr>
          <w:p>
            <w:pPr>
              <w:spacing w:after="0"/>
              <w:rPr>
                <w:rFonts w:ascii="Times New Roman" w:cs="Times New Roman" w:eastAsia="Times New Roman" w:hAnsi="Times New Roman"/>
                <w:sz w:val="19"/>
                <w:szCs w:val="19"/>
                <w:color w:val="0000FF"/>
                <w:w w:val="97"/>
              </w:rPr>
            </w:pPr>
            <w:hyperlink r:id="rId220">
              <w:r>
                <w:rPr>
                  <w:rFonts w:ascii="Times New Roman" w:cs="Times New Roman" w:eastAsia="Times New Roman" w:hAnsi="Times New Roman"/>
                  <w:sz w:val="19"/>
                  <w:szCs w:val="19"/>
                  <w:color w:val="0000FF"/>
                  <w:w w:val="97"/>
                </w:rPr>
                <w:t>Performance Share Plan 2021 - Employees</w:t>
              </w:r>
            </w:hyperlink>
          </w:p>
        </w:tc>
        <w:tc>
          <w:tcPr>
            <w:tcW w:w="1460" w:type="dxa"/>
            <w:vAlign w:val="bottom"/>
            <w:gridSpan w:val="14"/>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3"/>
              </w:rPr>
              <w:t>10.11</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4.13#</w:t>
            </w:r>
          </w:p>
        </w:tc>
        <w:tc>
          <w:tcPr>
            <w:tcW w:w="4660" w:type="dxa"/>
            <w:vAlign w:val="bottom"/>
            <w:gridSpan w:val="21"/>
          </w:tcPr>
          <w:p>
            <w:pPr>
              <w:spacing w:after="0"/>
              <w:rPr>
                <w:rFonts w:ascii="Times New Roman" w:cs="Times New Roman" w:eastAsia="Times New Roman" w:hAnsi="Times New Roman"/>
                <w:sz w:val="19"/>
                <w:szCs w:val="19"/>
                <w:color w:val="0000FF"/>
              </w:rPr>
            </w:pPr>
            <w:hyperlink r:id="rId221">
              <w:r>
                <w:rPr>
                  <w:rFonts w:ascii="Times New Roman" w:cs="Times New Roman" w:eastAsia="Times New Roman" w:hAnsi="Times New Roman"/>
                  <w:sz w:val="19"/>
                  <w:szCs w:val="19"/>
                  <w:color w:val="0000FF"/>
                </w:rPr>
                <w:t>Performance Share Plan 2021 - Management</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4.10</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4.14#</w:t>
            </w:r>
          </w:p>
        </w:tc>
        <w:tc>
          <w:tcPr>
            <w:tcW w:w="33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9"/>
                <w:szCs w:val="19"/>
                <w:color w:val="0000FF"/>
                <w:w w:val="98"/>
              </w:rPr>
            </w:pPr>
            <w:hyperlink r:id="rId222">
              <w:r>
                <w:rPr>
                  <w:rFonts w:ascii="Times New Roman" w:cs="Times New Roman" w:eastAsia="Times New Roman" w:hAnsi="Times New Roman"/>
                  <w:sz w:val="19"/>
                  <w:szCs w:val="19"/>
                  <w:color w:val="0000FF"/>
                  <w:w w:val="98"/>
                </w:rPr>
                <w:t>Performance Share Plans 2022 - Employees</w:t>
              </w:r>
            </w:hyperlink>
          </w:p>
        </w:tc>
        <w:tc>
          <w:tcPr>
            <w:tcW w:w="40" w:type="dxa"/>
            <w:vAlign w:val="bottom"/>
            <w:tcBorders>
              <w:top w:val="single" w:sz="8" w:color="0000FF"/>
            </w:tcBorders>
            <w:gridSpan w:val="2"/>
          </w:tcPr>
          <w:p>
            <w:pPr>
              <w:spacing w:after="0"/>
              <w:rPr>
                <w:sz w:val="22"/>
                <w:szCs w:val="22"/>
                <w:color w:val="auto"/>
              </w:rPr>
            </w:pPr>
          </w:p>
        </w:tc>
        <w:tc>
          <w:tcPr>
            <w:tcW w:w="1320" w:type="dxa"/>
            <w:vAlign w:val="bottom"/>
            <w:gridSpan w:val="10"/>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4.11</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4.15#</w:t>
            </w:r>
          </w:p>
        </w:tc>
        <w:tc>
          <w:tcPr>
            <w:tcW w:w="3440" w:type="dxa"/>
            <w:vAlign w:val="bottom"/>
            <w:tcBorders>
              <w:bottom w:val="single" w:sz="8" w:color="0000FF"/>
            </w:tcBorders>
            <w:gridSpan w:val="13"/>
          </w:tcPr>
          <w:p>
            <w:pPr>
              <w:spacing w:after="0"/>
              <w:rPr>
                <w:rFonts w:ascii="Times New Roman" w:cs="Times New Roman" w:eastAsia="Times New Roman" w:hAnsi="Times New Roman"/>
                <w:sz w:val="19"/>
                <w:szCs w:val="19"/>
                <w:color w:val="0000FF"/>
                <w:w w:val="98"/>
              </w:rPr>
            </w:pPr>
            <w:hyperlink r:id="rId223">
              <w:r>
                <w:rPr>
                  <w:rFonts w:ascii="Times New Roman" w:cs="Times New Roman" w:eastAsia="Times New Roman" w:hAnsi="Times New Roman"/>
                  <w:sz w:val="19"/>
                  <w:szCs w:val="19"/>
                  <w:color w:val="0000FF"/>
                  <w:w w:val="98"/>
                </w:rPr>
                <w:t>Performance Share Plans 2022 - Management</w:t>
              </w:r>
            </w:hyperlink>
          </w:p>
        </w:tc>
        <w:tc>
          <w:tcPr>
            <w:tcW w:w="1220" w:type="dxa"/>
            <w:vAlign w:val="bottom"/>
            <w:gridSpan w:val="8"/>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4.12</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4.16#</w:t>
            </w:r>
          </w:p>
        </w:tc>
        <w:tc>
          <w:tcPr>
            <w:tcW w:w="3300" w:type="dxa"/>
            <w:vAlign w:val="bottom"/>
            <w:tcBorders>
              <w:bottom w:val="single" w:sz="8" w:color="0000FF"/>
            </w:tcBorders>
            <w:gridSpan w:val="9"/>
          </w:tcPr>
          <w:p>
            <w:pPr>
              <w:spacing w:after="0"/>
              <w:rPr>
                <w:rFonts w:ascii="Times New Roman" w:cs="Times New Roman" w:eastAsia="Times New Roman" w:hAnsi="Times New Roman"/>
                <w:sz w:val="19"/>
                <w:szCs w:val="19"/>
                <w:color w:val="0000FF"/>
                <w:w w:val="98"/>
              </w:rPr>
            </w:pPr>
            <w:hyperlink r:id="rId224">
              <w:r>
                <w:rPr>
                  <w:rFonts w:ascii="Times New Roman" w:cs="Times New Roman" w:eastAsia="Times New Roman" w:hAnsi="Times New Roman"/>
                  <w:sz w:val="19"/>
                  <w:szCs w:val="19"/>
                  <w:color w:val="0000FF"/>
                  <w:w w:val="98"/>
                </w:rPr>
                <w:t>Performance Share Plans 2023 - Employees</w:t>
              </w:r>
            </w:hyperlink>
          </w:p>
        </w:tc>
        <w:tc>
          <w:tcPr>
            <w:tcW w:w="1360" w:type="dxa"/>
            <w:vAlign w:val="bottom"/>
            <w:gridSpan w:val="12"/>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4.13</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4.17#</w:t>
            </w:r>
          </w:p>
        </w:tc>
        <w:tc>
          <w:tcPr>
            <w:tcW w:w="3440" w:type="dxa"/>
            <w:vAlign w:val="bottom"/>
            <w:tcBorders>
              <w:bottom w:val="single" w:sz="8" w:color="0000FF"/>
            </w:tcBorders>
            <w:gridSpan w:val="13"/>
          </w:tcPr>
          <w:p>
            <w:pPr>
              <w:spacing w:after="0"/>
              <w:rPr>
                <w:rFonts w:ascii="Times New Roman" w:cs="Times New Roman" w:eastAsia="Times New Roman" w:hAnsi="Times New Roman"/>
                <w:sz w:val="19"/>
                <w:szCs w:val="19"/>
                <w:color w:val="0000FF"/>
                <w:w w:val="98"/>
              </w:rPr>
            </w:pPr>
            <w:hyperlink r:id="rId225">
              <w:r>
                <w:rPr>
                  <w:rFonts w:ascii="Times New Roman" w:cs="Times New Roman" w:eastAsia="Times New Roman" w:hAnsi="Times New Roman"/>
                  <w:sz w:val="19"/>
                  <w:szCs w:val="19"/>
                  <w:color w:val="0000FF"/>
                  <w:w w:val="98"/>
                </w:rPr>
                <w:t>Performance Share Plans 2023 - Management</w:t>
              </w:r>
            </w:hyperlink>
          </w:p>
        </w:tc>
        <w:tc>
          <w:tcPr>
            <w:tcW w:w="1220" w:type="dxa"/>
            <w:vAlign w:val="bottom"/>
            <w:gridSpan w:val="8"/>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4.14</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4.18#</w:t>
            </w:r>
          </w:p>
        </w:tc>
        <w:tc>
          <w:tcPr>
            <w:tcW w:w="3300" w:type="dxa"/>
            <w:vAlign w:val="bottom"/>
            <w:tcBorders>
              <w:bottom w:val="single" w:sz="8" w:color="0000FF"/>
            </w:tcBorders>
            <w:gridSpan w:val="9"/>
          </w:tcPr>
          <w:p>
            <w:pPr>
              <w:spacing w:after="0"/>
              <w:rPr>
                <w:rFonts w:ascii="Times New Roman" w:cs="Times New Roman" w:eastAsia="Times New Roman" w:hAnsi="Times New Roman"/>
                <w:sz w:val="19"/>
                <w:szCs w:val="19"/>
                <w:color w:val="0000FF"/>
                <w:w w:val="98"/>
              </w:rPr>
            </w:pPr>
            <w:hyperlink r:id="rId226">
              <w:r>
                <w:rPr>
                  <w:rFonts w:ascii="Times New Roman" w:cs="Times New Roman" w:eastAsia="Times New Roman" w:hAnsi="Times New Roman"/>
                  <w:sz w:val="19"/>
                  <w:szCs w:val="19"/>
                  <w:color w:val="0000FF"/>
                  <w:w w:val="98"/>
                </w:rPr>
                <w:t>Performance Share Plans 2024 - Employees</w:t>
              </w:r>
            </w:hyperlink>
          </w:p>
        </w:tc>
        <w:tc>
          <w:tcPr>
            <w:tcW w:w="1360" w:type="dxa"/>
            <w:vAlign w:val="bottom"/>
            <w:gridSpan w:val="12"/>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4.16</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3/14/2024</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4.19#</w:t>
            </w:r>
          </w:p>
        </w:tc>
        <w:tc>
          <w:tcPr>
            <w:tcW w:w="3440" w:type="dxa"/>
            <w:vAlign w:val="bottom"/>
            <w:tcBorders>
              <w:bottom w:val="single" w:sz="8" w:color="0000FF"/>
            </w:tcBorders>
            <w:gridSpan w:val="13"/>
          </w:tcPr>
          <w:p>
            <w:pPr>
              <w:spacing w:after="0"/>
              <w:rPr>
                <w:rFonts w:ascii="Times New Roman" w:cs="Times New Roman" w:eastAsia="Times New Roman" w:hAnsi="Times New Roman"/>
                <w:sz w:val="19"/>
                <w:szCs w:val="19"/>
                <w:color w:val="0000FF"/>
                <w:w w:val="98"/>
              </w:rPr>
            </w:pPr>
            <w:hyperlink r:id="rId227">
              <w:r>
                <w:rPr>
                  <w:rFonts w:ascii="Times New Roman" w:cs="Times New Roman" w:eastAsia="Times New Roman" w:hAnsi="Times New Roman"/>
                  <w:sz w:val="19"/>
                  <w:szCs w:val="19"/>
                  <w:color w:val="0000FF"/>
                  <w:w w:val="98"/>
                </w:rPr>
                <w:t>Performance Shares Plan 2024 - Management</w:t>
              </w:r>
            </w:hyperlink>
          </w:p>
        </w:tc>
        <w:tc>
          <w:tcPr>
            <w:tcW w:w="1220" w:type="dxa"/>
            <w:vAlign w:val="bottom"/>
            <w:gridSpan w:val="8"/>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4.17</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3/14/2024</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4.20*#</w:t>
            </w:r>
          </w:p>
        </w:tc>
        <w:tc>
          <w:tcPr>
            <w:tcW w:w="3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9"/>
                <w:szCs w:val="19"/>
                <w:color w:val="0000FF"/>
                <w:w w:val="97"/>
              </w:rPr>
              <w:t>Performance Share Plans 2025 - Employees</w:t>
            </w:r>
          </w:p>
        </w:tc>
        <w:tc>
          <w:tcPr>
            <w:tcW w:w="1380" w:type="dxa"/>
            <w:vAlign w:val="bottom"/>
            <w:gridSpan w:val="13"/>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4.21*#</w:t>
            </w:r>
          </w:p>
        </w:tc>
        <w:tc>
          <w:tcPr>
            <w:tcW w:w="3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9"/>
                <w:szCs w:val="19"/>
                <w:color w:val="0000FF"/>
                <w:w w:val="97"/>
              </w:rPr>
              <w:t>Performance Shares Plan 2025 - Management</w:t>
            </w:r>
          </w:p>
        </w:tc>
        <w:tc>
          <w:tcPr>
            <w:tcW w:w="1240" w:type="dxa"/>
            <w:vAlign w:val="bottom"/>
            <w:gridSpan w:val="9"/>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4.22#</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28">
              <w:r>
                <w:rPr>
                  <w:rFonts w:ascii="Times New Roman" w:cs="Times New Roman" w:eastAsia="Times New Roman" w:hAnsi="Times New Roman"/>
                  <w:sz w:val="19"/>
                  <w:szCs w:val="19"/>
                  <w:color w:val="0000FF"/>
                  <w:w w:val="97"/>
                </w:rPr>
                <w:t>Restricted Share Plan 2018</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10.14</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4.23#</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29">
              <w:r>
                <w:rPr>
                  <w:rFonts w:ascii="Times New Roman" w:cs="Times New Roman" w:eastAsia="Times New Roman" w:hAnsi="Times New Roman"/>
                  <w:sz w:val="19"/>
                  <w:szCs w:val="19"/>
                  <w:color w:val="0000FF"/>
                  <w:w w:val="97"/>
                </w:rPr>
                <w:t>Restricted Share Plan 2019</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10.15</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4.24#</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30">
              <w:r>
                <w:rPr>
                  <w:rFonts w:ascii="Times New Roman" w:cs="Times New Roman" w:eastAsia="Times New Roman" w:hAnsi="Times New Roman"/>
                  <w:sz w:val="19"/>
                  <w:szCs w:val="19"/>
                  <w:color w:val="0000FF"/>
                  <w:w w:val="97"/>
                </w:rPr>
                <w:t>Restricted Share Plan 2020</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10.16</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4.25#</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31">
              <w:r>
                <w:rPr>
                  <w:rFonts w:ascii="Times New Roman" w:cs="Times New Roman" w:eastAsia="Times New Roman" w:hAnsi="Times New Roman"/>
                  <w:sz w:val="19"/>
                  <w:szCs w:val="19"/>
                  <w:color w:val="0000FF"/>
                  <w:w w:val="97"/>
                </w:rPr>
                <w:t>Restricted Share Plan 2021</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10.17</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4.26#</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32">
              <w:r>
                <w:rPr>
                  <w:rFonts w:ascii="Times New Roman" w:cs="Times New Roman" w:eastAsia="Times New Roman" w:hAnsi="Times New Roman"/>
                  <w:sz w:val="19"/>
                  <w:szCs w:val="19"/>
                  <w:color w:val="0000FF"/>
                  <w:w w:val="97"/>
                </w:rPr>
                <w:t>Restricted Share Plan 2022</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4.19</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4.27#</w:t>
            </w:r>
          </w:p>
        </w:tc>
        <w:tc>
          <w:tcPr>
            <w:tcW w:w="2040" w:type="dxa"/>
            <w:vAlign w:val="bottom"/>
            <w:tcBorders>
              <w:bottom w:val="single" w:sz="8" w:color="0000FF"/>
            </w:tcBorders>
            <w:gridSpan w:val="4"/>
          </w:tcPr>
          <w:p>
            <w:pPr>
              <w:spacing w:after="0"/>
              <w:rPr>
                <w:rFonts w:ascii="Times New Roman" w:cs="Times New Roman" w:eastAsia="Times New Roman" w:hAnsi="Times New Roman"/>
                <w:sz w:val="19"/>
                <w:szCs w:val="19"/>
                <w:color w:val="0000FF"/>
                <w:w w:val="97"/>
              </w:rPr>
            </w:pPr>
            <w:hyperlink r:id="rId233">
              <w:r>
                <w:rPr>
                  <w:rFonts w:ascii="Times New Roman" w:cs="Times New Roman" w:eastAsia="Times New Roman" w:hAnsi="Times New Roman"/>
                  <w:sz w:val="19"/>
                  <w:szCs w:val="19"/>
                  <w:color w:val="0000FF"/>
                  <w:w w:val="97"/>
                </w:rPr>
                <w:t>Restricted Share Plan 2023</w:t>
              </w:r>
            </w:hyperlink>
          </w:p>
        </w:tc>
        <w:tc>
          <w:tcPr>
            <w:tcW w:w="2620" w:type="dxa"/>
            <w:vAlign w:val="bottom"/>
            <w:gridSpan w:val="17"/>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4.20</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3/09/2023</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4.28#</w:t>
            </w:r>
          </w:p>
        </w:tc>
        <w:tc>
          <w:tcPr>
            <w:tcW w:w="4660" w:type="dxa"/>
            <w:vAlign w:val="bottom"/>
            <w:gridSpan w:val="21"/>
          </w:tcPr>
          <w:p>
            <w:pPr>
              <w:spacing w:after="0"/>
              <w:rPr>
                <w:rFonts w:ascii="Times New Roman" w:cs="Times New Roman" w:eastAsia="Times New Roman" w:hAnsi="Times New Roman"/>
                <w:sz w:val="19"/>
                <w:szCs w:val="19"/>
                <w:color w:val="0000FF"/>
              </w:rPr>
            </w:pPr>
            <w:hyperlink r:id="rId234">
              <w:r>
                <w:rPr>
                  <w:rFonts w:ascii="Times New Roman" w:cs="Times New Roman" w:eastAsia="Times New Roman" w:hAnsi="Times New Roman"/>
                  <w:sz w:val="19"/>
                  <w:szCs w:val="19"/>
                  <w:color w:val="0000FF"/>
                </w:rPr>
                <w:t>Restricted Share Plan 2024</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4.24</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3/14/2024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4.29*#</w:t>
            </w:r>
          </w:p>
        </w:tc>
        <w:tc>
          <w:tcPr>
            <w:tcW w:w="466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Restricted Share Plan 2025</w:t>
            </w: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8.1</w:t>
            </w:r>
          </w:p>
        </w:tc>
        <w:tc>
          <w:tcPr>
            <w:tcW w:w="4660" w:type="dxa"/>
            <w:vAlign w:val="bottom"/>
            <w:gridSpan w:val="21"/>
          </w:tcPr>
          <w:p>
            <w:pPr>
              <w:spacing w:after="0"/>
              <w:rPr>
                <w:rFonts w:ascii="Times New Roman" w:cs="Times New Roman" w:eastAsia="Times New Roman" w:hAnsi="Times New Roman"/>
                <w:sz w:val="19"/>
                <w:szCs w:val="19"/>
                <w:color w:val="0000FF"/>
              </w:rPr>
            </w:pPr>
            <w:hyperlink r:id="rId235">
              <w:r>
                <w:rPr>
                  <w:rFonts w:ascii="Times New Roman" w:cs="Times New Roman" w:eastAsia="Times New Roman" w:hAnsi="Times New Roman"/>
                  <w:sz w:val="19"/>
                  <w:szCs w:val="19"/>
                  <w:color w:val="0000FF"/>
                </w:rPr>
                <w:t>List of subsidiaries of the Registrant</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F-1</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333-255447</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21.1</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4/22/2021</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19"/>
                <w:szCs w:val="19"/>
                <w:color w:val="auto"/>
              </w:rPr>
              <w:t>11.1*</w:t>
            </w:r>
          </w:p>
        </w:tc>
        <w:tc>
          <w:tcPr>
            <w:tcW w:w="3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9"/>
                <w:szCs w:val="19"/>
                <w:color w:val="0000FF"/>
                <w:w w:val="97"/>
              </w:rPr>
              <w:t>Molecular Partners AG Insider Trading Policy</w:t>
            </w:r>
          </w:p>
        </w:tc>
        <w:tc>
          <w:tcPr>
            <w:tcW w:w="1200" w:type="dxa"/>
            <w:vAlign w:val="bottom"/>
            <w:gridSpan w:val="7"/>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12.1*</w:t>
            </w:r>
          </w:p>
        </w:tc>
        <w:tc>
          <w:tcPr>
            <w:tcW w:w="4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9"/>
                <w:szCs w:val="19"/>
                <w:color w:val="0000FF"/>
                <w:w w:val="97"/>
              </w:rPr>
              <w:t>Certification of Chief Executive Officer Pursuant to Rule</w:t>
            </w:r>
          </w:p>
        </w:tc>
        <w:tc>
          <w:tcPr>
            <w:tcW w:w="400" w:type="dxa"/>
            <w:vAlign w:val="bottom"/>
            <w:gridSpan w:val="3"/>
          </w:tcPr>
          <w:p>
            <w:pPr>
              <w:spacing w:after="0"/>
              <w:rPr>
                <w:sz w:val="22"/>
                <w:szCs w:val="22"/>
                <w:color w:val="auto"/>
              </w:rPr>
            </w:pP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420" w:type="dxa"/>
            <w:vAlign w:val="bottom"/>
            <w:vMerge w:val="continue"/>
          </w:tcPr>
          <w:p>
            <w:pPr>
              <w:spacing w:after="0"/>
              <w:rPr>
                <w:sz w:val="10"/>
                <w:szCs w:val="10"/>
                <w:color w:val="auto"/>
              </w:rPr>
            </w:pPr>
          </w:p>
        </w:tc>
        <w:tc>
          <w:tcPr>
            <w:tcW w:w="3820" w:type="dxa"/>
            <w:vAlign w:val="bottom"/>
            <w:gridSpan w:val="15"/>
            <w:vMerge w:val="restart"/>
          </w:tcPr>
          <w:p>
            <w:pPr>
              <w:spacing w:after="0" w:line="208" w:lineRule="exact"/>
              <w:rPr>
                <w:sz w:val="20"/>
                <w:szCs w:val="20"/>
                <w:color w:val="auto"/>
              </w:rPr>
            </w:pPr>
            <w:r>
              <w:rPr>
                <w:rFonts w:ascii="Times New Roman" w:cs="Times New Roman" w:eastAsia="Times New Roman" w:hAnsi="Times New Roman"/>
                <w:sz w:val="19"/>
                <w:szCs w:val="19"/>
                <w:color w:val="0000FF"/>
                <w:w w:val="97"/>
              </w:rPr>
              <w:t>13(a)-14(a) of the Securities Exchange Act of 1934</w:t>
            </w:r>
          </w:p>
        </w:tc>
        <w:tc>
          <w:tcPr>
            <w:tcW w:w="840" w:type="dxa"/>
            <w:vAlign w:val="bottom"/>
            <w:gridSpan w:val="6"/>
            <w:vMerge w:val="restart"/>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3820" w:type="dxa"/>
            <w:vAlign w:val="bottom"/>
            <w:tcBorders>
              <w:bottom w:val="single" w:sz="8" w:color="0000FF"/>
            </w:tcBorders>
            <w:gridSpan w:val="15"/>
            <w:vMerge w:val="continue"/>
          </w:tcPr>
          <w:p>
            <w:pPr>
              <w:spacing w:after="0"/>
              <w:rPr>
                <w:sz w:val="7"/>
                <w:szCs w:val="7"/>
                <w:color w:val="auto"/>
              </w:rPr>
            </w:pPr>
          </w:p>
        </w:tc>
        <w:tc>
          <w:tcPr>
            <w:tcW w:w="840" w:type="dxa"/>
            <w:vAlign w:val="bottom"/>
            <w:gridSpan w:val="6"/>
            <w:vMerge w:val="continue"/>
          </w:tcPr>
          <w:p>
            <w:pPr>
              <w:spacing w:after="0"/>
              <w:rPr>
                <w:sz w:val="7"/>
                <w:szCs w:val="7"/>
                <w:color w:val="auto"/>
              </w:rPr>
            </w:pPr>
          </w:p>
        </w:tc>
        <w:tc>
          <w:tcPr>
            <w:tcW w:w="10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12.2*</w:t>
            </w:r>
          </w:p>
        </w:tc>
        <w:tc>
          <w:tcPr>
            <w:tcW w:w="466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Certification of SVP Finance Pursuant to Rule 13(a)-14(a)</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1420" w:type="dxa"/>
            <w:vAlign w:val="bottom"/>
            <w:vMerge w:val="continue"/>
          </w:tcPr>
          <w:p>
            <w:pPr>
              <w:spacing w:after="0"/>
              <w:rPr>
                <w:sz w:val="10"/>
                <w:szCs w:val="10"/>
                <w:color w:val="auto"/>
              </w:rPr>
            </w:pPr>
          </w:p>
        </w:tc>
        <w:tc>
          <w:tcPr>
            <w:tcW w:w="4340" w:type="dxa"/>
            <w:vAlign w:val="bottom"/>
            <w:tcBorders>
              <w:top w:val="single" w:sz="8" w:color="0000FF"/>
            </w:tcBorders>
            <w:gridSpan w:val="20"/>
            <w:vMerge w:val="restart"/>
          </w:tcPr>
          <w:p>
            <w:pPr>
              <w:spacing w:after="0" w:line="208" w:lineRule="exact"/>
              <w:rPr>
                <w:sz w:val="20"/>
                <w:szCs w:val="20"/>
                <w:color w:val="auto"/>
              </w:rPr>
            </w:pPr>
            <w:r>
              <w:rPr>
                <w:rFonts w:ascii="Times New Roman" w:cs="Times New Roman" w:eastAsia="Times New Roman" w:hAnsi="Times New Roman"/>
                <w:sz w:val="19"/>
                <w:szCs w:val="19"/>
                <w:color w:val="0000FF"/>
              </w:rPr>
              <w:t>of the Securities Exchange Act of 1934</w:t>
            </w:r>
          </w:p>
        </w:tc>
        <w:tc>
          <w:tcPr>
            <w:tcW w:w="32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4340" w:type="dxa"/>
            <w:vAlign w:val="bottom"/>
            <w:gridSpan w:val="20"/>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13.1**</w:t>
            </w:r>
          </w:p>
        </w:tc>
        <w:tc>
          <w:tcPr>
            <w:tcW w:w="466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Certification of Chief Executive Officer and SVP Finance</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20" w:type="dxa"/>
            <w:vAlign w:val="bottom"/>
            <w:vMerge w:val="continue"/>
          </w:tcPr>
          <w:p>
            <w:pPr>
              <w:spacing w:after="0"/>
              <w:rPr>
                <w:sz w:val="18"/>
                <w:szCs w:val="18"/>
                <w:color w:val="auto"/>
              </w:rPr>
            </w:pPr>
          </w:p>
        </w:tc>
        <w:tc>
          <w:tcPr>
            <w:tcW w:w="4180" w:type="dxa"/>
            <w:vAlign w:val="bottom"/>
            <w:tcBorders>
              <w:top w:val="single" w:sz="8" w:color="0000FF"/>
              <w:bottom w:val="single" w:sz="8" w:color="0000FF"/>
            </w:tcBorders>
            <w:gridSpan w:val="17"/>
          </w:tcPr>
          <w:p>
            <w:pPr>
              <w:spacing w:after="0" w:line="208" w:lineRule="exact"/>
              <w:rPr>
                <w:sz w:val="20"/>
                <w:szCs w:val="20"/>
                <w:color w:val="auto"/>
              </w:rPr>
            </w:pPr>
            <w:r>
              <w:rPr>
                <w:rFonts w:ascii="Times New Roman" w:cs="Times New Roman" w:eastAsia="Times New Roman" w:hAnsi="Times New Roman"/>
                <w:sz w:val="19"/>
                <w:szCs w:val="19"/>
                <w:color w:val="0000FF"/>
                <w:w w:val="97"/>
              </w:rPr>
              <w:t>Pursuant to Rule 13(a)-14(b) of the Securities Exchange</w:t>
            </w:r>
          </w:p>
        </w:tc>
        <w:tc>
          <w:tcPr>
            <w:tcW w:w="120" w:type="dxa"/>
            <w:vAlign w:val="bottom"/>
            <w:tcBorders>
              <w:top w:val="single" w:sz="8" w:color="0000FF"/>
            </w:tcBorders>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9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9"/>
                <w:szCs w:val="19"/>
                <w:color w:val="0000FF"/>
                <w:w w:val="96"/>
              </w:rPr>
              <w:t>Act of 1934</w:t>
            </w:r>
          </w:p>
        </w:tc>
        <w:tc>
          <w:tcPr>
            <w:tcW w:w="3760" w:type="dxa"/>
            <w:vAlign w:val="bottom"/>
            <w:gridSpan w:val="20"/>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15.1*</w:t>
            </w:r>
          </w:p>
        </w:tc>
        <w:tc>
          <w:tcPr>
            <w:tcW w:w="466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Consent of KPMG AG, independent registered public</w:t>
            </w:r>
          </w:p>
        </w:tc>
        <w:tc>
          <w:tcPr>
            <w:tcW w:w="10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420" w:type="dxa"/>
            <w:vAlign w:val="bottom"/>
            <w:vMerge w:val="continue"/>
          </w:tcPr>
          <w:p>
            <w:pPr>
              <w:spacing w:after="0"/>
              <w:rPr>
                <w:sz w:val="10"/>
                <w:szCs w:val="10"/>
                <w:color w:val="auto"/>
              </w:rPr>
            </w:pPr>
          </w:p>
        </w:tc>
        <w:tc>
          <w:tcPr>
            <w:tcW w:w="4000" w:type="dxa"/>
            <w:vAlign w:val="bottom"/>
            <w:tcBorders>
              <w:top w:val="single" w:sz="8" w:color="0000FF"/>
            </w:tcBorders>
            <w:gridSpan w:val="16"/>
            <w:vMerge w:val="restart"/>
          </w:tcPr>
          <w:p>
            <w:pPr>
              <w:spacing w:after="0" w:line="208" w:lineRule="exact"/>
              <w:rPr>
                <w:sz w:val="20"/>
                <w:szCs w:val="20"/>
                <w:color w:val="auto"/>
              </w:rPr>
            </w:pPr>
            <w:r>
              <w:rPr>
                <w:rFonts w:ascii="Times New Roman" w:cs="Times New Roman" w:eastAsia="Times New Roman" w:hAnsi="Times New Roman"/>
                <w:sz w:val="19"/>
                <w:szCs w:val="19"/>
                <w:color w:val="0000FF"/>
              </w:rPr>
              <w:t>accounting firm</w:t>
            </w:r>
          </w:p>
        </w:tc>
        <w:tc>
          <w:tcPr>
            <w:tcW w:w="660" w:type="dxa"/>
            <w:vAlign w:val="bottom"/>
            <w:gridSpan w:val="5"/>
            <w:vMerge w:val="restart"/>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420" w:type="dxa"/>
            <w:vAlign w:val="bottom"/>
          </w:tcPr>
          <w:p>
            <w:pPr>
              <w:spacing w:after="0"/>
              <w:rPr>
                <w:sz w:val="7"/>
                <w:szCs w:val="7"/>
                <w:color w:val="auto"/>
              </w:rPr>
            </w:pPr>
          </w:p>
        </w:tc>
        <w:tc>
          <w:tcPr>
            <w:tcW w:w="4000" w:type="dxa"/>
            <w:vAlign w:val="bottom"/>
            <w:gridSpan w:val="16"/>
            <w:vMerge w:val="continue"/>
          </w:tcPr>
          <w:p>
            <w:pPr>
              <w:spacing w:after="0"/>
              <w:rPr>
                <w:sz w:val="7"/>
                <w:szCs w:val="7"/>
                <w:color w:val="auto"/>
              </w:rPr>
            </w:pPr>
          </w:p>
        </w:tc>
        <w:tc>
          <w:tcPr>
            <w:tcW w:w="660" w:type="dxa"/>
            <w:vAlign w:val="bottom"/>
            <w:gridSpan w:val="5"/>
            <w:vMerge w:val="continue"/>
          </w:tcPr>
          <w:p>
            <w:pPr>
              <w:spacing w:after="0"/>
              <w:rPr>
                <w:sz w:val="7"/>
                <w:szCs w:val="7"/>
                <w:color w:val="auto"/>
              </w:rPr>
            </w:pPr>
          </w:p>
        </w:tc>
        <w:tc>
          <w:tcPr>
            <w:tcW w:w="10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97.1</w:t>
            </w:r>
          </w:p>
        </w:tc>
        <w:tc>
          <w:tcPr>
            <w:tcW w:w="4660" w:type="dxa"/>
            <w:vAlign w:val="bottom"/>
            <w:gridSpan w:val="21"/>
          </w:tcPr>
          <w:p>
            <w:pPr>
              <w:spacing w:after="0"/>
              <w:rPr>
                <w:rFonts w:ascii="Times New Roman" w:cs="Times New Roman" w:eastAsia="Times New Roman" w:hAnsi="Times New Roman"/>
                <w:sz w:val="19"/>
                <w:szCs w:val="19"/>
                <w:color w:val="0000FF"/>
              </w:rPr>
            </w:pPr>
            <w:hyperlink r:id="rId236">
              <w:r>
                <w:rPr>
                  <w:rFonts w:ascii="Times New Roman" w:cs="Times New Roman" w:eastAsia="Times New Roman" w:hAnsi="Times New Roman"/>
                  <w:sz w:val="19"/>
                  <w:szCs w:val="19"/>
                  <w:color w:val="0000FF"/>
                </w:rPr>
                <w:t>Incentive Compensation Recoupment Policy</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20-F</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001-40488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97.1</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3/14/2024</w:t>
            </w: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66675</wp:posOffset>
            </wp:positionV>
            <wp:extent cx="716597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178" w:name="page179"/>
    <w:bookmarkEnd w:id="178"/>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101.INS*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101.SCH*</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101.CAL*</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101.DEF*</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101.LAB*</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101.PRE*</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104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Inline XBRL Instance Document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Inline XBRL Taxonomy Extension Definition Linkbase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Inline XBRL Taxonomy Extension Label Linkbase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Cover Page Interactive Data File (formatted as inline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XBRL and contained in Exhibit 101)</w:t>
      </w:r>
    </w:p>
    <w:p>
      <w:pPr>
        <w:spacing w:after="0" w:line="732" w:lineRule="exact"/>
        <w:rPr>
          <w:sz w:val="20"/>
          <w:szCs w:val="20"/>
          <w:color w:val="auto"/>
        </w:rPr>
      </w:pPr>
    </w:p>
    <w:p>
      <w:pPr>
        <w:sectPr>
          <w:pgSz w:w="11900" w:h="16838" w:orient="portrait"/>
          <w:cols w:equalWidth="0" w:num="2">
            <w:col w:w="1260" w:space="200"/>
            <w:col w:w="9420"/>
          </w:cols>
          <w:pgMar w:left="320" w:top="1440" w:right="699" w:bottom="1440" w:gutter="0" w:footer="0" w:header="0"/>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Furnished herewith.</w:t>
      </w:r>
    </w:p>
    <w:p>
      <w:pPr>
        <w:spacing w:after="0" w:line="237" w:lineRule="exact"/>
        <w:rPr>
          <w:sz w:val="20"/>
          <w:szCs w:val="20"/>
          <w:color w:val="auto"/>
        </w:rPr>
      </w:pPr>
    </w:p>
    <w:p>
      <w:pPr>
        <w:ind w:firstLine="1"/>
        <w:spacing w:after="0" w:line="261" w:lineRule="auto"/>
        <w:tabs>
          <w:tab w:leader="none" w:pos="13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portions of this exhibit (indicated by asterisks) have been redacted because they are both not material and are the type that the Registrant treats as private or confidential.</w:t>
      </w:r>
    </w:p>
    <w:p>
      <w:pPr>
        <w:spacing w:after="0" w:line="196" w:lineRule="exact"/>
        <w:rPr>
          <w:sz w:val="20"/>
          <w:szCs w:val="20"/>
          <w:color w:val="auto"/>
        </w:rPr>
      </w:pPr>
    </w:p>
    <w:p>
      <w:pPr>
        <w:ind w:left="140" w:hanging="139"/>
        <w:spacing w:after="0"/>
        <w:tabs>
          <w:tab w:leader="none" w:pos="1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a management contract or any compensatory plan, contract or arrangement.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54" w:lineRule="exact"/>
        <w:rPr>
          <w:rFonts w:ascii="Times New Roman" w:cs="Times New Roman" w:eastAsia="Times New Roman" w:hAnsi="Times New Roman"/>
          <w:sz w:val="19"/>
          <w:szCs w:val="19"/>
          <w:color w:val="auto"/>
        </w:rPr>
      </w:pPr>
    </w:p>
    <w:p>
      <w:pPr>
        <w:ind w:left="55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type w:val="continuous"/>
        </w:sectPr>
      </w:pPr>
    </w:p>
    <w:bookmarkStart w:id="179" w:name="page180"/>
    <w:bookmarkEnd w:id="179"/>
    <w:p>
      <w:pPr>
        <w:spacing w:after="0" w:line="9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2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Molecular Partners AG</w:t>
      </w:r>
    </w:p>
    <w:p>
      <w:pPr>
        <w:spacing w:after="0" w:line="2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35560</wp:posOffset>
            </wp:positionV>
            <wp:extent cx="17049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53" w:lineRule="exact"/>
        <w:rPr>
          <w:sz w:val="20"/>
          <w:szCs w:val="20"/>
          <w:color w:val="auto"/>
        </w:rPr>
      </w:pPr>
    </w:p>
    <w:p>
      <w:pPr>
        <w:ind w:left="4760"/>
        <w:spacing w:after="0"/>
        <w:tabs>
          <w:tab w:leader="none" w:pos="51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Patrick Amstutz</w:t>
      </w:r>
    </w:p>
    <w:p>
      <w:pPr>
        <w:spacing w:after="0" w:line="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i w:val="1"/>
          <w:iCs w:val="1"/>
          <w:color w:val="auto"/>
        </w:rPr>
        <w:t>(Principal Executive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80" w:name="page181"/>
    <w:bookmarkEnd w:id="18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Index to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Financial Statements as of and for the years ended December 31, 2024 and December 31, 2023 and December 31, 2022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33"/>
        </w:trPr>
        <w:tc>
          <w:tcPr>
            <w:tcW w:w="1030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(3240)</w:t>
            </w: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300" w:type="dxa"/>
            <w:vAlign w:val="bottom"/>
            <w:gridSpan w:val="7"/>
            <w:vMerge w:val="continue"/>
          </w:tcPr>
          <w:p>
            <w:pPr>
              <w:spacing w:after="0"/>
              <w:rPr>
                <w:sz w:val="16"/>
                <w:szCs w:val="16"/>
                <w:color w:val="auto"/>
              </w:rPr>
            </w:pPr>
          </w:p>
        </w:tc>
        <w:tc>
          <w:tcPr>
            <w:tcW w:w="920" w:type="dxa"/>
            <w:vAlign w:val="bottom"/>
            <w:gridSpan w:val="3"/>
          </w:tcPr>
          <w:p>
            <w:pPr>
              <w:ind w:left="660"/>
              <w:spacing w:after="0" w:line="195" w:lineRule="exact"/>
              <w:rPr>
                <w:sz w:val="20"/>
                <w:szCs w:val="20"/>
                <w:color w:val="auto"/>
              </w:rPr>
            </w:pPr>
            <w:r>
              <w:rPr>
                <w:rFonts w:ascii="Times New Roman" w:cs="Times New Roman" w:eastAsia="Times New Roman" w:hAnsi="Times New Roman"/>
                <w:sz w:val="19"/>
                <w:szCs w:val="19"/>
                <w:color w:val="0000FF"/>
                <w:w w:val="90"/>
              </w:rPr>
              <w:t>F-2</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30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Consolidated Statement of Financial Position for the years ended December 31, 2024 and 202</w:t>
            </w:r>
            <w:r>
              <w:rPr>
                <w:rFonts w:ascii="Times New Roman" w:cs="Times New Roman" w:eastAsia="Times New Roman" w:hAnsi="Times New Roman"/>
                <w:sz w:val="19"/>
                <w:szCs w:val="19"/>
                <w:color w:val="000000"/>
              </w:rPr>
              <w:t>3</w:t>
            </w: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9"/>
                <w:szCs w:val="19"/>
                <w:color w:val="0000FF"/>
                <w:w w:val="90"/>
              </w:rPr>
              <w:t>F-4</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30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Consolidated Statement of Comprehensive Income for the years ended December 31, 2024, 2023 and 2022</w:t>
            </w: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9"/>
                <w:szCs w:val="19"/>
                <w:color w:val="0000FF"/>
                <w:w w:val="90"/>
              </w:rPr>
              <w:t>F-5</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94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 of Cash Flows for the years ended December 31, 2024, 2023 and 2022</w:t>
            </w:r>
          </w:p>
        </w:tc>
        <w:tc>
          <w:tcPr>
            <w:tcW w:w="2360" w:type="dxa"/>
            <w:vAlign w:val="bottom"/>
          </w:tcPr>
          <w:p>
            <w:pPr>
              <w:spacing w:after="0"/>
              <w:rPr>
                <w:sz w:val="22"/>
                <w:szCs w:val="22"/>
                <w:color w:val="auto"/>
              </w:rPr>
            </w:pP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9"/>
                <w:szCs w:val="19"/>
                <w:color w:val="0000FF"/>
                <w:w w:val="90"/>
              </w:rPr>
              <w:t>F-6</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30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Consolidated Statement of Changes in Equity for the years ended December 31, 2024, 2023 and 2022</w:t>
            </w: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9"/>
                <w:szCs w:val="19"/>
                <w:color w:val="0000FF"/>
                <w:w w:val="90"/>
              </w:rPr>
              <w:t>F-7</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520" w:type="dxa"/>
            <w:vAlign w:val="bottom"/>
          </w:tcPr>
          <w:p>
            <w:pPr>
              <w:spacing w:after="0"/>
              <w:rPr>
                <w:sz w:val="20"/>
                <w:szCs w:val="20"/>
                <w:color w:val="auto"/>
              </w:rPr>
            </w:pPr>
            <w:r>
              <w:rPr>
                <w:rFonts w:ascii="Times New Roman" w:cs="Times New Roman" w:eastAsia="Times New Roman" w:hAnsi="Times New Roman"/>
                <w:sz w:val="19"/>
                <w:szCs w:val="19"/>
                <w:color w:val="0000FF"/>
                <w:w w:val="97"/>
              </w:rPr>
              <w:t>Notes to the Consolidated Financial Statements</w:t>
            </w:r>
          </w:p>
        </w:tc>
        <w:tc>
          <w:tcPr>
            <w:tcW w:w="4020" w:type="dxa"/>
            <w:vAlign w:val="bottom"/>
            <w:gridSpan w:val="4"/>
          </w:tcPr>
          <w:p>
            <w:pPr>
              <w:spacing w:after="0"/>
              <w:rPr>
                <w:sz w:val="22"/>
                <w:szCs w:val="22"/>
                <w:color w:val="auto"/>
              </w:rPr>
            </w:pPr>
          </w:p>
        </w:tc>
        <w:tc>
          <w:tcPr>
            <w:tcW w:w="2760" w:type="dxa"/>
            <w:vAlign w:val="bottom"/>
            <w:gridSpan w:val="2"/>
          </w:tcPr>
          <w:p>
            <w:pPr>
              <w:spacing w:after="0"/>
              <w:rPr>
                <w:sz w:val="22"/>
                <w:szCs w:val="22"/>
                <w:color w:val="auto"/>
              </w:rPr>
            </w:pPr>
          </w:p>
        </w:tc>
        <w:tc>
          <w:tcPr>
            <w:tcW w:w="920" w:type="dxa"/>
            <w:vAlign w:val="bottom"/>
            <w:gridSpan w:val="3"/>
          </w:tcPr>
          <w:p>
            <w:pPr>
              <w:ind w:left="660"/>
              <w:spacing w:after="0"/>
              <w:rPr>
                <w:sz w:val="20"/>
                <w:szCs w:val="20"/>
                <w:color w:val="auto"/>
              </w:rPr>
            </w:pPr>
            <w:r>
              <w:rPr>
                <w:rFonts w:ascii="Times New Roman" w:cs="Times New Roman" w:eastAsia="Times New Roman" w:hAnsi="Times New Roman"/>
                <w:sz w:val="19"/>
                <w:szCs w:val="19"/>
                <w:color w:val="0000FF"/>
                <w:w w:val="90"/>
              </w:rPr>
              <w:t>F-8</w:t>
            </w:r>
          </w:p>
        </w:tc>
        <w:tc>
          <w:tcPr>
            <w:tcW w:w="0" w:type="dxa"/>
            <w:vAlign w:val="bottom"/>
          </w:tcPr>
          <w:p>
            <w:pPr>
              <w:spacing w:after="0"/>
              <w:rPr>
                <w:sz w:val="1"/>
                <w:szCs w:val="1"/>
                <w:color w:val="auto"/>
              </w:rPr>
            </w:pPr>
          </w:p>
        </w:tc>
      </w:tr>
      <w:tr>
        <w:trPr>
          <w:trHeight w:val="20"/>
        </w:trPr>
        <w:tc>
          <w:tcPr>
            <w:tcW w:w="35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66675</wp:posOffset>
            </wp:positionV>
            <wp:extent cx="716597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40" w:top="133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Molecular Partners AG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Opinion on the Consolidated Financial Statements</w:t>
      </w:r>
    </w:p>
    <w:p>
      <w:pPr>
        <w:spacing w:after="0" w:line="24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Molecular Partners AG and its subsidiary (the Group) as of December 31, 2024 and 2023, the related consolidated statement of profit or loss and other comprehensive result, cash flows, and changes in equity for each of the years in the three-year period ended December 31, 2024, and the related notes to the consolidated financial statements (collectively, the consolidated financial statements). In our opinion, the consolidated financial statements present fairly, in all material respects, the financial position of the Group as of December 31, 2024 and 2023,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2024, in conformity with IFRS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Accounting Standards (IFRS) as issued by the International Accounting Standards Board (IASB).</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Basis for Opinion</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Critical Audit Matters</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rPr>
          <w:sz w:val="20"/>
          <w:szCs w:val="20"/>
          <w:color w:val="auto"/>
        </w:rPr>
      </w:pPr>
      <w:r>
        <w:rPr>
          <w:rFonts w:ascii="Times New Roman" w:cs="Times New Roman" w:eastAsia="Times New Roman" w:hAnsi="Times New Roman"/>
          <w:sz w:val="19"/>
          <w:szCs w:val="19"/>
          <w:i w:val="1"/>
          <w:i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i w:val="1"/>
          <w:iCs w:val="1"/>
          <w:color w:val="auto"/>
        </w:rPr>
        <w:t>involved our especially challenging, subjective, or complex judgments. We determined that there are no critical audit matters.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KPMG AG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Group’s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Zurich,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0139"/>
          </w:cols>
          <w:pgMar w:left="320" w:top="1330"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7"/>
          <w:szCs w:val="27"/>
          <w:b w:val="1"/>
          <w:bCs w:val="1"/>
          <w:color w:val="auto"/>
        </w:rPr>
        <w:t>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235585</wp:posOffset>
            </wp:positionV>
            <wp:extent cx="71405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2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8"/>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4,198</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5,681</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7</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212</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28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4,247</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5,893</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3"/>
        </w:trPr>
        <w:tc>
          <w:tcPr>
            <w:tcW w:w="514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time deposits</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11</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85,565</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119,580</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9</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2,525</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3,617</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and other receivables</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10</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2,317</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1,953</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11</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63,874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67,309</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8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154,281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192,459</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1"/>
        </w:trPr>
        <w:tc>
          <w:tcPr>
            <w:tcW w:w="51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8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158,528</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198,352</w:t>
            </w:r>
          </w:p>
        </w:tc>
      </w:tr>
      <w:tr>
        <w:trPr>
          <w:trHeight w:val="26"/>
        </w:trPr>
        <w:tc>
          <w:tcPr>
            <w:tcW w:w="51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51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 and liabilities</w:t>
            </w:r>
          </w:p>
        </w:tc>
        <w:tc>
          <w:tcPr>
            <w:tcW w:w="2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capital</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12</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4,036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3,635</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384,875</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365,530</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share reserve</w:t>
            </w:r>
          </w:p>
        </w:tc>
        <w:tc>
          <w:tcPr>
            <w:tcW w:w="28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(981)</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losses</w:t>
            </w:r>
          </w:p>
        </w:tc>
        <w:tc>
          <w:tcPr>
            <w:tcW w:w="2820" w:type="dxa"/>
            <w:vAlign w:val="bottom"/>
          </w:tcPr>
          <w:p>
            <w:pPr>
              <w:spacing w:after="0"/>
              <w:rPr>
                <w:sz w:val="19"/>
                <w:szCs w:val="19"/>
                <w:color w:val="auto"/>
              </w:rPr>
            </w:pP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(246,293)</w:t>
            </w:r>
          </w:p>
        </w:tc>
        <w:tc>
          <w:tcPr>
            <w:tcW w:w="120" w:type="dxa"/>
            <w:vAlign w:val="bottom"/>
          </w:tcPr>
          <w:p>
            <w:pPr>
              <w:spacing w:after="0"/>
              <w:rPr>
                <w:sz w:val="19"/>
                <w:szCs w:val="19"/>
                <w:color w:val="auto"/>
              </w:rPr>
            </w:pPr>
          </w:p>
        </w:tc>
        <w:tc>
          <w:tcPr>
            <w:tcW w:w="15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(191,755)</w:t>
            </w:r>
          </w:p>
        </w:tc>
      </w:tr>
      <w:tr>
        <w:trPr>
          <w:trHeight w:val="26"/>
        </w:trPr>
        <w:tc>
          <w:tcPr>
            <w:tcW w:w="51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8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141,637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176,429</w:t>
            </w:r>
          </w:p>
        </w:tc>
      </w:tr>
      <w:tr>
        <w:trPr>
          <w:trHeight w:val="233"/>
        </w:trPr>
        <w:tc>
          <w:tcPr>
            <w:tcW w:w="5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22</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1,227</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2,444</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benefits</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18.1</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4,879</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5,063</w:t>
            </w:r>
          </w:p>
        </w:tc>
      </w:tr>
      <w:tr>
        <w:trPr>
          <w:trHeight w:val="26"/>
        </w:trPr>
        <w:tc>
          <w:tcPr>
            <w:tcW w:w="51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28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6,106</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7,507</w:t>
            </w:r>
          </w:p>
        </w:tc>
      </w:tr>
      <w:tr>
        <w:trPr>
          <w:trHeight w:val="253"/>
        </w:trPr>
        <w:tc>
          <w:tcPr>
            <w:tcW w:w="51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13</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1,859</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1,328</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14</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7,709</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7,547</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liability</w:t>
            </w:r>
          </w:p>
        </w:tc>
        <w:tc>
          <w:tcPr>
            <w:tcW w:w="282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15</w:t>
            </w: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4,333</w:t>
            </w: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w:t>
            </w:r>
          </w:p>
        </w:tc>
        <w:tc>
          <w:tcPr>
            <w:tcW w:w="28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22</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1,208</w:t>
            </w:r>
          </w:p>
        </w:tc>
      </w:tr>
      <w:tr>
        <w:trPr>
          <w:trHeight w:val="26"/>
        </w:trPr>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8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10,785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14,416</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8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16,891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21,923</w:t>
            </w:r>
          </w:p>
        </w:tc>
      </w:tr>
      <w:tr>
        <w:trPr>
          <w:trHeight w:val="26"/>
        </w:trPr>
        <w:tc>
          <w:tcPr>
            <w:tcW w:w="51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1"/>
        </w:trPr>
        <w:tc>
          <w:tcPr>
            <w:tcW w:w="514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 and liabilities</w:t>
            </w:r>
          </w:p>
        </w:tc>
        <w:tc>
          <w:tcPr>
            <w:tcW w:w="28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158,528</w:t>
            </w:r>
          </w:p>
        </w:tc>
        <w:tc>
          <w:tcPr>
            <w:tcW w:w="120" w:type="dxa"/>
            <w:vAlign w:val="bottom"/>
          </w:tcPr>
          <w:p>
            <w:pPr>
              <w:spacing w:after="0"/>
              <w:rPr>
                <w:sz w:val="19"/>
                <w:szCs w:val="19"/>
                <w:color w:val="auto"/>
              </w:rPr>
            </w:pP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198,352</w:t>
            </w:r>
          </w:p>
        </w:tc>
      </w:tr>
      <w:tr>
        <w:trPr>
          <w:trHeight w:val="26"/>
        </w:trPr>
        <w:tc>
          <w:tcPr>
            <w:tcW w:w="51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7"/>
          <w:szCs w:val="27"/>
          <w:b w:val="1"/>
          <w:bCs w:val="1"/>
          <w:color w:val="auto"/>
        </w:rPr>
        <w:t>Consolidated Statement of Profit or Loss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Other Comprehensive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09231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092315" cy="1587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8"/>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Note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28"/>
        </w:trPr>
        <w:tc>
          <w:tcPr>
            <w:tcW w:w="5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and other income</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from research and development collaborations</w:t>
            </w:r>
          </w:p>
        </w:tc>
        <w:tc>
          <w:tcPr>
            <w:tcW w:w="1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4,970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7,038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189,556</w:t>
            </w: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1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44</w:t>
            </w:r>
          </w:p>
        </w:tc>
      </w:tr>
      <w:tr>
        <w:trPr>
          <w:trHeight w:val="26"/>
        </w:trPr>
        <w:tc>
          <w:tcPr>
            <w:tcW w:w="54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 and other income</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w:t>
            </w:r>
          </w:p>
        </w:tc>
        <w:tc>
          <w:tcPr>
            <w:tcW w:w="14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4,970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7,038</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189,600</w:t>
            </w:r>
          </w:p>
        </w:tc>
      </w:tr>
      <w:tr>
        <w:trPr>
          <w:trHeight w:val="253"/>
        </w:trPr>
        <w:tc>
          <w:tcPr>
            <w:tcW w:w="5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(48,604)</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(48,784)</w:t>
            </w:r>
          </w:p>
        </w:tc>
        <w:tc>
          <w:tcPr>
            <w:tcW w:w="80" w:type="dxa"/>
            <w:vAlign w:val="bottom"/>
          </w:tcPr>
          <w:p>
            <w:pPr>
              <w:spacing w:after="0"/>
              <w:rPr>
                <w:sz w:val="19"/>
                <w:szCs w:val="19"/>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(50,749)</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(17,583)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(19,362)</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(22,238)</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180" w:type="dxa"/>
            <w:vAlign w:val="bottom"/>
          </w:tcPr>
          <w:p>
            <w:pPr>
              <w:spacing w:after="0"/>
              <w:rPr>
                <w:sz w:val="19"/>
                <w:szCs w:val="19"/>
                <w:color w:val="auto"/>
              </w:rPr>
            </w:pPr>
          </w:p>
        </w:tc>
        <w:tc>
          <w:tcPr>
            <w:tcW w:w="14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(66,187)</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(68,146)</w:t>
            </w:r>
          </w:p>
        </w:tc>
        <w:tc>
          <w:tcPr>
            <w:tcW w:w="80" w:type="dxa"/>
            <w:vAlign w:val="bottom"/>
          </w:tcPr>
          <w:p>
            <w:pPr>
              <w:spacing w:after="0"/>
              <w:rPr>
                <w:sz w:val="19"/>
                <w:szCs w:val="19"/>
                <w:color w:val="auto"/>
              </w:rPr>
            </w:pPr>
          </w:p>
        </w:tc>
        <w:tc>
          <w:tcPr>
            <w:tcW w:w="14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(72,987)</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3"/>
        </w:trPr>
        <w:tc>
          <w:tcPr>
            <w:tcW w:w="5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result</w:t>
            </w:r>
          </w:p>
        </w:tc>
        <w:tc>
          <w:tcPr>
            <w:tcW w:w="1180" w:type="dxa"/>
            <w:vAlign w:val="bottom"/>
          </w:tcPr>
          <w:p>
            <w:pPr>
              <w:spacing w:after="0"/>
              <w:rPr>
                <w:sz w:val="19"/>
                <w:szCs w:val="19"/>
                <w:color w:val="auto"/>
              </w:rPr>
            </w:pP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(61,217)</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(61,108)</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116,613</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3"/>
        </w:trPr>
        <w:tc>
          <w:tcPr>
            <w:tcW w:w="5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income</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19</w:t>
            </w: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7,214</w:t>
            </w:r>
          </w:p>
        </w:tc>
        <w:tc>
          <w:tcPr>
            <w:tcW w:w="10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4,279</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1,859</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expenses</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19</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(5,155)</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(619)</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finance result</w:t>
            </w:r>
          </w:p>
        </w:tc>
        <w:tc>
          <w:tcPr>
            <w:tcW w:w="1180" w:type="dxa"/>
            <w:vAlign w:val="bottom"/>
          </w:tcPr>
          <w:p>
            <w:pPr>
              <w:spacing w:after="0"/>
              <w:rPr>
                <w:sz w:val="19"/>
                <w:szCs w:val="19"/>
                <w:color w:val="auto"/>
              </w:rPr>
            </w:pPr>
          </w:p>
        </w:tc>
        <w:tc>
          <w:tcPr>
            <w:tcW w:w="14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7,176</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(876)</w:t>
            </w:r>
          </w:p>
        </w:tc>
        <w:tc>
          <w:tcPr>
            <w:tcW w:w="80" w:type="dxa"/>
            <w:vAlign w:val="bottom"/>
          </w:tcPr>
          <w:p>
            <w:pPr>
              <w:spacing w:after="0"/>
              <w:rPr>
                <w:sz w:val="19"/>
                <w:szCs w:val="19"/>
                <w:color w:val="auto"/>
              </w:rPr>
            </w:pPr>
          </w:p>
        </w:tc>
        <w:tc>
          <w:tcPr>
            <w:tcW w:w="14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1,240</w:t>
            </w:r>
          </w:p>
        </w:tc>
      </w:tr>
      <w:tr>
        <w:trPr>
          <w:trHeight w:val="26"/>
        </w:trPr>
        <w:tc>
          <w:tcPr>
            <w:tcW w:w="54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5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Result before income taxes</w:t>
            </w:r>
          </w:p>
        </w:tc>
        <w:tc>
          <w:tcPr>
            <w:tcW w:w="1180" w:type="dxa"/>
            <w:vAlign w:val="bottom"/>
          </w:tcPr>
          <w:p>
            <w:pPr>
              <w:spacing w:after="0"/>
              <w:rPr>
                <w:sz w:val="19"/>
                <w:szCs w:val="19"/>
                <w:color w:val="auto"/>
              </w:rPr>
            </w:pP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(54,041)</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(61,984)</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117,853</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3"/>
        </w:trPr>
        <w:tc>
          <w:tcPr>
            <w:tcW w:w="54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20</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4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result, attributable to shareholders</w:t>
            </w:r>
          </w:p>
        </w:tc>
        <w:tc>
          <w:tcPr>
            <w:tcW w:w="1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(54,043)</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(61,984)</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117,853</w:t>
            </w:r>
          </w:p>
        </w:tc>
      </w:tr>
      <w:tr>
        <w:trPr>
          <w:trHeight w:val="253"/>
        </w:trPr>
        <w:tc>
          <w:tcPr>
            <w:tcW w:w="5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result</w:t>
            </w:r>
          </w:p>
        </w:tc>
        <w:tc>
          <w:tcPr>
            <w:tcW w:w="1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53"/>
        </w:trPr>
        <w:tc>
          <w:tcPr>
            <w:tcW w:w="5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Items that will not be reclassified to profit or loss</w:t>
            </w:r>
          </w:p>
        </w:tc>
        <w:tc>
          <w:tcPr>
            <w:tcW w:w="1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Remeasurement of net pension liabilities, net of tax</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18.1</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(1,975)</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5,334</w:t>
            </w: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5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Items that are or may be reclassified subsequently to profit or loss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
        </w:trPr>
        <w:tc>
          <w:tcPr>
            <w:tcW w:w="5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 differences on translating foreign operations</w:t>
            </w:r>
          </w:p>
        </w:tc>
        <w:tc>
          <w:tcPr>
            <w:tcW w:w="1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(17)</w:t>
            </w:r>
          </w:p>
        </w:tc>
      </w:tr>
      <w:tr>
        <w:trPr>
          <w:trHeight w:val="253"/>
        </w:trPr>
        <w:tc>
          <w:tcPr>
            <w:tcW w:w="5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result, net of tax</w:t>
            </w:r>
          </w:p>
        </w:tc>
        <w:tc>
          <w:tcPr>
            <w:tcW w:w="1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(1,991)</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5,317</w:t>
            </w:r>
          </w:p>
        </w:tc>
      </w:tr>
      <w:tr>
        <w:trPr>
          <w:trHeight w:val="233"/>
        </w:trPr>
        <w:tc>
          <w:tcPr>
            <w:tcW w:w="54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r>
      <w:tr>
        <w:trPr>
          <w:trHeight w:val="226"/>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result, attributable to shareholders</w:t>
            </w:r>
          </w:p>
        </w:tc>
        <w:tc>
          <w:tcPr>
            <w:tcW w:w="1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(54,538)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(63,975)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123,170</w:t>
            </w:r>
          </w:p>
        </w:tc>
      </w:tr>
      <w:tr>
        <w:trPr>
          <w:trHeight w:val="253"/>
        </w:trPr>
        <w:tc>
          <w:tcPr>
            <w:tcW w:w="5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result per share (in CHF)</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3.63</w:t>
            </w: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result per share (in CHF)</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21</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3.54</w:t>
            </w:r>
          </w:p>
        </w:tc>
      </w:tr>
      <w:tr>
        <w:trPr>
          <w:trHeight w:val="26"/>
        </w:trPr>
        <w:tc>
          <w:tcPr>
            <w:tcW w:w="5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 which form an integral part of these consolidated financial statements.</w:t>
      </w:r>
    </w:p>
    <w:p>
      <w:pPr>
        <w:sectPr>
          <w:pgSz w:w="11900" w:h="16838" w:orient="portrait"/>
          <w:cols w:equalWidth="0" w:num="1">
            <w:col w:w="11180"/>
          </w:cols>
          <w:pgMar w:left="320" w:top="13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19" w:right="3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27"/>
          <w:szCs w:val="27"/>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235585</wp:posOffset>
            </wp:positionV>
            <wp:extent cx="71405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9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6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Note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0"/>
        </w:trPr>
        <w:tc>
          <w:tcPr>
            <w:tcW w:w="4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result attributable to shareholders</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(54,043)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(61,984)</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117,853</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for:</w:t>
            </w:r>
          </w:p>
        </w:tc>
        <w:tc>
          <w:tcPr>
            <w:tcW w:w="1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6/7</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2,369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2,420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2,388</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costs</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18</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4,105</w:t>
            </w:r>
          </w:p>
        </w:tc>
        <w:tc>
          <w:tcPr>
            <w:tcW w:w="10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5,207</w:t>
            </w:r>
          </w:p>
        </w:tc>
        <w:tc>
          <w:tcPr>
            <w:tcW w:w="12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5,088</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employee benefits</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1,147</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20</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income</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19</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(7,214)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(4,279)</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(1,859)</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expenses</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19</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5,155</w:t>
            </w:r>
          </w:p>
        </w:tc>
        <w:tc>
          <w:tcPr>
            <w:tcW w:w="12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619</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other current assets</w:t>
            </w:r>
          </w:p>
        </w:tc>
        <w:tc>
          <w:tcPr>
            <w:tcW w:w="16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1,424</w:t>
            </w:r>
          </w:p>
        </w:tc>
        <w:tc>
          <w:tcPr>
            <w:tcW w:w="12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1,787</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trade and other receivables</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(933)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25,264</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trade and other payables</w:t>
            </w:r>
          </w:p>
        </w:tc>
        <w:tc>
          <w:tcPr>
            <w:tcW w:w="16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(812)</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(5,339)</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contract liability</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15</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(4,333)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(5,713)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(25,190)</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accrued expenses</w:t>
            </w:r>
          </w:p>
        </w:tc>
        <w:tc>
          <w:tcPr>
            <w:tcW w:w="16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(2,434)</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 (loss) gain on working capital positions</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(98)</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168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(646)</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paid</w:t>
            </w:r>
          </w:p>
        </w:tc>
        <w:tc>
          <w:tcPr>
            <w:tcW w:w="16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financial expense</w:t>
            </w:r>
          </w:p>
        </w:tc>
        <w:tc>
          <w:tcPr>
            <w:tcW w:w="168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(14)</w:t>
            </w:r>
          </w:p>
        </w:tc>
      </w:tr>
      <w:tr>
        <w:trPr>
          <w:trHeight w:val="26"/>
        </w:trPr>
        <w:tc>
          <w:tcPr>
            <w:tcW w:w="49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from operating activities</w:t>
            </w:r>
          </w:p>
        </w:tc>
        <w:tc>
          <w:tcPr>
            <w:tcW w:w="16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(59,248)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(59,005)</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118,566</w:t>
            </w:r>
          </w:p>
        </w:tc>
      </w:tr>
      <w:tr>
        <w:trPr>
          <w:trHeight w:val="139"/>
        </w:trPr>
        <w:tc>
          <w:tcPr>
            <w:tcW w:w="4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investments in short-term time deposits</w:t>
            </w:r>
          </w:p>
        </w:tc>
        <w:tc>
          <w:tcPr>
            <w:tcW w:w="16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277,015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319,443</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199,219</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short-term time deposits</w:t>
            </w:r>
          </w:p>
        </w:tc>
        <w:tc>
          <w:tcPr>
            <w:tcW w:w="168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(240,045)</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(277,825)</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(299,417)</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property, plant and equipment</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6</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(1,177)</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7</w:t>
            </w: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(240)</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received</w:t>
            </w:r>
          </w:p>
        </w:tc>
        <w:tc>
          <w:tcPr>
            <w:tcW w:w="16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3,827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494</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from (used in) investing activities</w:t>
            </w:r>
          </w:p>
        </w:tc>
        <w:tc>
          <w:tcPr>
            <w:tcW w:w="1680" w:type="dxa"/>
            <w:vAlign w:val="bottom"/>
          </w:tcPr>
          <w:p>
            <w:pPr>
              <w:spacing w:after="0"/>
              <w:rPr>
                <w:sz w:val="19"/>
                <w:szCs w:val="19"/>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40,486</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44,637</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(101,121)</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89"/>
        </w:trPr>
        <w:tc>
          <w:tcPr>
            <w:tcW w:w="496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new shares</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12</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17,342</w:t>
            </w:r>
          </w:p>
        </w:tc>
        <w:tc>
          <w:tcPr>
            <w:tcW w:w="1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 on issue of shares</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12</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treasury shares</w:t>
            </w:r>
          </w:p>
        </w:tc>
        <w:tc>
          <w:tcPr>
            <w:tcW w:w="16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(631)</w:t>
            </w:r>
          </w:p>
        </w:tc>
      </w:tr>
      <w:tr>
        <w:trPr>
          <w:trHeight w:val="26"/>
        </w:trPr>
        <w:tc>
          <w:tcPr>
            <w:tcW w:w="4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shares under LTI plans</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12</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250</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lease liabilities</w:t>
            </w:r>
          </w:p>
        </w:tc>
        <w:tc>
          <w:tcPr>
            <w:tcW w:w="168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(1,198)</w:t>
            </w:r>
          </w:p>
        </w:tc>
        <w:tc>
          <w:tcPr>
            <w:tcW w:w="120" w:type="dxa"/>
            <w:vAlign w:val="bottom"/>
          </w:tcPr>
          <w:p>
            <w:pPr>
              <w:spacing w:after="0"/>
              <w:rPr>
                <w:sz w:val="19"/>
                <w:szCs w:val="19"/>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(1,189)</w:t>
            </w:r>
          </w:p>
        </w:tc>
      </w:tr>
      <w:tr>
        <w:trPr>
          <w:trHeight w:val="26"/>
        </w:trPr>
        <w:tc>
          <w:tcPr>
            <w:tcW w:w="49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from (used in) financing activities</w:t>
            </w:r>
          </w:p>
        </w:tc>
        <w:tc>
          <w:tcPr>
            <w:tcW w:w="16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14,433</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(1,167)</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(1,570)</w:t>
            </w:r>
          </w:p>
        </w:tc>
      </w:tr>
      <w:tr>
        <w:trPr>
          <w:trHeight w:val="27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(loss) gain on cash positions</w:t>
            </w:r>
          </w:p>
        </w:tc>
        <w:tc>
          <w:tcPr>
            <w:tcW w:w="168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Pr>
          <w:p>
            <w:pPr>
              <w:spacing w:after="0"/>
              <w:rPr>
                <w:sz w:val="24"/>
                <w:szCs w:val="24"/>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(5,102)</w:t>
            </w:r>
          </w:p>
        </w:tc>
        <w:tc>
          <w:tcPr>
            <w:tcW w:w="12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258</w:t>
            </w:r>
          </w:p>
        </w:tc>
      </w:tr>
      <w:tr>
        <w:trPr>
          <w:trHeight w:val="26"/>
        </w:trPr>
        <w:tc>
          <w:tcPr>
            <w:tcW w:w="49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16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(3,435)</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(20,637)</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16,133</w:t>
            </w:r>
          </w:p>
        </w:tc>
      </w:tr>
      <w:tr>
        <w:trPr>
          <w:trHeight w:val="27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January 1</w:t>
            </w:r>
          </w:p>
        </w:tc>
        <w:tc>
          <w:tcPr>
            <w:tcW w:w="168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67,309</w:t>
            </w:r>
          </w:p>
        </w:tc>
        <w:tc>
          <w:tcPr>
            <w:tcW w:w="10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87,946</w:t>
            </w:r>
          </w:p>
        </w:tc>
        <w:tc>
          <w:tcPr>
            <w:tcW w:w="120" w:type="dxa"/>
            <w:vAlign w:val="bottom"/>
          </w:tcPr>
          <w:p>
            <w:pPr>
              <w:spacing w:after="0"/>
              <w:rPr>
                <w:sz w:val="24"/>
                <w:szCs w:val="2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71,813</w:t>
            </w:r>
          </w:p>
        </w:tc>
      </w:tr>
      <w:tr>
        <w:trPr>
          <w:trHeight w:val="77"/>
        </w:trPr>
        <w:tc>
          <w:tcPr>
            <w:tcW w:w="4960" w:type="dxa"/>
            <w:vAlign w:val="bottom"/>
            <w:tcBorders>
              <w:bottom w:val="single" w:sz="8" w:color="CCEEFF"/>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26"/>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December 31</w:t>
            </w:r>
          </w:p>
        </w:tc>
        <w:tc>
          <w:tcPr>
            <w:tcW w:w="168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11</w:t>
            </w: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63,874</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67,309</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87,946</w:t>
            </w:r>
          </w:p>
        </w:tc>
      </w:tr>
      <w:tr>
        <w:trPr>
          <w:trHeight w:val="20"/>
        </w:trPr>
        <w:tc>
          <w:tcPr>
            <w:tcW w:w="49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 which form an integral part of these consolidated financial statements.</w:t>
      </w:r>
    </w:p>
    <w:p>
      <w:pPr>
        <w:sectPr>
          <w:pgSz w:w="11900" w:h="16838" w:orient="portrait"/>
          <w:cols w:equalWidth="0" w:num="1">
            <w:col w:w="11240"/>
          </w:cols>
          <w:pgMar w:left="320" w:top="13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27"/>
          <w:szCs w:val="27"/>
          <w:b w:val="1"/>
          <w:bCs w:val="1"/>
          <w:color w:val="auto"/>
        </w:rPr>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66675</wp:posOffset>
            </wp:positionV>
            <wp:extent cx="714057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Additional paid-in</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Treasury share</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 shareholders'</w:t>
            </w:r>
          </w:p>
        </w:tc>
      </w:tr>
      <w:tr>
        <w:trPr>
          <w:trHeight w:val="224"/>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5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14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15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Cumulative losses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January 1, 2022</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3,229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355,010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(250,950)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107,289</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result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117,853</w:t>
            </w:r>
          </w:p>
        </w:tc>
        <w:tc>
          <w:tcPr>
            <w:tcW w:w="120" w:type="dxa"/>
            <w:vAlign w:val="bottom"/>
          </w:tcPr>
          <w:p>
            <w:pPr>
              <w:spacing w:after="0"/>
              <w:rPr>
                <w:sz w:val="19"/>
                <w:szCs w:val="19"/>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117,853</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Remeasurement of net pension liabilities </w:t>
            </w:r>
            <w:r>
              <w:rPr>
                <w:rFonts w:ascii="Times New Roman" w:cs="Times New Roman" w:eastAsia="Times New Roman" w:hAnsi="Times New Roman"/>
                <w:sz w:val="21"/>
                <w:szCs w:val="21"/>
                <w:color w:val="auto"/>
                <w:vertAlign w:val="superscript"/>
              </w:rPr>
              <w:t>(1)</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5,334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5,334</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differences on translating foreign operations</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123,170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123,170</w:t>
            </w:r>
          </w:p>
        </w:tc>
      </w:tr>
      <w:tr>
        <w:trPr>
          <w:trHeight w:val="32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Share-based compensation costs </w:t>
            </w:r>
            <w:r>
              <w:rPr>
                <w:rFonts w:ascii="Times New Roman" w:cs="Times New Roman" w:eastAsia="Times New Roman" w:hAnsi="Times New Roman"/>
                <w:sz w:val="21"/>
                <w:szCs w:val="21"/>
                <w:color w:val="auto"/>
                <w:vertAlign w:val="superscript"/>
              </w:rPr>
              <w:t>(1)</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5,088</w:t>
            </w:r>
          </w:p>
        </w:tc>
        <w:tc>
          <w:tcPr>
            <w:tcW w:w="100" w:type="dxa"/>
            <w:vAlign w:val="bottom"/>
          </w:tcPr>
          <w:p>
            <w:pPr>
              <w:spacing w:after="0"/>
              <w:rPr>
                <w:sz w:val="24"/>
                <w:szCs w:val="24"/>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5,088</w:t>
            </w:r>
          </w:p>
        </w:tc>
      </w:tr>
      <w:tr>
        <w:trPr>
          <w:trHeight w:val="25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new shares, net of transaction costs</w:t>
            </w:r>
            <w:r>
              <w:rPr>
                <w:rFonts w:ascii="Times New Roman" w:cs="Times New Roman" w:eastAsia="Times New Roman" w:hAnsi="Times New Roman"/>
                <w:sz w:val="21"/>
                <w:szCs w:val="21"/>
                <w:color w:val="auto"/>
                <w:vertAlign w:val="superscript"/>
              </w:rPr>
              <w:t>(2)</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350</w:t>
            </w:r>
          </w:p>
        </w:tc>
      </w:tr>
      <w:tr>
        <w:trPr>
          <w:trHeight w:val="253"/>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Issuance of treasury shares incl. transaction costs </w:t>
            </w:r>
            <w:r>
              <w:rPr>
                <w:rFonts w:ascii="Times New Roman" w:cs="Times New Roman" w:eastAsia="Times New Roman" w:hAnsi="Times New Roman"/>
                <w:sz w:val="21"/>
                <w:szCs w:val="21"/>
                <w:color w:val="auto"/>
                <w:vertAlign w:val="superscript"/>
              </w:rPr>
              <w:t>(2)</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Pr>
          <w:p>
            <w:pPr>
              <w:spacing w:after="0"/>
              <w:rPr>
                <w:sz w:val="22"/>
                <w:szCs w:val="22"/>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(981)</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new shares under LTI plans, net of</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4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1"/>
                <w:szCs w:val="21"/>
                <w:color w:val="auto"/>
                <w:vertAlign w:val="superscript"/>
              </w:rPr>
              <w:t>(2)</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250</w:t>
            </w: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2022</w:t>
            </w:r>
          </w:p>
        </w:tc>
        <w:tc>
          <w:tcPr>
            <w:tcW w:w="13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3,604</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360,323</w:t>
            </w:r>
          </w:p>
        </w:tc>
        <w:tc>
          <w:tcPr>
            <w:tcW w:w="100" w:type="dxa"/>
            <w:vAlign w:val="bottom"/>
          </w:tcPr>
          <w:p>
            <w:pPr>
              <w:spacing w:after="0"/>
              <w:rPr>
                <w:sz w:val="19"/>
                <w:szCs w:val="19"/>
                <w:color w:val="auto"/>
              </w:rPr>
            </w:pPr>
          </w:p>
        </w:tc>
        <w:tc>
          <w:tcPr>
            <w:tcW w:w="13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7"/>
                <w:szCs w:val="17"/>
                <w:b w:val="1"/>
                <w:bCs w:val="1"/>
                <w:color w:val="auto"/>
              </w:rPr>
              <w:t>(981)</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(127,780)</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235,166</w:t>
            </w:r>
          </w:p>
        </w:tc>
      </w:tr>
      <w:tr>
        <w:trPr>
          <w:trHeight w:val="77"/>
        </w:trPr>
        <w:tc>
          <w:tcPr>
            <w:tcW w:w="38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January 1, 2023</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3,604</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360,323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(981)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(127,780)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235,166</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result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(61,984)</w:t>
            </w:r>
          </w:p>
        </w:tc>
        <w:tc>
          <w:tcPr>
            <w:tcW w:w="12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(61,984)</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Remeasurement of net pension liabilities </w:t>
            </w:r>
            <w:r>
              <w:rPr>
                <w:rFonts w:ascii="Times New Roman" w:cs="Times New Roman" w:eastAsia="Times New Roman" w:hAnsi="Times New Roman"/>
                <w:sz w:val="21"/>
                <w:szCs w:val="21"/>
                <w:color w:val="auto"/>
                <w:vertAlign w:val="superscript"/>
              </w:rPr>
              <w:t>(1)</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(1,975)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(1,975)</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differences on translating foreign operations</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(63,975)</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(63,975)</w:t>
            </w:r>
          </w:p>
        </w:tc>
      </w:tr>
      <w:tr>
        <w:trPr>
          <w:trHeight w:val="32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Share-based compensation costs </w:t>
            </w:r>
            <w:r>
              <w:rPr>
                <w:rFonts w:ascii="Times New Roman" w:cs="Times New Roman" w:eastAsia="Times New Roman" w:hAnsi="Times New Roman"/>
                <w:sz w:val="21"/>
                <w:szCs w:val="21"/>
                <w:color w:val="auto"/>
                <w:vertAlign w:val="superscript"/>
              </w:rPr>
              <w:t>(1)</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5,207</w:t>
            </w:r>
          </w:p>
        </w:tc>
        <w:tc>
          <w:tcPr>
            <w:tcW w:w="100" w:type="dxa"/>
            <w:vAlign w:val="bottom"/>
          </w:tcPr>
          <w:p>
            <w:pPr>
              <w:spacing w:after="0"/>
              <w:rPr>
                <w:sz w:val="24"/>
                <w:szCs w:val="24"/>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5,207</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new shares under LTI plans, net of</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4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1"/>
                <w:szCs w:val="21"/>
                <w:color w:val="auto"/>
                <w:vertAlign w:val="superscript"/>
              </w:rPr>
              <w:t>(2)</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3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3,635</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365,530</w:t>
            </w:r>
          </w:p>
        </w:tc>
        <w:tc>
          <w:tcPr>
            <w:tcW w:w="100" w:type="dxa"/>
            <w:vAlign w:val="bottom"/>
          </w:tcPr>
          <w:p>
            <w:pPr>
              <w:spacing w:after="0"/>
              <w:rPr>
                <w:sz w:val="19"/>
                <w:szCs w:val="19"/>
                <w:color w:val="auto"/>
              </w:rPr>
            </w:pPr>
          </w:p>
        </w:tc>
        <w:tc>
          <w:tcPr>
            <w:tcW w:w="13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7"/>
                <w:szCs w:val="17"/>
                <w:b w:val="1"/>
                <w:bCs w:val="1"/>
                <w:color w:val="auto"/>
              </w:rPr>
              <w:t>(981)</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(191,755)</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176,429</w:t>
            </w:r>
          </w:p>
        </w:tc>
      </w:tr>
      <w:tr>
        <w:trPr>
          <w:trHeight w:val="77"/>
        </w:trPr>
        <w:tc>
          <w:tcPr>
            <w:tcW w:w="38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3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January 1, 2024</w:t>
            </w: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3,635</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365,530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(981)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(191,755)</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176,429</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result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(54,043)</w:t>
            </w:r>
          </w:p>
        </w:tc>
        <w:tc>
          <w:tcPr>
            <w:tcW w:w="12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(54,043)</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Remeasurement of net pension liabilities </w:t>
            </w:r>
            <w:r>
              <w:rPr>
                <w:rFonts w:ascii="Times New Roman" w:cs="Times New Roman" w:eastAsia="Times New Roman" w:hAnsi="Times New Roman"/>
                <w:sz w:val="21"/>
                <w:szCs w:val="21"/>
                <w:color w:val="auto"/>
                <w:vertAlign w:val="superscript"/>
              </w:rPr>
              <w:t>(1)</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(485)</w:t>
            </w:r>
          </w:p>
        </w:tc>
      </w:tr>
      <w:tr>
        <w:trPr>
          <w:trHeight w:val="22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differences on translating foreign operations</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r>
      <w:tr>
        <w:trPr>
          <w:trHeight w:val="26"/>
        </w:trPr>
        <w:tc>
          <w:tcPr>
            <w:tcW w:w="3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(54,538)</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(54,538)</w:t>
            </w:r>
          </w:p>
        </w:tc>
      </w:tr>
      <w:tr>
        <w:trPr>
          <w:trHeight w:val="32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Share-based compensation costs </w:t>
            </w:r>
            <w:r>
              <w:rPr>
                <w:rFonts w:ascii="Times New Roman" w:cs="Times New Roman" w:eastAsia="Times New Roman" w:hAnsi="Times New Roman"/>
                <w:sz w:val="21"/>
                <w:szCs w:val="21"/>
                <w:color w:val="auto"/>
                <w:vertAlign w:val="superscript"/>
              </w:rPr>
              <w:t>(1)</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4,105</w:t>
            </w:r>
          </w:p>
        </w:tc>
        <w:tc>
          <w:tcPr>
            <w:tcW w:w="100" w:type="dxa"/>
            <w:vAlign w:val="bottom"/>
          </w:tcPr>
          <w:p>
            <w:pPr>
              <w:spacing w:after="0"/>
              <w:rPr>
                <w:sz w:val="24"/>
                <w:szCs w:val="24"/>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4,105</w:t>
            </w:r>
          </w:p>
        </w:tc>
      </w:tr>
      <w:tr>
        <w:trPr>
          <w:trHeight w:val="3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Issuance of new shares, net of transaction costs </w:t>
            </w:r>
            <w:r>
              <w:rPr>
                <w:rFonts w:ascii="Times New Roman" w:cs="Times New Roman" w:eastAsia="Times New Roman" w:hAnsi="Times New Roman"/>
                <w:sz w:val="21"/>
                <w:szCs w:val="21"/>
                <w:color w:val="auto"/>
                <w:vertAlign w:val="superscript"/>
              </w:rPr>
              <w:t>(2)</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15,237</w:t>
            </w:r>
          </w:p>
        </w:tc>
        <w:tc>
          <w:tcPr>
            <w:tcW w:w="1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15,601</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new shares under LTI plans, net of</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transaction costs </w:t>
            </w:r>
            <w:r>
              <w:rPr>
                <w:rFonts w:ascii="Times New Roman" w:cs="Times New Roman" w:eastAsia="Times New Roman" w:hAnsi="Times New Roman"/>
                <w:sz w:val="21"/>
                <w:szCs w:val="21"/>
                <w:color w:val="auto"/>
                <w:vertAlign w:val="superscript"/>
              </w:rPr>
              <w:t>(2)</w:t>
            </w: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1"/>
                <w:szCs w:val="21"/>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1"/>
                <w:szCs w:val="21"/>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40</w:t>
            </w:r>
          </w:p>
        </w:tc>
      </w:tr>
      <w:tr>
        <w:trPr>
          <w:trHeight w:val="22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w:t>
            </w:r>
          </w:p>
        </w:tc>
        <w:tc>
          <w:tcPr>
            <w:tcW w:w="138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4,036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384,875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b w:val="1"/>
                <w:bCs w:val="1"/>
                <w:color w:val="auto"/>
              </w:rPr>
              <w:t>(981)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(246,293)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141,637</w:t>
            </w:r>
          </w:p>
        </w:tc>
      </w:tr>
      <w:tr>
        <w:trPr>
          <w:trHeight w:val="20"/>
        </w:trPr>
        <w:tc>
          <w:tcPr>
            <w:tcW w:w="3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See note 18</w:t>
      </w: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See note 12</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7"/>
          <w:szCs w:val="27"/>
          <w:b w:val="1"/>
          <w:bCs w:val="1"/>
          <w:color w:val="auto"/>
        </w:rPr>
        <w:t>Notes to the IFRS Consolidated Financial Statements</w:t>
      </w:r>
    </w:p>
    <w:p>
      <w:pPr>
        <w:spacing w:after="0" w:line="271" w:lineRule="exact"/>
        <w:rPr>
          <w:sz w:val="20"/>
          <w:szCs w:val="20"/>
          <w:color w:val="auto"/>
        </w:rPr>
      </w:pPr>
    </w:p>
    <w:p>
      <w:pPr>
        <w:ind w:left="360" w:hanging="359"/>
        <w:spacing w:after="0"/>
        <w:tabs>
          <w:tab w:leader="none" w:pos="3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General information</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Molecular Partners AG ("Company") and its subsidiary (collectively "Molecular Partners" or, "Group") is a clinical-stage biotech company pioneering the design and development of DARPin therapeutics for medical challenges other drug modalities cannot readily address. The Company has programs in various stages of pre-clinical and clinical development, with oncology as its main focus. Molecular Partners leverages the advantages of DARPins to provide unique solutions to patients through its proprietary programs as well as through partnerships with leading pharmaceutical companies.</w:t>
      </w:r>
    </w:p>
    <w:p>
      <w:pPr>
        <w:spacing w:after="0" w:line="1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companies limited by shares (“Aktiengesellschaften”).</w:t>
      </w:r>
    </w:p>
    <w:p>
      <w:pPr>
        <w:spacing w:after="0" w:line="9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8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9"/>
          <w:szCs w:val="19"/>
          <w:color w:val="auto"/>
        </w:rPr>
        <w:t>These audited consolidated financial statements as of and for the year ended December 31, 2024 comprise Molecular Partners AG and Molecular Partners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shares are listed on the SIX Swiss Exchange (Ticker: MOLN) since November 5, 2014 and on the Nasdaq Global Select Market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(Ticker: MOLN) since June 16, 2021.</w:t>
      </w:r>
    </w:p>
    <w:p>
      <w:pPr>
        <w:spacing w:after="0" w:line="120" w:lineRule="exact"/>
        <w:rPr>
          <w:sz w:val="20"/>
          <w:szCs w:val="20"/>
          <w:color w:val="auto"/>
        </w:rPr>
      </w:pPr>
    </w:p>
    <w:p>
      <w:pPr>
        <w:ind w:right="7340" w:firstLine="1"/>
        <w:spacing w:after="0" w:line="394" w:lineRule="auto"/>
        <w:tabs>
          <w:tab w:leader="none" w:pos="354"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material accounting policies Basis of preparation</w:t>
      </w:r>
    </w:p>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These consolidated financial statements have been prepared in accordance with the IFRS® Accounting Standards ("IFRS") as issued by the IASB. The accounting policies set forth below have been consistently applied to all years presented. Unless stated otherwise, all financial statements are presented in thousands of Swiss Francs (“TCHF”).</w:t>
      </w:r>
    </w:p>
    <w:p>
      <w:pPr>
        <w:spacing w:after="0" w:line="111"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9"/>
          <w:szCs w:val="19"/>
          <w:color w:val="auto"/>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Based on the Group's cash and short-term time deposits positions at December 31, 2024, the Group deemed there to be no material uncertainties that would cast doubt on the Group's ability to operate on a going concern basis.</w:t>
      </w:r>
    </w:p>
    <w:p>
      <w:pPr>
        <w:spacing w:after="0" w:line="95"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9"/>
          <w:szCs w:val="19"/>
          <w:color w:val="auto"/>
        </w:rPr>
        <w:t>The consolidated financial statements as of and for the year ended December 31, 2024 were approved for issuance by the Company's Board of Directors on March 5,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Due to rounding, the numbers presented in the financial statements might not precisely equal those included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b w:val="1"/>
          <w:bCs w:val="1"/>
          <w:color w:val="auto"/>
        </w:rPr>
        <w:t>Basis of consolidation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Subsidiaries</w:t>
      </w:r>
    </w:p>
    <w:p>
      <w:pPr>
        <w:spacing w:after="0" w:line="13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(ii) Transactions eliminated on consolidation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Intra-group balances and transactions, and any unrealized income and expenses arising from intra-group transactions, are eliminated.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or revised IFRS standards and interpretations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new or revised standards that became effective during 2024 did not have a material effect on these consolidated financial statements:</w:t>
      </w:r>
    </w:p>
    <w:p>
      <w:pPr>
        <w:spacing w:after="0" w:line="148" w:lineRule="exact"/>
        <w:rPr>
          <w:sz w:val="20"/>
          <w:szCs w:val="20"/>
          <w:color w:val="auto"/>
        </w:rPr>
      </w:pPr>
    </w:p>
    <w:p>
      <w:pPr>
        <w:ind w:left="220" w:hanging="219"/>
        <w:spacing w:after="0"/>
        <w:tabs>
          <w:tab w:leader="none" w:pos="2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Liability in a sales and Leaseback - Amendments to IFRS 16</w:t>
      </w:r>
    </w:p>
    <w:p>
      <w:pPr>
        <w:spacing w:after="0" w:line="136" w:lineRule="exact"/>
        <w:rPr>
          <w:rFonts w:ascii="Times New Roman" w:cs="Times New Roman" w:eastAsia="Times New Roman" w:hAnsi="Times New Roman"/>
          <w:sz w:val="19"/>
          <w:szCs w:val="19"/>
          <w:color w:val="auto"/>
        </w:rPr>
      </w:pPr>
    </w:p>
    <w:p>
      <w:pPr>
        <w:ind w:left="220" w:hanging="219"/>
        <w:spacing w:after="0"/>
        <w:tabs>
          <w:tab w:leader="none" w:pos="2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Statement of Cash flows - Amendments to IAS 7</w:t>
      </w:r>
    </w:p>
    <w:p>
      <w:pPr>
        <w:spacing w:after="0" w:line="148" w:lineRule="exact"/>
        <w:rPr>
          <w:rFonts w:ascii="Times New Roman" w:cs="Times New Roman" w:eastAsia="Times New Roman" w:hAnsi="Times New Roman"/>
          <w:sz w:val="19"/>
          <w:szCs w:val="19"/>
          <w:color w:val="auto"/>
        </w:rPr>
      </w:pPr>
    </w:p>
    <w:p>
      <w:pPr>
        <w:ind w:left="220" w:hanging="219"/>
        <w:spacing w:after="0"/>
        <w:tabs>
          <w:tab w:leader="none" w:pos="2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Financials Instruments disclosures - amendments to IFRS 7</w:t>
      </w:r>
    </w:p>
    <w:p>
      <w:pPr>
        <w:spacing w:after="0" w:line="136" w:lineRule="exact"/>
        <w:rPr>
          <w:rFonts w:ascii="Times New Roman" w:cs="Times New Roman" w:eastAsia="Times New Roman" w:hAnsi="Times New Roman"/>
          <w:sz w:val="19"/>
          <w:szCs w:val="19"/>
          <w:color w:val="auto"/>
        </w:rPr>
      </w:pPr>
    </w:p>
    <w:p>
      <w:pPr>
        <w:ind w:left="220" w:hanging="219"/>
        <w:spacing w:after="0"/>
        <w:tabs>
          <w:tab w:leader="none" w:pos="2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Classification of Liabilities - Amendments to IAS 1</w:t>
      </w:r>
    </w:p>
    <w:p>
      <w:pPr>
        <w:spacing w:after="0" w:line="13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9"/>
          <w:szCs w:val="19"/>
          <w:color w:val="auto"/>
        </w:rPr>
        <w:t>Several new or revised standards have been published that are not yet effective and that have not been early adopted. Possible impacts have not yet been assessed but are anticipated to be immaterial.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14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The Group operates in one segment, focusing on the discovery, development and prospective commercialization of a new class of biopharmaceutical products. The executive management, acting together as the chief operating decision maker,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 / transactions</w:t>
      </w:r>
    </w:p>
    <w:p>
      <w:pPr>
        <w:spacing w:after="0" w:line="1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results and financial position of foreign operations that have a functional currency different from the presentation currency are translated into the presentation currency as follows:</w:t>
      </w:r>
    </w:p>
    <w:p>
      <w:pPr>
        <w:spacing w:after="0" w:line="107" w:lineRule="exact"/>
        <w:rPr>
          <w:sz w:val="20"/>
          <w:szCs w:val="20"/>
          <w:color w:val="auto"/>
        </w:rPr>
      </w:pPr>
    </w:p>
    <w:p>
      <w:pPr>
        <w:ind w:left="300" w:hanging="299"/>
        <w:spacing w:after="0"/>
        <w:tabs>
          <w:tab w:leader="none" w:pos="3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assets and liabilities are translated at the closing rate at the date of the respective balance sheet;</w:t>
      </w:r>
    </w:p>
    <w:p>
      <w:pPr>
        <w:spacing w:after="0" w:line="136" w:lineRule="exact"/>
        <w:rPr>
          <w:rFonts w:ascii="Times New Roman" w:cs="Times New Roman" w:eastAsia="Times New Roman" w:hAnsi="Times New Roman"/>
          <w:sz w:val="19"/>
          <w:szCs w:val="19"/>
          <w:color w:val="auto"/>
        </w:rPr>
      </w:pPr>
    </w:p>
    <w:p>
      <w:pPr>
        <w:ind w:left="300" w:right="380" w:hanging="299"/>
        <w:spacing w:after="0" w:line="261" w:lineRule="auto"/>
        <w:tabs>
          <w:tab w:leader="none" w:pos="28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income and expenses for each consolidated statement of profit or loss and other comprehensive result are translated at average exchange rates (unless this is not a reasonable approximation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9" w:right="379" w:bottom="1440" w:gutter="0" w:footer="0" w:header="0"/>
        </w:sectPr>
      </w:pPr>
    </w:p>
    <w:bookmarkStart w:id="189" w:name="page190"/>
    <w:bookmarkEnd w:id="189"/>
    <w:p>
      <w:pPr>
        <w:ind w:left="300" w:right="360"/>
        <w:spacing w:after="0" w:line="275" w:lineRule="auto"/>
        <w:rPr>
          <w:sz w:val="20"/>
          <w:szCs w:val="20"/>
          <w:color w:val="auto"/>
        </w:rPr>
      </w:pPr>
      <w:r>
        <w:rPr>
          <w:rFonts w:ascii="Times New Roman" w:cs="Times New Roman" w:eastAsia="Times New Roman" w:hAnsi="Times New Roman"/>
          <w:sz w:val="19"/>
          <w:szCs w:val="19"/>
          <w:color w:val="auto"/>
        </w:rPr>
        <w:t>cumulative effect of the rates prevailing on the transaction dates, in which case income and expenses are translated at the exchange rates at the dates of the transactions); and</w:t>
      </w:r>
    </w:p>
    <w:p>
      <w:pPr>
        <w:spacing w:after="0" w:line="82" w:lineRule="exact"/>
        <w:rPr>
          <w:sz w:val="20"/>
          <w:szCs w:val="20"/>
          <w:color w:val="auto"/>
        </w:rPr>
      </w:pPr>
    </w:p>
    <w:p>
      <w:pPr>
        <w:ind w:left="300" w:hanging="299"/>
        <w:spacing w:after="0"/>
        <w:tabs>
          <w:tab w:leader="none" w:pos="3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resulting exchange differences are recognized in other comprehensive result.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14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Laboratory equipment:</w:t>
            </w:r>
          </w:p>
        </w:tc>
        <w:tc>
          <w:tcPr>
            <w:tcW w:w="5020" w:type="dxa"/>
            <w:vAlign w:val="bottom"/>
            <w:tcBorders>
              <w:top w:val="single" w:sz="8" w:color="auto"/>
              <w:bottom w:val="single" w:sz="8" w:color="CCEEFF"/>
            </w:tcBorders>
            <w:shd w:val="clear" w:color="auto" w:fill="CCEEFF"/>
          </w:tcPr>
          <w:p>
            <w:pPr>
              <w:ind w:left="4480"/>
              <w:spacing w:after="0"/>
              <w:rPr>
                <w:sz w:val="20"/>
                <w:szCs w:val="20"/>
                <w:color w:val="auto"/>
              </w:rPr>
            </w:pPr>
            <w:r>
              <w:rPr>
                <w:rFonts w:ascii="Times New Roman" w:cs="Times New Roman" w:eastAsia="Times New Roman" w:hAnsi="Times New Roman"/>
                <w:sz w:val="19"/>
                <w:szCs w:val="19"/>
                <w:color w:val="auto"/>
                <w:w w:val="95"/>
              </w:rPr>
              <w:t>5 years</w:t>
            </w:r>
          </w:p>
        </w:tc>
      </w:tr>
      <w:tr>
        <w:trPr>
          <w:trHeight w:val="246"/>
        </w:trPr>
        <w:tc>
          <w:tcPr>
            <w:tcW w:w="6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Office equipment:</w:t>
            </w:r>
          </w:p>
        </w:tc>
        <w:tc>
          <w:tcPr>
            <w:tcW w:w="5020" w:type="dxa"/>
            <w:vAlign w:val="bottom"/>
          </w:tcPr>
          <w:p>
            <w:pPr>
              <w:ind w:left="4480"/>
              <w:spacing w:after="0"/>
              <w:rPr>
                <w:sz w:val="20"/>
                <w:szCs w:val="20"/>
                <w:color w:val="auto"/>
              </w:rPr>
            </w:pPr>
            <w:r>
              <w:rPr>
                <w:rFonts w:ascii="Times New Roman" w:cs="Times New Roman" w:eastAsia="Times New Roman" w:hAnsi="Times New Roman"/>
                <w:sz w:val="19"/>
                <w:szCs w:val="19"/>
                <w:color w:val="auto"/>
                <w:w w:val="95"/>
              </w:rPr>
              <w:t>3 years</w:t>
            </w:r>
          </w:p>
        </w:tc>
      </w:tr>
      <w:tr>
        <w:trPr>
          <w:trHeight w:val="33"/>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IT hardware:</w:t>
            </w:r>
          </w:p>
        </w:tc>
        <w:tc>
          <w:tcPr>
            <w:tcW w:w="5020" w:type="dxa"/>
            <w:vAlign w:val="bottom"/>
            <w:tcBorders>
              <w:bottom w:val="single" w:sz="8" w:color="CCEEFF"/>
            </w:tcBorders>
            <w:shd w:val="clear" w:color="auto" w:fill="CCEEFF"/>
          </w:tcPr>
          <w:p>
            <w:pPr>
              <w:ind w:left="4480"/>
              <w:spacing w:after="0"/>
              <w:rPr>
                <w:sz w:val="20"/>
                <w:szCs w:val="20"/>
                <w:color w:val="auto"/>
              </w:rPr>
            </w:pPr>
            <w:r>
              <w:rPr>
                <w:rFonts w:ascii="Times New Roman" w:cs="Times New Roman" w:eastAsia="Times New Roman" w:hAnsi="Times New Roman"/>
                <w:sz w:val="19"/>
                <w:szCs w:val="19"/>
                <w:color w:val="auto"/>
                <w:w w:val="95"/>
              </w:rPr>
              <w:t>2 years</w:t>
            </w:r>
          </w:p>
        </w:tc>
      </w:tr>
      <w:tr>
        <w:trPr>
          <w:trHeight w:val="20"/>
        </w:trPr>
        <w:tc>
          <w:tcPr>
            <w:tcW w:w="6220" w:type="dxa"/>
            <w:vAlign w:val="bottom"/>
            <w:shd w:val="clear" w:color="auto" w:fill="000000"/>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9"/>
          <w:szCs w:val="19"/>
          <w:color w:val="auto"/>
        </w:rPr>
        <w:t>Leasehold improvements and right-of-use assets are depreciated using the straight-line method over the shorter of their estimated useful life and the lease term.</w:t>
      </w:r>
    </w:p>
    <w:p>
      <w:pPr>
        <w:spacing w:after="0" w:line="1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9"/>
          <w:szCs w:val="19"/>
          <w:color w:val="auto"/>
        </w:rPr>
        <w:t>The assets’ residual values and useful lives are reviewed, and adjusted if appropriate, at each reporting date. An asset’s carrying amount is written down to its recoverable amount, if the asset's carrying amount exceeds its estimated recoverable amount.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46" w:lineRule="exact"/>
        <w:rPr>
          <w:sz w:val="20"/>
          <w:szCs w:val="20"/>
          <w:color w:val="auto"/>
        </w:rPr>
      </w:pPr>
    </w:p>
    <w:p>
      <w:pPr>
        <w:jc w:val="both"/>
        <w:ind w:right="60"/>
        <w:spacing w:after="0" w:line="276" w:lineRule="auto"/>
        <w:rPr>
          <w:sz w:val="20"/>
          <w:szCs w:val="20"/>
          <w:color w:val="auto"/>
        </w:rPr>
      </w:pPr>
      <w:r>
        <w:rPr>
          <w:rFonts w:ascii="Times New Roman" w:cs="Times New Roman" w:eastAsia="Times New Roman" w:hAnsi="Times New Roman"/>
          <w:sz w:val="18"/>
          <w:szCs w:val="18"/>
          <w:color w:val="auto"/>
        </w:rPr>
        <w:t>Intangible assets are solely comprised of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4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(threshold of CHF 5,000) and short-term leases. Short-term leases are leases with a lease term of twelve months or less that do not contain a purchase option. For all other leases the Group recognizes a right-of-use asset and a lease liability at the lease commencement date.</w:t>
      </w:r>
    </w:p>
    <w:p>
      <w:pPr>
        <w:spacing w:after="0" w:line="108" w:lineRule="exact"/>
        <w:rPr>
          <w:sz w:val="20"/>
          <w:szCs w:val="20"/>
          <w:color w:val="auto"/>
        </w:rPr>
      </w:pPr>
    </w:p>
    <w:p>
      <w:pPr>
        <w:jc w:val="both"/>
        <w:ind w:right="540"/>
        <w:spacing w:after="0" w:line="256" w:lineRule="auto"/>
        <w:rPr>
          <w:sz w:val="20"/>
          <w:szCs w:val="20"/>
          <w:color w:val="auto"/>
        </w:rPr>
      </w:pPr>
      <w:r>
        <w:rPr>
          <w:rFonts w:ascii="Times New Roman" w:cs="Times New Roman" w:eastAsia="Times New Roman" w:hAnsi="Times New Roman"/>
          <w:sz w:val="19"/>
          <w:szCs w:val="19"/>
          <w:color w:val="auto"/>
        </w:rPr>
        <w:t>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assets at amortized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Classification</w:t>
      </w:r>
    </w:p>
    <w:p>
      <w:pPr>
        <w:spacing w:after="0" w:line="14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9"/>
          <w:szCs w:val="19"/>
          <w:color w:val="auto"/>
        </w:rPr>
        <w:t>Cash and cash equivalents / short-term deposits / trade and other receivables (except for VAT and withholding taxes) (and when applicable accrued interest income) are all considered held-to-collect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9"/>
          <w:szCs w:val="19"/>
          <w:color w:val="auto"/>
        </w:rPr>
        <w:t>and are labeled under financial assets measured at amortized costs, with the following definition / accounting policy:</w:t>
      </w:r>
    </w:p>
    <w:p>
      <w:pPr>
        <w:spacing w:after="0" w:line="136"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9"/>
          <w:szCs w:val="19"/>
          <w:color w:val="auto"/>
        </w:rPr>
        <w:t>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w:t>
      </w:r>
    </w:p>
    <w:p>
      <w:pPr>
        <w:spacing w:after="0" w:line="11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9"/>
          <w:szCs w:val="19"/>
          <w:color w:val="auto"/>
        </w:rPr>
        <w:t>They arise when the Group provides money, goods or services directly to a debtor with no intention of trading the receivable. They are included in current assets, except for maturities longer than 12 months after the balance sheet date which are classified as non-current assets. Interest income on the short-term deposit is accounted for on the statement of comprehensive income as financial income.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Measurement</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w:t>
      </w:r>
    </w:p>
    <w:p>
      <w:pPr>
        <w:spacing w:after="0" w:line="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Subsequent measurement for the financial assets mentioned above which are classified as measured at amortized cost, is based on the effective interest method, reduced by any impairment loss.</w:t>
      </w:r>
    </w:p>
    <w:p>
      <w:pPr>
        <w:spacing w:after="0" w:line="8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9"/>
          <w:szCs w:val="19"/>
          <w:color w:val="auto"/>
        </w:rPr>
        <w:t>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accounts for the specific circumstances of the customer (e.g., credit rating etc.), and other relevant factors such as the economic environment.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financial assets at amortized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receivables generally arise from transactions outside the usual operating activities of the Group.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liabilities at amortized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Trade payables and non-employee related accrued expense are measured at amortized costs and classified as financial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4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9"/>
          <w:szCs w:val="19"/>
          <w:color w:val="auto"/>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capital / Additional paid-in capital</w:t>
      </w:r>
    </w:p>
    <w:p>
      <w:pPr>
        <w:spacing w:after="0" w:line="14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color w:val="auto"/>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shares</w:t>
      </w:r>
    </w:p>
    <w:p>
      <w:pPr>
        <w:spacing w:after="0" w:line="14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9"/>
          <w:szCs w:val="19"/>
          <w:color w:val="auto"/>
        </w:rPr>
        <w:t>The amount of the consideration paid for the acquisition of treasury shares, which includes directly attributable costs, is recognized as a deduction from equity. When treasury shares are sold subsequently,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91" w:name="page192"/>
    <w:bookmarkEnd w:id="191"/>
    <w:p>
      <w:pPr>
        <w:ind w:right="420"/>
        <w:spacing w:after="0" w:line="275" w:lineRule="auto"/>
        <w:rPr>
          <w:sz w:val="20"/>
          <w:szCs w:val="20"/>
          <w:color w:val="auto"/>
        </w:rPr>
      </w:pPr>
      <w:r>
        <w:rPr>
          <w:rFonts w:ascii="Times New Roman" w:cs="Times New Roman" w:eastAsia="Times New Roman" w:hAnsi="Times New Roman"/>
          <w:sz w:val="19"/>
          <w:szCs w:val="19"/>
          <w:color w:val="auto"/>
        </w:rPr>
        <w:t>the amount received is recognized as an increase in equity, and the resulting surplus or deficit on the transaction is presented in additional paid-in capital.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Income taxes include current and deferred taxes. Current income taxes are recognized on taxable profits at applicable tax rates.</w:t>
      </w:r>
    </w:p>
    <w:p>
      <w:pPr>
        <w:spacing w:after="0" w:line="136"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9"/>
          <w:szCs w:val="19"/>
          <w:color w:val="auto"/>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spacing w:after="0" w:line="10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spacing w:after="0" w:line="12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9"/>
          <w:szCs w:val="19"/>
          <w:color w:val="auto"/>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Molecular Partners Inc., the Group's U.S. subsidiary, is subject to statutory U.S. federal corporate income taxes and Massachusetts and New York state minimal tax.</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benefits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Postretirement benefits (pension plans)</w:t>
      </w:r>
    </w:p>
    <w:p>
      <w:pPr>
        <w:spacing w:after="0" w:line="15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9"/>
          <w:szCs w:val="19"/>
          <w:color w:val="auto"/>
        </w:rPr>
        <w:t>The Company provides retirement, death and disability benefits to its Swiss employees in line with local customs and requirements through two separate plans, which are both accounted for as defined benefit plans.</w:t>
      </w:r>
    </w:p>
    <w:p>
      <w:pPr>
        <w:spacing w:after="0" w:line="9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first plan is the compulsory defined benefit plan which is funded through employer (60%) and employee (40%) contributions to the Swiss pension fund VSAO (to which the Company is affiliated). This Company-wide plan has been in place since inception of the Company and all employees of the Company are eligible to its benefits (if all the conditions for admission according to the pension fund regulations are fulfilled, e.g. working duration of more than one month etc.) On retirement, the plan participant will receive the accumulated savings, which consist of a transfer-in at entry, all savings contributions paid in by the employer and the employee (net of any withdrawals) and the interest granted on those savings at the discretion of the pension foundation.</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At that time, the plan participant has the right to choose between a lump-sum payment and an annuity, or a combination thereof. The annuity is calculated using a fixed conversion rate (dependent on the retirement age) determined by the pension foundation. The VSAO’s plan assets are pooled and the Company’s share is calculated based on its share of retirement savings and actuarial reserves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92" w:name="page193"/>
    <w:bookmarkEnd w:id="192"/>
    <w:p>
      <w:pPr>
        <w:ind w:right="460"/>
        <w:spacing w:after="0" w:line="275" w:lineRule="auto"/>
        <w:rPr>
          <w:sz w:val="20"/>
          <w:szCs w:val="20"/>
          <w:color w:val="auto"/>
        </w:rPr>
      </w:pPr>
      <w:r>
        <w:rPr>
          <w:rFonts w:ascii="Times New Roman" w:cs="Times New Roman" w:eastAsia="Times New Roman" w:hAnsi="Times New Roman"/>
          <w:sz w:val="19"/>
          <w:szCs w:val="19"/>
          <w:color w:val="auto"/>
        </w:rPr>
        <w:t>annuities. Additional funding requirements may be determined by the pension foundation in case of a severe underfunding. Should the Company withdraw from the plan, the withdrawal may qualify as a partial liquidation under Swiss law.</w:t>
      </w:r>
    </w:p>
    <w:p>
      <w:pPr>
        <w:spacing w:after="0" w:line="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The second plan is a voluntary complementary defined management benefit scheme established as of January 1, 2014, in which only employees with a certain management level and / or above a certain salary level are eligible to participate. 33 of the 33 eligible employees participated in this plan as of December 31, 2024 (December 31, 2023: 29 out of 29).</w:t>
      </w:r>
    </w:p>
    <w:p>
      <w:pPr>
        <w:spacing w:after="0" w:line="9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auto"/>
        </w:rPr>
        <w:t>This plan is set up by affiliation to a collective foundation of Swiss Life, a Switzerland-based insurance company, for which contributions are 30% funded by the employee and 70% funded by the Company. The purpose of this voluntary plan is to allow higher (entirely extra-mandatory) retirement savings opportunity in a tax effective manner and higher risk benefits for the senior management. In addition, plan participants are entitled to a lump sum payment of at least five times of their annual insured salary in case of death. This is a fully insured Swiss pension plan that covers all investment and actuarial risks, including invalidity and death.</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 pension plan of VSAO accounts for over 90% of both the Company’s defined benefit obligation and plan assets. The net liability recognized in the statement of financial position in respect of defined benefit pension plans is the total defined benefit obligation at the balance sheet date less the fair value of plan assets.</w:t>
      </w:r>
    </w:p>
    <w:p>
      <w:pPr>
        <w:spacing w:after="0" w:line="9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The defined benefit obligation (DBO) is calculated quarterly by independent actuaries using the projected unit credit method. According to this method, an additional unit of pension benefits is earned each year. In the case of active plan participants, the DBO corresponds to the present value of retirement, survivors', disability, and termination benefits at the valuation day. The DBO of retirees corresponds to the present value of the current annuities, possibly including future pension increases. Pension liabilities are determined on an actuarial basis using a number of assumptions, such as the discount rate and the expected long-term salary increase rate applied to determine the defined benefit obligation. The estimation of the fair value of plan assets attributable to the Company depends on the coverage ratio and technical bases and provisions of the pension fund VSAO. In determining the appropriate discount rate, for example, the Company considers the interest rates of high-quality corporate bonds that are denominated in the currency in which the benefits will be paid, and that have terms to maturity approximating the terms of the related pension liabilities. In determining the fair value of plan assets, the Company adds to the participants’ savings a share of the pension fund VSAO’s technical and fluctuation reserves. Additional information is disclosed in note 18.1.</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 (OCI).</w:t>
      </w:r>
    </w:p>
    <w:p>
      <w:pPr>
        <w:spacing w:after="0" w:line="99"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9"/>
          <w:szCs w:val="19"/>
          <w:color w:val="auto"/>
        </w:rPr>
        <w:t>The Group has set up a 401k plan for its U.S. based employees. Under the plan the U.S. entity matches the employee's contribution and provides a true-up in matched contributions at year end. The 401k plan qualifies as a defined contribution plan and the associated expenses, that are deemed immaterial, are presented under operating expenses in the statement of comprehensive income.</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The Group has set up a defined contribution plan for its UK based employees. Under the plan the Company and the employee both contribute into the plan. The associated expenses, that are deemed immaterial, are presented under operating expenses in the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9"/>
          <w:szCs w:val="19"/>
          <w:b w:val="1"/>
          <w:bCs w:val="1"/>
          <w:i w:val="1"/>
          <w:iCs w:val="1"/>
          <w:color w:val="auto"/>
        </w:rPr>
        <w:t>Share-based compensation</w:t>
      </w:r>
    </w:p>
    <w:p>
      <w:pPr>
        <w:spacing w:after="0" w:line="14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any proceeds received net of any directly attributable transaction costs are credited to share capital (nominal value) and additional paid-in capital.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Bonus plan</w:t>
      </w:r>
    </w:p>
    <w:p>
      <w:pPr>
        <w:spacing w:after="0" w:line="14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9"/>
          <w:szCs w:val="19"/>
          <w:color w:val="auto"/>
        </w:rPr>
        <w:t>The Group recognizes an accrual where contractually obliged or where there is a past practice that has created a constructive obligation. Bonuses are based on a formula that takes into consideration the achievement of the Group’s goals.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4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for upfront payments or at a point in time for milestone payments and development option payments. Payments received in excess of revenue recognized are recorded as contract liabilities.</w:t>
      </w:r>
    </w:p>
    <w:p>
      <w:pPr>
        <w:spacing w:after="0" w:line="11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Revenues may include fees such as upfront payments received in connection with out-licensing of products and/or access the knowledge without transfer of a license as well as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an input-based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spacing w:after="0" w:line="1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94" w:name="page195"/>
    <w:bookmarkEnd w:id="194"/>
    <w:p>
      <w:pPr>
        <w:ind w:right="520"/>
        <w:spacing w:after="0" w:line="275" w:lineRule="auto"/>
        <w:rPr>
          <w:sz w:val="20"/>
          <w:szCs w:val="20"/>
          <w:color w:val="auto"/>
        </w:rPr>
      </w:pPr>
      <w:r>
        <w:rPr>
          <w:rFonts w:ascii="Times New Roman" w:cs="Times New Roman" w:eastAsia="Times New Roman" w:hAnsi="Times New Roman"/>
          <w:sz w:val="19"/>
          <w:szCs w:val="19"/>
          <w:color w:val="auto"/>
        </w:rPr>
        <w:t>remaining performance obligations for the Group. Consequently, the related revenues are typically recognized at a point in time, either when the milestone is met or the option is exercised by the customer.</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w:t>
      </w:r>
    </w:p>
    <w:p>
      <w:pPr>
        <w:spacing w:after="0" w:line="10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8"/>
          <w:szCs w:val="18"/>
          <w:color w:val="auto"/>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spacing w:after="0" w:line="8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8"/>
          <w:szCs w:val="18"/>
          <w:color w:val="auto"/>
        </w:rPr>
        <w:t>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45"/>
        </w:trPr>
        <w:tc>
          <w:tcPr>
            <w:tcW w:w="230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Type of payments received</w:t>
            </w:r>
          </w:p>
        </w:tc>
        <w:tc>
          <w:tcPr>
            <w:tcW w:w="8940" w:type="dxa"/>
            <w:vAlign w:val="bottom"/>
          </w:tcPr>
          <w:p>
            <w:pPr>
              <w:ind w:left="3320"/>
              <w:spacing w:after="0"/>
              <w:rPr>
                <w:sz w:val="20"/>
                <w:szCs w:val="20"/>
                <w:color w:val="auto"/>
              </w:rPr>
            </w:pPr>
            <w:r>
              <w:rPr>
                <w:rFonts w:ascii="Times New Roman" w:cs="Times New Roman" w:eastAsia="Times New Roman" w:hAnsi="Times New Roman"/>
                <w:sz w:val="19"/>
                <w:szCs w:val="19"/>
                <w:b w:val="1"/>
                <w:bCs w:val="1"/>
                <w:color w:val="auto"/>
              </w:rPr>
              <w:t>Timing of revenue recognition</w:t>
            </w:r>
          </w:p>
        </w:tc>
      </w:tr>
      <w:tr>
        <w:trPr>
          <w:trHeight w:val="33"/>
        </w:trPr>
        <w:tc>
          <w:tcPr>
            <w:tcW w:w="23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r>
      <w:tr>
        <w:trPr>
          <w:trHeight w:val="225"/>
        </w:trPr>
        <w:tc>
          <w:tcPr>
            <w:tcW w:w="2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 recognition of</w:t>
            </w: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8"/>
              </w:rPr>
              <w:t>Upfront payments received in connection with out-licensing arrangements are typically non-refundable fees for which</w:t>
            </w:r>
          </w:p>
        </w:tc>
      </w:tr>
      <w:tr>
        <w:trPr>
          <w:trHeight w:val="215"/>
        </w:trPr>
        <w:tc>
          <w:tcPr>
            <w:tcW w:w="2300" w:type="dxa"/>
            <w:vAlign w:val="bottom"/>
          </w:tcPr>
          <w:p>
            <w:pPr>
              <w:ind w:left="20"/>
              <w:spacing w:after="0" w:line="215" w:lineRule="exact"/>
              <w:rPr>
                <w:sz w:val="20"/>
                <w:szCs w:val="20"/>
                <w:color w:val="auto"/>
              </w:rPr>
            </w:pPr>
            <w:r>
              <w:rPr>
                <w:rFonts w:ascii="Times New Roman" w:cs="Times New Roman" w:eastAsia="Times New Roman" w:hAnsi="Times New Roman"/>
                <w:sz w:val="19"/>
                <w:szCs w:val="19"/>
                <w:color w:val="auto"/>
              </w:rPr>
              <w:t>upfront payments</w:t>
            </w: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the Group does not transfer a good or a service to the customer, rather the upfront payments consists of an advance</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payment for future services and/or an acquisition of the right to the current or future access to the underlying</w:t>
            </w:r>
          </w:p>
        </w:tc>
      </w:tr>
      <w:tr>
        <w:trPr>
          <w:trHeight w:val="215"/>
        </w:trPr>
        <w:tc>
          <w:tcPr>
            <w:tcW w:w="2300" w:type="dxa"/>
            <w:vAlign w:val="bottom"/>
          </w:tcPr>
          <w:p>
            <w:pPr>
              <w:spacing w:after="0"/>
              <w:rPr>
                <w:sz w:val="18"/>
                <w:szCs w:val="18"/>
                <w:color w:val="auto"/>
              </w:rPr>
            </w:pP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intellectual property of the Group. For such arrangements, the Group has determined that the promised goods and</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services are not distinct and are accounted for as one performance obligation. The Group recognizes revenue for this</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9"/>
              </w:rPr>
              <w:t>performance obligation over time using an input based method to measure its progress towards complete satisfaction</w:t>
            </w:r>
          </w:p>
        </w:tc>
      </w:tr>
      <w:tr>
        <w:trPr>
          <w:trHeight w:val="241"/>
        </w:trPr>
        <w:tc>
          <w:tcPr>
            <w:tcW w:w="230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of the performance obligation.</w:t>
            </w:r>
          </w:p>
        </w:tc>
      </w:tr>
      <w:tr>
        <w:trPr>
          <w:trHeight w:val="303"/>
        </w:trPr>
        <w:tc>
          <w:tcPr>
            <w:tcW w:w="2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 recognition of</w:t>
            </w: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8"/>
              </w:rPr>
              <w:t>Milestone payments received in connection with out-licensing or other arrangements are typically non-refundable fees</w:t>
            </w:r>
          </w:p>
        </w:tc>
      </w:tr>
      <w:tr>
        <w:trPr>
          <w:trHeight w:val="215"/>
        </w:trPr>
        <w:tc>
          <w:tcPr>
            <w:tcW w:w="2300" w:type="dxa"/>
            <w:vAlign w:val="bottom"/>
          </w:tcPr>
          <w:p>
            <w:pPr>
              <w:ind w:left="20"/>
              <w:spacing w:after="0" w:line="215" w:lineRule="exact"/>
              <w:rPr>
                <w:sz w:val="20"/>
                <w:szCs w:val="20"/>
                <w:color w:val="auto"/>
              </w:rPr>
            </w:pPr>
            <w:r>
              <w:rPr>
                <w:rFonts w:ascii="Times New Roman" w:cs="Times New Roman" w:eastAsia="Times New Roman" w:hAnsi="Times New Roman"/>
                <w:sz w:val="19"/>
                <w:szCs w:val="19"/>
                <w:color w:val="auto"/>
              </w:rPr>
              <w:t>milestone payments</w:t>
            </w: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entitling the Group to a right to payment upon such milestone being met. At that time, the customer has typically</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8"/>
              </w:rPr>
              <w:t>acquired the right to use the underlying intellectual property or additional knowledge about drug candidate(s), without</w:t>
            </w:r>
          </w:p>
        </w:tc>
      </w:tr>
      <w:tr>
        <w:trPr>
          <w:trHeight w:val="215"/>
        </w:trPr>
        <w:tc>
          <w:tcPr>
            <w:tcW w:w="2300" w:type="dxa"/>
            <w:vAlign w:val="bottom"/>
          </w:tcPr>
          <w:p>
            <w:pPr>
              <w:spacing w:after="0"/>
              <w:rPr>
                <w:sz w:val="18"/>
                <w:szCs w:val="18"/>
                <w:color w:val="auto"/>
              </w:rPr>
            </w:pP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any remaining performance obligation of the Group. Considering the uncertainty surrounding the outcome of such</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development activities, the revenue is consequently recognized at a point in time, when the milestone is reached. At</w:t>
            </w:r>
          </w:p>
        </w:tc>
      </w:tr>
      <w:tr>
        <w:trPr>
          <w:trHeight w:val="241"/>
        </w:trPr>
        <w:tc>
          <w:tcPr>
            <w:tcW w:w="230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this stage it is highly probable that a reversal of the cumulative revenue will not occur.</w:t>
            </w:r>
          </w:p>
        </w:tc>
      </w:tr>
      <w:tr>
        <w:trPr>
          <w:trHeight w:val="316"/>
        </w:trPr>
        <w:tc>
          <w:tcPr>
            <w:tcW w:w="2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 recognition of</w:t>
            </w: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Development option payments received in connection with out-licensing arrangements are typically non-refundable</w:t>
            </w:r>
          </w:p>
        </w:tc>
      </w:tr>
      <w:tr>
        <w:trPr>
          <w:trHeight w:val="215"/>
        </w:trPr>
        <w:tc>
          <w:tcPr>
            <w:tcW w:w="2300" w:type="dxa"/>
            <w:vAlign w:val="bottom"/>
          </w:tcPr>
          <w:p>
            <w:pPr>
              <w:ind w:left="20"/>
              <w:spacing w:after="0" w:line="215" w:lineRule="exact"/>
              <w:rPr>
                <w:sz w:val="20"/>
                <w:szCs w:val="20"/>
                <w:color w:val="auto"/>
              </w:rPr>
            </w:pPr>
            <w:r>
              <w:rPr>
                <w:rFonts w:ascii="Times New Roman" w:cs="Times New Roman" w:eastAsia="Times New Roman" w:hAnsi="Times New Roman"/>
                <w:sz w:val="19"/>
                <w:szCs w:val="19"/>
                <w:color w:val="auto"/>
              </w:rPr>
              <w:t>payments received for</w:t>
            </w: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fees entitling the Group to a right to payment upon such option being exercised. At that time, the customer has</w:t>
            </w:r>
          </w:p>
        </w:tc>
      </w:tr>
      <w:tr>
        <w:trPr>
          <w:trHeight w:val="228"/>
        </w:trPr>
        <w:tc>
          <w:tcPr>
            <w:tcW w:w="2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development options</w:t>
            </w: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8"/>
              </w:rPr>
              <w:t>typically acquired the right to use the underlying intellectual property, without any remaining performance obligations</w:t>
            </w:r>
          </w:p>
        </w:tc>
      </w:tr>
      <w:tr>
        <w:trPr>
          <w:trHeight w:val="215"/>
        </w:trPr>
        <w:tc>
          <w:tcPr>
            <w:tcW w:w="2300" w:type="dxa"/>
            <w:vAlign w:val="bottom"/>
          </w:tcPr>
          <w:p>
            <w:pPr>
              <w:ind w:left="20"/>
              <w:spacing w:after="0" w:line="215" w:lineRule="exact"/>
              <w:rPr>
                <w:sz w:val="20"/>
                <w:szCs w:val="20"/>
                <w:color w:val="auto"/>
              </w:rPr>
            </w:pPr>
            <w:r>
              <w:rPr>
                <w:rFonts w:ascii="Times New Roman" w:cs="Times New Roman" w:eastAsia="Times New Roman" w:hAnsi="Times New Roman"/>
                <w:sz w:val="19"/>
                <w:szCs w:val="19"/>
                <w:color w:val="auto"/>
              </w:rPr>
              <w:t>exercises</w:t>
            </w: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rPr>
              <w:t>of the Group. Considering the fact that the exercise of any option is outside the control of the Group, revenue for</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97"/>
              </w:rPr>
              <w:t>options that provide the right to use is recognized at a point in time at the effective exercise of the option. At this stage</w:t>
            </w:r>
          </w:p>
        </w:tc>
      </w:tr>
      <w:tr>
        <w:trPr>
          <w:trHeight w:val="241"/>
        </w:trPr>
        <w:tc>
          <w:tcPr>
            <w:tcW w:w="230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 is highly probable that a reversal of the cumulative revenue will not occur.</w:t>
            </w:r>
          </w:p>
        </w:tc>
      </w:tr>
      <w:tr>
        <w:trPr>
          <w:trHeight w:val="316"/>
        </w:trPr>
        <w:tc>
          <w:tcPr>
            <w:tcW w:w="2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 recognition for</w:t>
            </w: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Reservation fees received are typically non-refundable fees. The timing of revenue recognition depends on whether</w:t>
            </w:r>
          </w:p>
        </w:tc>
      </w:tr>
      <w:tr>
        <w:trPr>
          <w:trHeight w:val="215"/>
        </w:trPr>
        <w:tc>
          <w:tcPr>
            <w:tcW w:w="2300" w:type="dxa"/>
            <w:vAlign w:val="bottom"/>
          </w:tcPr>
          <w:p>
            <w:pPr>
              <w:ind w:left="20"/>
              <w:spacing w:after="0" w:line="215" w:lineRule="exact"/>
              <w:rPr>
                <w:sz w:val="20"/>
                <w:szCs w:val="20"/>
                <w:color w:val="auto"/>
              </w:rPr>
            </w:pPr>
            <w:r>
              <w:rPr>
                <w:rFonts w:ascii="Times New Roman" w:cs="Times New Roman" w:eastAsia="Times New Roman" w:hAnsi="Times New Roman"/>
                <w:sz w:val="19"/>
                <w:szCs w:val="19"/>
                <w:color w:val="auto"/>
              </w:rPr>
              <w:t>reservation fees</w:t>
            </w: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w w:val="98"/>
              </w:rPr>
              <w:t>development of the final drug is successful. If development is successful, revenue will be recognized when the related</w:t>
            </w:r>
          </w:p>
        </w:tc>
      </w:tr>
      <w:tr>
        <w:trPr>
          <w:trHeight w:val="228"/>
        </w:trPr>
        <w:tc>
          <w:tcPr>
            <w:tcW w:w="2300" w:type="dxa"/>
            <w:vAlign w:val="bottom"/>
          </w:tcPr>
          <w:p>
            <w:pPr>
              <w:spacing w:after="0"/>
              <w:rPr>
                <w:sz w:val="19"/>
                <w:szCs w:val="19"/>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reservation right is exercised or lapses (as the exercise of any reservation right is outside the control of the Group).</w:t>
            </w:r>
          </w:p>
        </w:tc>
      </w:tr>
      <w:tr>
        <w:trPr>
          <w:trHeight w:val="215"/>
        </w:trPr>
        <w:tc>
          <w:tcPr>
            <w:tcW w:w="2300" w:type="dxa"/>
            <w:vAlign w:val="bottom"/>
          </w:tcPr>
          <w:p>
            <w:pPr>
              <w:spacing w:after="0"/>
              <w:rPr>
                <w:sz w:val="18"/>
                <w:szCs w:val="18"/>
                <w:color w:val="auto"/>
              </w:rPr>
            </w:pPr>
          </w:p>
        </w:tc>
        <w:tc>
          <w:tcPr>
            <w:tcW w:w="8940" w:type="dxa"/>
            <w:vAlign w:val="bottom"/>
          </w:tcPr>
          <w:p>
            <w:pPr>
              <w:ind w:left="100"/>
              <w:spacing w:after="0" w:line="215" w:lineRule="exact"/>
              <w:rPr>
                <w:sz w:val="20"/>
                <w:szCs w:val="20"/>
                <w:color w:val="auto"/>
              </w:rPr>
            </w:pPr>
            <w:r>
              <w:rPr>
                <w:rFonts w:ascii="Times New Roman" w:cs="Times New Roman" w:eastAsia="Times New Roman" w:hAnsi="Times New Roman"/>
                <w:sz w:val="19"/>
                <w:szCs w:val="19"/>
                <w:color w:val="auto"/>
                <w:w w:val="97"/>
              </w:rPr>
              <w:t>Alternatively, revenue will be recognized at the point in time when the results from the research will not justify further</w:t>
            </w:r>
          </w:p>
        </w:tc>
      </w:tr>
      <w:tr>
        <w:trPr>
          <w:trHeight w:val="241"/>
        </w:trPr>
        <w:tc>
          <w:tcPr>
            <w:tcW w:w="2300" w:type="dxa"/>
            <w:vAlign w:val="bottom"/>
          </w:tcPr>
          <w:p>
            <w:pPr>
              <w:spacing w:after="0"/>
              <w:rPr>
                <w:sz w:val="20"/>
                <w:szCs w:val="20"/>
                <w:color w:val="auto"/>
              </w:rPr>
            </w:pPr>
          </w:p>
        </w:tc>
        <w:tc>
          <w:tcPr>
            <w:tcW w:w="8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development of the drug. At this stage it is highly probable that a reversal of the cumulative revenue will not occur.</w:t>
            </w:r>
          </w:p>
        </w:tc>
      </w:tr>
      <w:tr>
        <w:trPr>
          <w:trHeight w:val="33"/>
        </w:trPr>
        <w:tc>
          <w:tcPr>
            <w:tcW w:w="230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876935</wp:posOffset>
            </wp:positionV>
            <wp:extent cx="71405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Research and development expenses as disclosed in note 16 consist primarily of compensation and other expenses related to:</w:t>
      </w:r>
    </w:p>
    <w:p>
      <w:pPr>
        <w:spacing w:after="0" w:line="136" w:lineRule="exact"/>
        <w:rPr>
          <w:sz w:val="20"/>
          <w:szCs w:val="20"/>
          <w:color w:val="auto"/>
        </w:rPr>
      </w:pPr>
    </w:p>
    <w:p>
      <w:pPr>
        <w:ind w:left="600" w:hanging="599"/>
        <w:spacing w:after="0"/>
        <w:tabs>
          <w:tab w:leader="none" w:pos="6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development personnel;</w:t>
      </w:r>
    </w:p>
    <w:p>
      <w:pPr>
        <w:spacing w:after="0" w:line="148" w:lineRule="exact"/>
        <w:rPr>
          <w:rFonts w:ascii="Times New Roman" w:cs="Times New Roman" w:eastAsia="Times New Roman" w:hAnsi="Times New Roman"/>
          <w:sz w:val="19"/>
          <w:szCs w:val="19"/>
          <w:color w:val="auto"/>
        </w:rPr>
      </w:pPr>
    </w:p>
    <w:p>
      <w:pPr>
        <w:ind w:left="600" w:hanging="599"/>
        <w:spacing w:after="0"/>
        <w:tabs>
          <w:tab w:leader="none" w:pos="6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preclinical studies and clinical trials of the Group's product candidates, including the costs of manufacturing the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96" w:name="page197"/>
    <w:bookmarkEnd w:id="196"/>
    <w:p>
      <w:pPr>
        <w:ind w:left="600" w:hanging="599"/>
        <w:spacing w:after="0"/>
        <w:tabs>
          <w:tab w:leader="none" w:pos="6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services performed under collaboration agreements;</w:t>
      </w:r>
    </w:p>
    <w:p>
      <w:pPr>
        <w:spacing w:after="0" w:line="136" w:lineRule="exact"/>
        <w:rPr>
          <w:rFonts w:ascii="Times New Roman" w:cs="Times New Roman" w:eastAsia="Times New Roman" w:hAnsi="Times New Roman"/>
          <w:sz w:val="19"/>
          <w:szCs w:val="19"/>
          <w:color w:val="auto"/>
        </w:rPr>
      </w:pPr>
    </w:p>
    <w:p>
      <w:pPr>
        <w:ind w:left="600" w:hanging="599"/>
        <w:spacing w:after="0"/>
        <w:tabs>
          <w:tab w:leader="none" w:pos="6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development services outsourced to research institutions; and</w:t>
      </w:r>
    </w:p>
    <w:p>
      <w:pPr>
        <w:spacing w:after="0" w:line="148" w:lineRule="exact"/>
        <w:rPr>
          <w:rFonts w:ascii="Times New Roman" w:cs="Times New Roman" w:eastAsia="Times New Roman" w:hAnsi="Times New Roman"/>
          <w:sz w:val="19"/>
          <w:szCs w:val="19"/>
          <w:color w:val="auto"/>
        </w:rPr>
      </w:pPr>
    </w:p>
    <w:p>
      <w:pPr>
        <w:ind w:left="600" w:hanging="599"/>
        <w:spacing w:after="0"/>
        <w:tabs>
          <w:tab w:leader="none" w:pos="6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attributable facility expenses, including depreciation of equipment and amortization.</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w:t>
      </w:r>
    </w:p>
    <w:p>
      <w:pPr>
        <w:spacing w:after="0" w:line="9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9"/>
          <w:szCs w:val="19"/>
          <w:color w:val="auto"/>
        </w:rPr>
        <w:t>The Group charges all research and development expenses, including internal patent filing and patent maintenance costs, to profit or loss when incurred, as the criteria for recognition as an asset are not currently met.</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Research and development costs incurred by either party in a collaboration agreement, which qualifies as a joint operation, are reported under research and development expenses. The Company may either receive an invoice from or issue an invoice to a collaboration partner, therefore the cost may include a reduction of cost if they are refunded by the collaboration partner.</w:t>
      </w:r>
    </w:p>
    <w:p>
      <w:pPr>
        <w:spacing w:after="0" w:line="103" w:lineRule="exact"/>
        <w:rPr>
          <w:sz w:val="20"/>
          <w:szCs w:val="20"/>
          <w:color w:val="auto"/>
        </w:rPr>
      </w:pPr>
    </w:p>
    <w:p>
      <w:pPr>
        <w:ind w:right="8500" w:firstLine="1"/>
        <w:spacing w:after="0" w:line="394" w:lineRule="auto"/>
        <w:tabs>
          <w:tab w:leader="none" w:pos="354"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risk management Financial risk factors</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The Group is subject to risks common to companies in the biopharmaceutical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spacing w:after="0" w:line="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Group is developing several products currently not generating constant revenue streams which results in volatile cash flow from operating activities. Currently and in the periods presented,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Furthermore, management has taken actions to manage financial risks, such as foreign exchange risk and liquidity risk.</w:t>
      </w:r>
    </w:p>
    <w:p>
      <w:pPr>
        <w:spacing w:after="0" w:line="10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minimize potential adverse effects on the financial performance of the Group. Further details are disclosed under note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color w:val="auto"/>
        </w:rPr>
        <w:t>Capital management</w:t>
      </w:r>
    </w:p>
    <w:p>
      <w:pPr>
        <w:spacing w:after="0" w:line="14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2024 and 2023.</w:t>
      </w:r>
    </w:p>
    <w:p>
      <w:pPr>
        <w:spacing w:after="0" w:line="1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tab/>
        <w:t>Accounting estimates and judgments</w:t>
      </w:r>
    </w:p>
    <w:p>
      <w:pPr>
        <w:spacing w:after="0" w:line="1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color w:val="auto"/>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estimates are subject to risks and uncertainties. The actual results can deviate from these estimates.</w:t>
      </w:r>
    </w:p>
    <w:p>
      <w:pPr>
        <w:spacing w:after="0" w:line="1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tab/>
        <w:t>Revenue, other income and entity-wide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Group assesses and estimates the progress of its projects with alliance partners at each reporting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Co-development Agreement with Orano Med</w:t>
      </w:r>
    </w:p>
    <w:p>
      <w:pPr>
        <w:spacing w:after="0" w:line="14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9"/>
          <w:szCs w:val="19"/>
          <w:color w:val="auto"/>
        </w:rPr>
        <w:t xml:space="preserve">On January 5, 2024, the Group announced it entered into a co-development agreement with Orano Med to co-develop </w:t>
      </w:r>
      <w:r>
        <w:rPr>
          <w:rFonts w:ascii="Times New Roman" w:cs="Times New Roman" w:eastAsia="Times New Roman" w:hAnsi="Times New Roman"/>
          <w:sz w:val="24"/>
          <w:szCs w:val="24"/>
          <w:color w:val="auto"/>
          <w:vertAlign w:val="superscript"/>
        </w:rPr>
        <w:t>212</w:t>
      </w:r>
      <w:r>
        <w:rPr>
          <w:rFonts w:ascii="Times New Roman" w:cs="Times New Roman" w:eastAsia="Times New Roman" w:hAnsi="Times New Roman"/>
          <w:sz w:val="19"/>
          <w:szCs w:val="19"/>
          <w:color w:val="auto"/>
        </w:rPr>
        <w:t>Pb-based Radio Darpin Therapies (RDT). Under the terms of the co-development agreement, Molecular Partner’s RDT target DLL3 (delta-like ligand 3) will be included in the collaboration with Orano Med. which was further amended in October 2024 to include four programs. Both companies are developing additional radioligand therapy candidates in partnership with other companies, with Molecular Partners having announced its first collaboration with Novartis in December 2021.</w:t>
      </w:r>
    </w:p>
    <w:p>
      <w:pPr>
        <w:spacing w:after="0" w:line="11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Expression of DLL3 is low in healthy tissue but significantly increased in certain tumor types, such as small-cell lung cancer, providing an opportunity for selective tumor-targeting. DLL3 will be exclusively developed by Molecular Partners and Orano Med as a RDT target.</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Molecular Partners maintains the option to explore DLL3 for targeted therapy outside of the radiotherapy space. Both companies commit to sharing the cost of preclinical and clinical development with additional commitments to supply of their respective materials. The cost sharing in 2024 results in a net expense of TCHF 571 reported under research and development expenses in the consolidated statement of profit or loss and comprehensive income for the year ended December 31, 2024.</w:t>
      </w:r>
    </w:p>
    <w:p>
      <w:pPr>
        <w:spacing w:after="0" w:line="10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In January 2025 Orano Med and Molecular Partners signed an expansion agreement to the initial co-development agreement. The terms of the expansion agreement include the development of an additional six targeted alpha therapeutics candidates, now representing a total of ten potential programs between the two companies. Molecular Partners will lead development of the additional six programs, subject to a royalty arrangement, and include an option for Orano Med to move two of the six programs into a 50/50 co-development where Orano Med will hold commercialization rights.</w:t>
      </w:r>
    </w:p>
    <w:p>
      <w:pPr>
        <w:spacing w:after="0" w:line="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9"/>
          <w:szCs w:val="19"/>
          <w:color w:val="auto"/>
        </w:rPr>
        <w:t>Additional agreements are being put in place for future development and commercialization of any potential programs that proceed into the clinical stage of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198" w:name="page199"/>
    <w:bookmarkEnd w:id="198"/>
    <w:p>
      <w:pPr>
        <w:ind w:right="3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Novartis in the Area of DARPIN-Conjugated Radioligand Therapies, or the Novartis Radioligand Agreement</w:t>
      </w:r>
    </w:p>
    <w:p>
      <w:pPr>
        <w:spacing w:after="0" w:line="7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On December 14, 2021, the Group entered into a License and Collaboration Agreement with Novartis to develop DARPin-conjugated radioligand therapeutic candidates for oncology. Under the agreement, both parties collaborate on the discovery and optimization of the therapeutic candidates. The Group will be primarily responsible for the generation of DARPins for tumor-specific delivery of radioligands. The Group is eligible to invoice Novartis for its employee-related expenses associated with the research activities. Novartis is responsible for all clinical development and commercialization activities. As of December 31, 2021 the Group recognized a receivable for the upfront fee of USD 20 million (CHF 18.6 million) payable from Novartis in trade and other receivables and a corresponding contract liability in the consolidated statement of financial position. In January 2022, Novartis paid Molecular Partners the upfront fee.</w:t>
      </w:r>
    </w:p>
    <w:p>
      <w:pPr>
        <w:spacing w:after="0" w:line="12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The Group identified one combined performance obligation consisting of the license and the research activities to be provided. Revenue related to the upfront payment of USD 20 million (CHF 18.6 million) is being recognized over time in line with the progress made over the duration of the contractually agreed research plan. Progress towards completion of the research plan is based on the cost-based method and is measured by employee costs on the related research activities as specified in the agreement relative to the total employee costs estimated to be incurred. During 2024, the Group recognized total revenue of CHF 5.0 million of which CHF 4.3 million related to the recognition of the upfront fee and CHF 0.6 million related to the recharge of employee-related expenses (2023 total revenue of CHF 7.0 million, 2022 total revenue of CHF 9.8 million.) The full amount of the upfront payment has now been recognized into revenue as the collaboration activities have come to an end in Q3 2024.As per contract terms, the research collaboration agreement comes to a close in March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Novartis Option and Equity Rights Agreement</w:t>
      </w:r>
    </w:p>
    <w:p>
      <w:pPr>
        <w:spacing w:after="0" w:line="2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9"/>
          <w:szCs w:val="19"/>
          <w:color w:val="auto"/>
        </w:rPr>
        <w:t>In October 2020, the Group entered into the Option and Equity Rights Agreement with Novartis, granting Novartis the exclusive option to in-license global rights in relation to MP0420 (ensovibep).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Ensovibep License Agreement</w:t>
      </w:r>
    </w:p>
    <w:p>
      <w:pPr>
        <w:spacing w:after="0" w:line="14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In January 2022, following positive Phase 2 clinical trial results, Novartis exercised its option for ensovibep, triggering a milestone payment of CHF 150 million to the Group, which was received in 2022. Relatedly, the Group was eligible to invoice Novartis CHF 13.1 million for other items related to ensovibep.</w:t>
      </w:r>
    </w:p>
    <w:p>
      <w:pPr>
        <w:spacing w:after="0" w:line="9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In January 2023 Novartis informed the Group that it has submitted a request to withdraw, with an effective date of January 25, 2023 the Emergency Use Authorization (EUA) application from the U.S. Food and Drug Administration (FDA) for ensovibep. Ensovibep is not presently in clinical development.</w:t>
      </w:r>
    </w:p>
    <w:p>
      <w:pPr>
        <w:spacing w:after="0" w:line="11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9"/>
          <w:szCs w:val="19"/>
          <w:color w:val="auto"/>
        </w:rPr>
        <w:t>On January 5, 2024, Novartis has agreed the termination of the License Agreement for ensovibep, previously under investigation for the treatment of SARS Cov-2, and Novartis has returned the rights to the ensovibep program to the Company. Clinical work on the ensovibep program ended in 2022, and the program remains terminated.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Reservation Agreement with the Swiss Federal Office of Public Health / Bundesamt für Gesundheit, or the FOPH Agreement</w:t>
      </w:r>
    </w:p>
    <w:p>
      <w:pPr>
        <w:spacing w:after="0" w:line="14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On August 11, 2020, the Group announced the reservation by the FOPH of a defined number of initial doses of the Group's anti-COVID-19 candidate, MP0420. Under the terms of the agreement, the Group received a reservation fee of CHF 7.0 million. With the exercise of the option by Novartis in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80"/>
          </w:cols>
          <w:pgMar w:left="320" w:top="1329" w:right="399" w:bottom="1440" w:gutter="0" w:footer="0" w:header="0"/>
        </w:sectPr>
      </w:pPr>
    </w:p>
    <w:bookmarkStart w:id="199" w:name="page200"/>
    <w:bookmarkEnd w:id="199"/>
    <w:p>
      <w:pPr>
        <w:ind w:right="160"/>
        <w:spacing w:after="0" w:line="275" w:lineRule="auto"/>
        <w:rPr>
          <w:sz w:val="20"/>
          <w:szCs w:val="20"/>
          <w:color w:val="auto"/>
        </w:rPr>
      </w:pPr>
      <w:r>
        <w:rPr>
          <w:rFonts w:ascii="Times New Roman" w:cs="Times New Roman" w:eastAsia="Times New Roman" w:hAnsi="Times New Roman"/>
          <w:sz w:val="19"/>
          <w:szCs w:val="19"/>
          <w:color w:val="auto"/>
        </w:rPr>
        <w:t>2022 and the subsequent assignment of the agreement to Novartis, the Group recognized the CHF 7.0 million as revenue in 2022. The agreement had no further financial impact in 2023 and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and Collaboration Agreement with Amgen, or the Amgen Collaboration Agreement</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 December 2018, the Group entered into a license and collaboration agreement with Amgen for the clinical development and commercialization of MP0310 / AMG 506. Under the agreement the Group received a non-refundable upfront payment of USD 50 million. The Group recognized the related revenue using the cost -based method to measure it progress by reference to actual costs incurred in relation to the Group's best estimate of total expected costs to satisfy the performance obligation.</w:t>
      </w:r>
    </w:p>
    <w:p>
      <w:pPr>
        <w:spacing w:after="0" w:line="10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On April 26, 2022 the Group announced that Amgen, had informed the Group of its decision to return the global rights of MP0310 following a strategic pipeline review. With no remaining performance obligations under the Amgen Collaboration Agreement, the Group recognized the remaining balance of the Amgen contract liability of TCHF 9,653 as revenue in 2022. The agreement had no further financial impact in 2023 and 2024.</w:t>
      </w:r>
    </w:p>
    <w:p>
      <w:pPr>
        <w:spacing w:after="0" w:line="84"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9"/>
          <w:szCs w:val="19"/>
          <w:color w:val="auto"/>
        </w:rPr>
        <w:t>During the years ended December 31, 2024, 2023 and 2022, the Group recognized revenues as disclosed in the table below. Revenues in the table below are attributable to individual countries and are based on the location of the Group's alliance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71405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Revenues by country</w:t>
            </w:r>
          </w:p>
        </w:tc>
        <w:tc>
          <w:tcPr>
            <w:tcW w:w="2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9"/>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 CHF thousands, for the years ended December 31</w:t>
            </w:r>
          </w:p>
        </w:tc>
        <w:tc>
          <w:tcPr>
            <w:tcW w:w="2680" w:type="dxa"/>
            <w:vAlign w:val="bottom"/>
          </w:tcPr>
          <w:p>
            <w:pPr>
              <w:jc w:val="right"/>
              <w:ind w:right="467"/>
              <w:spacing w:after="0"/>
              <w:rPr>
                <w:sz w:val="20"/>
                <w:szCs w:val="20"/>
                <w:color w:val="auto"/>
              </w:rPr>
            </w:pPr>
            <w:r>
              <w:rPr>
                <w:rFonts w:ascii="Times New Roman" w:cs="Times New Roman" w:eastAsia="Times New Roman" w:hAnsi="Times New Roman"/>
                <w:sz w:val="19"/>
                <w:szCs w:val="19"/>
                <w:b w:val="1"/>
                <w:bCs w:val="1"/>
                <w:color w:val="auto"/>
              </w:rPr>
              <w:t>2024</w:t>
            </w:r>
          </w:p>
        </w:tc>
        <w:tc>
          <w:tcPr>
            <w:tcW w:w="1640" w:type="dxa"/>
            <w:vAlign w:val="bottom"/>
          </w:tcPr>
          <w:p>
            <w:pPr>
              <w:jc w:val="right"/>
              <w:ind w:right="367"/>
              <w:spacing w:after="0"/>
              <w:rPr>
                <w:sz w:val="20"/>
                <w:szCs w:val="20"/>
                <w:color w:val="auto"/>
              </w:rPr>
            </w:pPr>
            <w:r>
              <w:rPr>
                <w:rFonts w:ascii="Times New Roman" w:cs="Times New Roman" w:eastAsia="Times New Roman" w:hAnsi="Times New Roman"/>
                <w:sz w:val="19"/>
                <w:szCs w:val="19"/>
                <w:b w:val="1"/>
                <w:bCs w:val="1"/>
                <w:color w:val="auto"/>
              </w:rPr>
              <w:t>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2022</w:t>
            </w:r>
          </w:p>
        </w:tc>
      </w:tr>
      <w:tr>
        <w:trPr>
          <w:trHeight w:val="33"/>
        </w:trPr>
        <w:tc>
          <w:tcPr>
            <w:tcW w:w="5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Revenues Switzerland</w:t>
            </w:r>
          </w:p>
        </w:tc>
        <w:tc>
          <w:tcPr>
            <w:tcW w:w="2680" w:type="dxa"/>
            <w:vAlign w:val="bottom"/>
            <w:tcBorders>
              <w:bottom w:val="single" w:sz="8" w:color="CCEEFF"/>
            </w:tcBorders>
            <w:shd w:val="clear" w:color="auto" w:fill="CCEEFF"/>
          </w:tcPr>
          <w:p>
            <w:pPr>
              <w:jc w:val="right"/>
              <w:ind w:right="667"/>
              <w:spacing w:after="0"/>
              <w:rPr>
                <w:sz w:val="20"/>
                <w:szCs w:val="20"/>
                <w:color w:val="auto"/>
              </w:rPr>
            </w:pPr>
            <w:r>
              <w:rPr>
                <w:rFonts w:ascii="Times New Roman" w:cs="Times New Roman" w:eastAsia="Times New Roman" w:hAnsi="Times New Roman"/>
                <w:sz w:val="19"/>
                <w:szCs w:val="19"/>
                <w:color w:val="auto"/>
              </w:rPr>
              <w:t>4,970</w:t>
            </w:r>
          </w:p>
        </w:tc>
        <w:tc>
          <w:tcPr>
            <w:tcW w:w="1640" w:type="dxa"/>
            <w:vAlign w:val="bottom"/>
            <w:tcBorders>
              <w:bottom w:val="single" w:sz="8" w:color="CCEEFF"/>
            </w:tcBorders>
            <w:shd w:val="clear" w:color="auto" w:fill="CCEEFF"/>
          </w:tcPr>
          <w:p>
            <w:pPr>
              <w:jc w:val="right"/>
              <w:ind w:right="587"/>
              <w:spacing w:after="0"/>
              <w:rPr>
                <w:sz w:val="20"/>
                <w:szCs w:val="20"/>
                <w:color w:val="auto"/>
              </w:rPr>
            </w:pPr>
            <w:r>
              <w:rPr>
                <w:rFonts w:ascii="Times New Roman" w:cs="Times New Roman" w:eastAsia="Times New Roman" w:hAnsi="Times New Roman"/>
                <w:sz w:val="19"/>
                <w:szCs w:val="19"/>
                <w:color w:val="auto"/>
              </w:rPr>
              <w:t>7,038</w:t>
            </w:r>
          </w:p>
        </w:tc>
        <w:tc>
          <w:tcPr>
            <w:tcW w:w="12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179,903</w:t>
            </w:r>
          </w:p>
        </w:tc>
      </w:tr>
      <w:tr>
        <w:trPr>
          <w:trHeight w:val="246"/>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Revenues USA</w:t>
            </w:r>
          </w:p>
        </w:tc>
        <w:tc>
          <w:tcPr>
            <w:tcW w:w="2680" w:type="dxa"/>
            <w:vAlign w:val="bottom"/>
          </w:tcPr>
          <w:p>
            <w:pPr>
              <w:jc w:val="right"/>
              <w:ind w:right="667"/>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ind w:right="587"/>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9,653</w:t>
            </w:r>
          </w:p>
        </w:tc>
      </w:tr>
      <w:tr>
        <w:trPr>
          <w:trHeight w:val="33"/>
        </w:trPr>
        <w:tc>
          <w:tcPr>
            <w:tcW w:w="5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680" w:type="dxa"/>
            <w:vAlign w:val="bottom"/>
            <w:tcBorders>
              <w:bottom w:val="single" w:sz="8" w:color="CCEEFF"/>
            </w:tcBorders>
            <w:shd w:val="clear" w:color="auto" w:fill="CCEEFF"/>
          </w:tcPr>
          <w:p>
            <w:pPr>
              <w:jc w:val="right"/>
              <w:ind w:right="667"/>
              <w:spacing w:after="0"/>
              <w:rPr>
                <w:sz w:val="20"/>
                <w:szCs w:val="20"/>
                <w:color w:val="auto"/>
              </w:rPr>
            </w:pPr>
            <w:r>
              <w:rPr>
                <w:rFonts w:ascii="Times New Roman" w:cs="Times New Roman" w:eastAsia="Times New Roman" w:hAnsi="Times New Roman"/>
                <w:sz w:val="19"/>
                <w:szCs w:val="19"/>
                <w:b w:val="1"/>
                <w:bCs w:val="1"/>
                <w:color w:val="auto"/>
              </w:rPr>
              <w:t>4,970</w:t>
            </w:r>
          </w:p>
        </w:tc>
        <w:tc>
          <w:tcPr>
            <w:tcW w:w="1640" w:type="dxa"/>
            <w:vAlign w:val="bottom"/>
            <w:tcBorders>
              <w:bottom w:val="single" w:sz="8" w:color="CCEEFF"/>
            </w:tcBorders>
            <w:shd w:val="clear" w:color="auto" w:fill="CCEEFF"/>
          </w:tcPr>
          <w:p>
            <w:pPr>
              <w:jc w:val="right"/>
              <w:ind w:right="587"/>
              <w:spacing w:after="0"/>
              <w:rPr>
                <w:sz w:val="20"/>
                <w:szCs w:val="20"/>
                <w:color w:val="auto"/>
              </w:rPr>
            </w:pPr>
            <w:r>
              <w:rPr>
                <w:rFonts w:ascii="Times New Roman" w:cs="Times New Roman" w:eastAsia="Times New Roman" w:hAnsi="Times New Roman"/>
                <w:sz w:val="19"/>
                <w:szCs w:val="19"/>
                <w:b w:val="1"/>
                <w:bCs w:val="1"/>
                <w:color w:val="auto"/>
              </w:rPr>
              <w:t>7,038</w:t>
            </w:r>
          </w:p>
        </w:tc>
        <w:tc>
          <w:tcPr>
            <w:tcW w:w="12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189,556</w:t>
            </w:r>
          </w:p>
        </w:tc>
      </w:tr>
      <w:tr>
        <w:trPr>
          <w:trHeight w:val="530"/>
        </w:trPr>
        <w:tc>
          <w:tcPr>
            <w:tcW w:w="564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r>
      <w:tr>
        <w:trPr>
          <w:trHeight w:val="246"/>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Analysis of revenue by major alliance partner</w:t>
            </w:r>
          </w:p>
        </w:tc>
        <w:tc>
          <w:tcPr>
            <w:tcW w:w="2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9"/>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 CHF thousands, for the years ended December 31</w:t>
            </w:r>
          </w:p>
        </w:tc>
        <w:tc>
          <w:tcPr>
            <w:tcW w:w="2680" w:type="dxa"/>
            <w:vAlign w:val="bottom"/>
          </w:tcPr>
          <w:p>
            <w:pPr>
              <w:jc w:val="right"/>
              <w:ind w:right="467"/>
              <w:spacing w:after="0"/>
              <w:rPr>
                <w:sz w:val="20"/>
                <w:szCs w:val="20"/>
                <w:color w:val="auto"/>
              </w:rPr>
            </w:pPr>
            <w:r>
              <w:rPr>
                <w:rFonts w:ascii="Times New Roman" w:cs="Times New Roman" w:eastAsia="Times New Roman" w:hAnsi="Times New Roman"/>
                <w:sz w:val="19"/>
                <w:szCs w:val="19"/>
                <w:b w:val="1"/>
                <w:bCs w:val="1"/>
                <w:color w:val="auto"/>
              </w:rPr>
              <w:t>2024</w:t>
            </w:r>
          </w:p>
        </w:tc>
        <w:tc>
          <w:tcPr>
            <w:tcW w:w="1640" w:type="dxa"/>
            <w:vAlign w:val="bottom"/>
          </w:tcPr>
          <w:p>
            <w:pPr>
              <w:jc w:val="right"/>
              <w:ind w:right="367"/>
              <w:spacing w:after="0"/>
              <w:rPr>
                <w:sz w:val="20"/>
                <w:szCs w:val="20"/>
                <w:color w:val="auto"/>
              </w:rPr>
            </w:pPr>
            <w:r>
              <w:rPr>
                <w:rFonts w:ascii="Times New Roman" w:cs="Times New Roman" w:eastAsia="Times New Roman" w:hAnsi="Times New Roman"/>
                <w:sz w:val="19"/>
                <w:szCs w:val="19"/>
                <w:b w:val="1"/>
                <w:bCs w:val="1"/>
                <w:color w:val="auto"/>
              </w:rPr>
              <w:t>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2022</w:t>
            </w:r>
          </w:p>
        </w:tc>
      </w:tr>
      <w:tr>
        <w:trPr>
          <w:trHeight w:val="33"/>
        </w:trPr>
        <w:tc>
          <w:tcPr>
            <w:tcW w:w="5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Novartis AG, Switzerland</w:t>
            </w:r>
          </w:p>
        </w:tc>
        <w:tc>
          <w:tcPr>
            <w:tcW w:w="2680" w:type="dxa"/>
            <w:vAlign w:val="bottom"/>
            <w:tcBorders>
              <w:bottom w:val="single" w:sz="8" w:color="CCEEFF"/>
            </w:tcBorders>
            <w:shd w:val="clear" w:color="auto" w:fill="CCEEFF"/>
          </w:tcPr>
          <w:p>
            <w:pPr>
              <w:jc w:val="right"/>
              <w:ind w:right="667"/>
              <w:spacing w:after="0"/>
              <w:rPr>
                <w:sz w:val="20"/>
                <w:szCs w:val="20"/>
                <w:color w:val="auto"/>
              </w:rPr>
            </w:pPr>
            <w:r>
              <w:rPr>
                <w:rFonts w:ascii="Times New Roman" w:cs="Times New Roman" w:eastAsia="Times New Roman" w:hAnsi="Times New Roman"/>
                <w:sz w:val="19"/>
                <w:szCs w:val="19"/>
                <w:color w:val="auto"/>
              </w:rPr>
              <w:t>4,970</w:t>
            </w:r>
          </w:p>
        </w:tc>
        <w:tc>
          <w:tcPr>
            <w:tcW w:w="1640" w:type="dxa"/>
            <w:vAlign w:val="bottom"/>
            <w:tcBorders>
              <w:bottom w:val="single" w:sz="8" w:color="CCEEFF"/>
            </w:tcBorders>
            <w:shd w:val="clear" w:color="auto" w:fill="CCEEFF"/>
          </w:tcPr>
          <w:p>
            <w:pPr>
              <w:jc w:val="right"/>
              <w:ind w:right="587"/>
              <w:spacing w:after="0"/>
              <w:rPr>
                <w:sz w:val="20"/>
                <w:szCs w:val="20"/>
                <w:color w:val="auto"/>
              </w:rPr>
            </w:pPr>
            <w:r>
              <w:rPr>
                <w:rFonts w:ascii="Times New Roman" w:cs="Times New Roman" w:eastAsia="Times New Roman" w:hAnsi="Times New Roman"/>
                <w:sz w:val="19"/>
                <w:szCs w:val="19"/>
                <w:color w:val="auto"/>
              </w:rPr>
              <w:t>7,038</w:t>
            </w:r>
          </w:p>
        </w:tc>
        <w:tc>
          <w:tcPr>
            <w:tcW w:w="12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172,903</w:t>
            </w:r>
          </w:p>
        </w:tc>
      </w:tr>
      <w:tr>
        <w:trPr>
          <w:trHeight w:val="246"/>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FOPH, Switzerland</w:t>
            </w:r>
          </w:p>
        </w:tc>
        <w:tc>
          <w:tcPr>
            <w:tcW w:w="2680" w:type="dxa"/>
            <w:vAlign w:val="bottom"/>
          </w:tcPr>
          <w:p>
            <w:pPr>
              <w:jc w:val="right"/>
              <w:ind w:right="667"/>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Pr>
          <w:p>
            <w:pPr>
              <w:jc w:val="right"/>
              <w:ind w:right="587"/>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7,000</w:t>
            </w:r>
          </w:p>
        </w:tc>
      </w:tr>
      <w:tr>
        <w:trPr>
          <w:trHeight w:val="33"/>
        </w:trPr>
        <w:tc>
          <w:tcPr>
            <w:tcW w:w="56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Amgen Inc., USA</w:t>
            </w:r>
          </w:p>
        </w:tc>
        <w:tc>
          <w:tcPr>
            <w:tcW w:w="2680" w:type="dxa"/>
            <w:vAlign w:val="bottom"/>
            <w:tcBorders>
              <w:bottom w:val="single" w:sz="8" w:color="CCEEFF"/>
            </w:tcBorders>
            <w:shd w:val="clear" w:color="auto" w:fill="CCEEFF"/>
          </w:tcPr>
          <w:p>
            <w:pPr>
              <w:jc w:val="right"/>
              <w:ind w:right="667"/>
              <w:spacing w:after="0"/>
              <w:rPr>
                <w:sz w:val="20"/>
                <w:szCs w:val="20"/>
                <w:color w:val="auto"/>
              </w:rPr>
            </w:pPr>
            <w:r>
              <w:rPr>
                <w:rFonts w:ascii="Times New Roman" w:cs="Times New Roman" w:eastAsia="Times New Roman" w:hAnsi="Times New Roman"/>
                <w:sz w:val="19"/>
                <w:szCs w:val="19"/>
                <w:color w:val="auto"/>
              </w:rPr>
              <w:t>—</w:t>
            </w:r>
          </w:p>
        </w:tc>
        <w:tc>
          <w:tcPr>
            <w:tcW w:w="1640" w:type="dxa"/>
            <w:vAlign w:val="bottom"/>
            <w:tcBorders>
              <w:bottom w:val="single" w:sz="8" w:color="CCEEFF"/>
            </w:tcBorders>
            <w:shd w:val="clear" w:color="auto" w:fill="CCEEFF"/>
          </w:tcPr>
          <w:p>
            <w:pPr>
              <w:jc w:val="right"/>
              <w:ind w:right="587"/>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9,653</w:t>
            </w:r>
          </w:p>
        </w:tc>
      </w:tr>
      <w:tr>
        <w:trPr>
          <w:trHeight w:val="246"/>
        </w:trPr>
        <w:tc>
          <w:tcPr>
            <w:tcW w:w="56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680" w:type="dxa"/>
            <w:vAlign w:val="bottom"/>
          </w:tcPr>
          <w:p>
            <w:pPr>
              <w:jc w:val="right"/>
              <w:ind w:right="667"/>
              <w:spacing w:after="0"/>
              <w:rPr>
                <w:sz w:val="20"/>
                <w:szCs w:val="20"/>
                <w:color w:val="auto"/>
              </w:rPr>
            </w:pPr>
            <w:r>
              <w:rPr>
                <w:rFonts w:ascii="Times New Roman" w:cs="Times New Roman" w:eastAsia="Times New Roman" w:hAnsi="Times New Roman"/>
                <w:sz w:val="19"/>
                <w:szCs w:val="19"/>
                <w:b w:val="1"/>
                <w:bCs w:val="1"/>
                <w:color w:val="auto"/>
              </w:rPr>
              <w:t>4,970</w:t>
            </w:r>
          </w:p>
        </w:tc>
        <w:tc>
          <w:tcPr>
            <w:tcW w:w="1640" w:type="dxa"/>
            <w:vAlign w:val="bottom"/>
          </w:tcPr>
          <w:p>
            <w:pPr>
              <w:jc w:val="right"/>
              <w:ind w:right="587"/>
              <w:spacing w:after="0"/>
              <w:rPr>
                <w:sz w:val="20"/>
                <w:szCs w:val="20"/>
                <w:color w:val="auto"/>
              </w:rPr>
            </w:pPr>
            <w:r>
              <w:rPr>
                <w:rFonts w:ascii="Times New Roman" w:cs="Times New Roman" w:eastAsia="Times New Roman" w:hAnsi="Times New Roman"/>
                <w:sz w:val="19"/>
                <w:szCs w:val="19"/>
                <w:b w:val="1"/>
                <w:bCs w:val="1"/>
                <w:color w:val="auto"/>
              </w:rPr>
              <w:t>7,038</w:t>
            </w:r>
          </w:p>
        </w:tc>
        <w:tc>
          <w:tcPr>
            <w:tcW w:w="128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189,556</w:t>
            </w:r>
          </w:p>
        </w:tc>
      </w:tr>
      <w:tr>
        <w:trPr>
          <w:trHeight w:val="33"/>
        </w:trPr>
        <w:tc>
          <w:tcPr>
            <w:tcW w:w="56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w:t>
      </w:r>
    </w:p>
    <w:p>
      <w:pPr>
        <w:spacing w:after="0" w:line="142"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9"/>
          <w:szCs w:val="19"/>
          <w:color w:val="auto"/>
        </w:rPr>
        <w:t>In the first quarter of 2021 the Group entered into an agreement with Novartis to facilitate manufacturing of MP0420 drug supply at a third party supplier. There were no related agency services earned during 2024 and 2023 (2022: TCHF 44) and these are presented as Other income in the consolidated statement of profit or loss and other comprehensive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200" w:name="page201"/>
    <w:bookmarkEnd w:id="200"/>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tab/>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Leasehold</w:t>
            </w:r>
          </w:p>
        </w:tc>
        <w:tc>
          <w:tcPr>
            <w:tcW w:w="1240" w:type="dxa"/>
            <w:vAlign w:val="bottom"/>
          </w:tcPr>
          <w:p>
            <w:pPr>
              <w:spacing w:after="0"/>
              <w:rPr>
                <w:sz w:val="15"/>
                <w:szCs w:val="15"/>
                <w:color w:val="auto"/>
              </w:rPr>
            </w:pPr>
          </w:p>
        </w:tc>
      </w:tr>
      <w:tr>
        <w:trPr>
          <w:trHeight w:val="224"/>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Lab equipment</w:t>
            </w:r>
          </w:p>
        </w:tc>
        <w:tc>
          <w:tcPr>
            <w:tcW w:w="1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Office equipment</w:t>
            </w:r>
          </w:p>
        </w:tc>
        <w:tc>
          <w:tcPr>
            <w:tcW w:w="14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IT hardware</w:t>
            </w: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Right-of-use assets</w:t>
            </w:r>
          </w:p>
        </w:tc>
        <w:tc>
          <w:tcPr>
            <w:tcW w:w="1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improvements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January 1, 2024</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9,740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1,311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9,616</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22,023</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705</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(265)</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10,002</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764</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1,448</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9,616</w:t>
            </w:r>
          </w:p>
        </w:tc>
        <w:tc>
          <w:tcPr>
            <w:tcW w:w="120" w:type="dxa"/>
            <w:vAlign w:val="bottom"/>
          </w:tcPr>
          <w:p>
            <w:pPr>
              <w:spacing w:after="0"/>
              <w:rPr>
                <w:sz w:val="19"/>
                <w:szCs w:val="19"/>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633</w:t>
            </w: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22,463</w:t>
            </w:r>
          </w:p>
        </w:tc>
      </w:tr>
      <w:tr>
        <w:trPr>
          <w:trHeight w:val="26"/>
        </w:trPr>
        <w:tc>
          <w:tcPr>
            <w:tcW w:w="2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January 1, 2024</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(8,068)</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(1,125)</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(6,015)</w:t>
            </w:r>
          </w:p>
        </w:tc>
        <w:tc>
          <w:tcPr>
            <w:tcW w:w="120" w:type="dxa"/>
            <w:vAlign w:val="bottom"/>
          </w:tcPr>
          <w:p>
            <w:pPr>
              <w:spacing w:after="0"/>
              <w:rPr>
                <w:sz w:val="19"/>
                <w:szCs w:val="19"/>
                <w:color w:val="auto"/>
              </w:rPr>
            </w:pP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(16,342)</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charge for the year</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(2,188)</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265</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(8,658)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(1,242)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(7,215)</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(18,265)</w:t>
            </w:r>
          </w:p>
        </w:tc>
      </w:tr>
      <w:tr>
        <w:trPr>
          <w:trHeight w:val="188"/>
        </w:trPr>
        <w:tc>
          <w:tcPr>
            <w:tcW w:w="272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Carrying amount at December 31,</w:t>
            </w: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2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1,344</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119</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206</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2,401</w:t>
            </w:r>
          </w:p>
        </w:tc>
        <w:tc>
          <w:tcPr>
            <w:tcW w:w="120" w:type="dxa"/>
            <w:vAlign w:val="bottom"/>
          </w:tcPr>
          <w:p>
            <w:pPr>
              <w:spacing w:after="0"/>
              <w:rPr>
                <w:sz w:val="19"/>
                <w:szCs w:val="19"/>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128</w:t>
            </w:r>
          </w:p>
        </w:tc>
        <w:tc>
          <w:tcPr>
            <w:tcW w:w="1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4,198</w:t>
            </w:r>
          </w:p>
        </w:tc>
      </w:tr>
      <w:tr>
        <w:trPr>
          <w:trHeight w:val="26"/>
        </w:trPr>
        <w:tc>
          <w:tcPr>
            <w:tcW w:w="2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right-of-use assets relate to the facilities the Group is leasing in Schlieren,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Leasehold</w:t>
            </w:r>
          </w:p>
        </w:tc>
        <w:tc>
          <w:tcPr>
            <w:tcW w:w="1200" w:type="dxa"/>
            <w:vAlign w:val="bottom"/>
          </w:tcPr>
          <w:p>
            <w:pPr>
              <w:spacing w:after="0"/>
              <w:rPr>
                <w:sz w:val="16"/>
                <w:szCs w:val="16"/>
                <w:color w:val="auto"/>
              </w:rPr>
            </w:pPr>
          </w:p>
        </w:tc>
      </w:tr>
      <w:tr>
        <w:trPr>
          <w:trHeight w:val="21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Lab equipment</w:t>
            </w:r>
          </w:p>
        </w:tc>
        <w:tc>
          <w:tcPr>
            <w:tcW w:w="1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Office equipment</w:t>
            </w:r>
          </w:p>
        </w:tc>
        <w:tc>
          <w:tcPr>
            <w:tcW w:w="14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IT hardware</w:t>
            </w: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Right-of-use assets</w:t>
            </w:r>
          </w:p>
        </w:tc>
        <w:tc>
          <w:tcPr>
            <w:tcW w:w="16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improvements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January 1, 2023</w:t>
            </w: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9,646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731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1,315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9,616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21,932</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575</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(484)</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9,740</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723</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1,311</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9,616</w:t>
            </w:r>
          </w:p>
        </w:tc>
        <w:tc>
          <w:tcPr>
            <w:tcW w:w="120" w:type="dxa"/>
            <w:vAlign w:val="bottom"/>
          </w:tcPr>
          <w:p>
            <w:pPr>
              <w:spacing w:after="0"/>
              <w:rPr>
                <w:sz w:val="19"/>
                <w:szCs w:val="19"/>
                <w:color w:val="auto"/>
              </w:rPr>
            </w:pPr>
          </w:p>
        </w:tc>
        <w:tc>
          <w:tcPr>
            <w:tcW w:w="152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633</w:t>
            </w:r>
          </w:p>
        </w:tc>
        <w:tc>
          <w:tcPr>
            <w:tcW w:w="12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22,023</w:t>
            </w:r>
          </w:p>
        </w:tc>
      </w:tr>
      <w:tr>
        <w:trPr>
          <w:trHeight w:val="26"/>
        </w:trPr>
        <w:tc>
          <w:tcPr>
            <w:tcW w:w="2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January 1, 2023</w:t>
            </w: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(7,660)</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(687)</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(1,172)</w:t>
            </w:r>
          </w:p>
        </w:tc>
        <w:tc>
          <w:tcPr>
            <w:tcW w:w="120" w:type="dxa"/>
            <w:vAlign w:val="bottom"/>
          </w:tcPr>
          <w:p>
            <w:pPr>
              <w:spacing w:after="0"/>
              <w:rPr>
                <w:sz w:val="19"/>
                <w:szCs w:val="19"/>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(4,815)</w:t>
            </w:r>
          </w:p>
        </w:tc>
        <w:tc>
          <w:tcPr>
            <w:tcW w:w="120" w:type="dxa"/>
            <w:vAlign w:val="bottom"/>
          </w:tcPr>
          <w:p>
            <w:pPr>
              <w:spacing w:after="0"/>
              <w:rPr>
                <w:sz w:val="19"/>
                <w:szCs w:val="19"/>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tcPr>
          <w:p>
            <w:pPr>
              <w:spacing w:after="0"/>
              <w:rPr>
                <w:sz w:val="19"/>
                <w:szCs w:val="19"/>
                <w:color w:val="auto"/>
              </w:rPr>
            </w:pP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(14,697)</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charge for the year</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(2,128)</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303</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484</w:t>
            </w:r>
          </w:p>
        </w:tc>
      </w:tr>
      <w:tr>
        <w:trPr>
          <w:trHeight w:val="26"/>
        </w:trPr>
        <w:tc>
          <w:tcPr>
            <w:tcW w:w="2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3"/>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(8,068)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(1,125)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(6,015)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(16,342)</w:t>
            </w:r>
          </w:p>
        </w:tc>
      </w:tr>
      <w:tr>
        <w:trPr>
          <w:trHeight w:val="188"/>
        </w:trPr>
        <w:tc>
          <w:tcPr>
            <w:tcW w:w="272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Carrying amount at December 31,</w:t>
            </w: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22"/>
        </w:trPr>
        <w:tc>
          <w:tcPr>
            <w:tcW w:w="2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1,672</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186</w:t>
            </w:r>
          </w:p>
        </w:tc>
        <w:tc>
          <w:tcPr>
            <w:tcW w:w="12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3,601</w:t>
            </w:r>
          </w:p>
        </w:tc>
        <w:tc>
          <w:tcPr>
            <w:tcW w:w="120" w:type="dxa"/>
            <w:vAlign w:val="bottom"/>
          </w:tcPr>
          <w:p>
            <w:pPr>
              <w:spacing w:after="0"/>
              <w:rPr>
                <w:sz w:val="19"/>
                <w:szCs w:val="19"/>
                <w:color w:val="auto"/>
              </w:rPr>
            </w:pPr>
          </w:p>
        </w:tc>
        <w:tc>
          <w:tcPr>
            <w:tcW w:w="152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199</w:t>
            </w:r>
          </w:p>
        </w:tc>
        <w:tc>
          <w:tcPr>
            <w:tcW w:w="12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5,681</w:t>
            </w:r>
          </w:p>
        </w:tc>
      </w:tr>
      <w:tr>
        <w:trPr>
          <w:trHeight w:val="26"/>
        </w:trPr>
        <w:tc>
          <w:tcPr>
            <w:tcW w:w="2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69"/>
        </w:trPr>
        <w:tc>
          <w:tcPr>
            <w:tcW w:w="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w:t>
            </w:r>
          </w:p>
        </w:tc>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Intangible assets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958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9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Software</w:t>
            </w:r>
          </w:p>
        </w:tc>
        <w:tc>
          <w:tcPr>
            <w:tcW w:w="0" w:type="dxa"/>
            <w:vAlign w:val="bottom"/>
          </w:tcPr>
          <w:p>
            <w:pPr>
              <w:spacing w:after="0"/>
              <w:rPr>
                <w:sz w:val="1"/>
                <w:szCs w:val="1"/>
                <w:color w:val="auto"/>
              </w:rPr>
            </w:pPr>
          </w:p>
        </w:tc>
      </w:tr>
      <w:tr>
        <w:trPr>
          <w:trHeight w:val="233"/>
        </w:trPr>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9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At January 1, 2024</w:t>
            </w:r>
          </w:p>
        </w:tc>
        <w:tc>
          <w:tcPr>
            <w:tcW w:w="13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2,296</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2,303</w:t>
            </w:r>
          </w:p>
        </w:tc>
        <w:tc>
          <w:tcPr>
            <w:tcW w:w="0" w:type="dxa"/>
            <w:vAlign w:val="bottom"/>
          </w:tcPr>
          <w:p>
            <w:pPr>
              <w:spacing w:after="0"/>
              <w:rPr>
                <w:sz w:val="1"/>
                <w:szCs w:val="1"/>
                <w:color w:val="auto"/>
              </w:rPr>
            </w:pPr>
          </w:p>
        </w:tc>
      </w:tr>
      <w:tr>
        <w:trPr>
          <w:trHeight w:val="20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January 1, 2024</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(2,084)</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Amortization charge for the year</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(2,254)</w:t>
            </w:r>
          </w:p>
        </w:tc>
        <w:tc>
          <w:tcPr>
            <w:tcW w:w="0" w:type="dxa"/>
            <w:vAlign w:val="bottom"/>
          </w:tcPr>
          <w:p>
            <w:pPr>
              <w:spacing w:after="0"/>
              <w:rPr>
                <w:sz w:val="1"/>
                <w:szCs w:val="1"/>
                <w:color w:val="auto"/>
              </w:rPr>
            </w:pPr>
          </w:p>
        </w:tc>
      </w:tr>
      <w:tr>
        <w:trPr>
          <w:trHeight w:val="26"/>
        </w:trPr>
        <w:tc>
          <w:tcPr>
            <w:tcW w:w="95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amount at December 31, 2024</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49</w:t>
            </w:r>
          </w:p>
        </w:tc>
        <w:tc>
          <w:tcPr>
            <w:tcW w:w="0" w:type="dxa"/>
            <w:vAlign w:val="bottom"/>
          </w:tcPr>
          <w:p>
            <w:pPr>
              <w:spacing w:after="0"/>
              <w:rPr>
                <w:sz w:val="1"/>
                <w:szCs w:val="1"/>
                <w:color w:val="auto"/>
              </w:rPr>
            </w:pPr>
          </w:p>
        </w:tc>
      </w:tr>
      <w:tr>
        <w:trPr>
          <w:trHeight w:val="213"/>
        </w:trPr>
        <w:tc>
          <w:tcPr>
            <w:tcW w:w="9580" w:type="dxa"/>
            <w:vAlign w:val="bottom"/>
            <w:tcBorders>
              <w:top w:val="single" w:sz="8" w:color="auto"/>
              <w:bottom w:val="single" w:sz="8" w:color="auto"/>
            </w:tcBorders>
            <w:gridSpan w:val="2"/>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9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Software</w:t>
            </w:r>
          </w:p>
        </w:tc>
        <w:tc>
          <w:tcPr>
            <w:tcW w:w="0" w:type="dxa"/>
            <w:vAlign w:val="bottom"/>
          </w:tcPr>
          <w:p>
            <w:pPr>
              <w:spacing w:after="0"/>
              <w:rPr>
                <w:sz w:val="1"/>
                <w:szCs w:val="1"/>
                <w:color w:val="auto"/>
              </w:rPr>
            </w:pPr>
          </w:p>
        </w:tc>
      </w:tr>
      <w:tr>
        <w:trPr>
          <w:trHeight w:val="233"/>
        </w:trPr>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9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At January 1, 2023</w:t>
            </w:r>
          </w:p>
        </w:tc>
        <w:tc>
          <w:tcPr>
            <w:tcW w:w="13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2,122</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2,296</w:t>
            </w:r>
          </w:p>
        </w:tc>
        <w:tc>
          <w:tcPr>
            <w:tcW w:w="0" w:type="dxa"/>
            <w:vAlign w:val="bottom"/>
          </w:tcPr>
          <w:p>
            <w:pPr>
              <w:spacing w:after="0"/>
              <w:rPr>
                <w:sz w:val="1"/>
                <w:szCs w:val="1"/>
                <w:color w:val="auto"/>
              </w:rPr>
            </w:pPr>
          </w:p>
        </w:tc>
      </w:tr>
      <w:tr>
        <w:trPr>
          <w:trHeight w:val="20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January 1, 2023</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(1,851)</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Amortization charge for the year</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Disposals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2023</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(2,084)</w:t>
            </w:r>
          </w:p>
        </w:tc>
        <w:tc>
          <w:tcPr>
            <w:tcW w:w="0" w:type="dxa"/>
            <w:vAlign w:val="bottom"/>
          </w:tcPr>
          <w:p>
            <w:pPr>
              <w:spacing w:after="0"/>
              <w:rPr>
                <w:sz w:val="1"/>
                <w:szCs w:val="1"/>
                <w:color w:val="auto"/>
              </w:rPr>
            </w:pPr>
          </w:p>
        </w:tc>
      </w:tr>
      <w:tr>
        <w:trPr>
          <w:trHeight w:val="26"/>
        </w:trPr>
        <w:tc>
          <w:tcPr>
            <w:tcW w:w="95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Carrying amount at December 31, 2023</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212</w:t>
            </w:r>
          </w:p>
        </w:tc>
        <w:tc>
          <w:tcPr>
            <w:tcW w:w="0" w:type="dxa"/>
            <w:vAlign w:val="bottom"/>
          </w:tcPr>
          <w:p>
            <w:pPr>
              <w:spacing w:after="0"/>
              <w:rPr>
                <w:sz w:val="1"/>
                <w:szCs w:val="1"/>
                <w:color w:val="auto"/>
              </w:rPr>
            </w:pPr>
          </w:p>
        </w:tc>
      </w:tr>
      <w:tr>
        <w:trPr>
          <w:trHeight w:val="460"/>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9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Financial instruments</w:t>
            </w: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860" w:type="dxa"/>
            <w:vAlign w:val="bottom"/>
            <w:tcBorders>
              <w:bottom w:val="single" w:sz="8" w:color="auto"/>
            </w:tcBorders>
            <w:gridSpan w:val="3"/>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Financial assets at</w:t>
            </w:r>
          </w:p>
        </w:tc>
        <w:tc>
          <w:tcPr>
            <w:tcW w:w="0" w:type="dxa"/>
            <w:vAlign w:val="bottom"/>
          </w:tcPr>
          <w:p>
            <w:pPr>
              <w:spacing w:after="0"/>
              <w:rPr>
                <w:sz w:val="1"/>
                <w:szCs w:val="1"/>
                <w:color w:val="auto"/>
              </w:rPr>
            </w:pPr>
          </w:p>
        </w:tc>
      </w:tr>
      <w:tr>
        <w:trPr>
          <w:trHeight w:val="39"/>
        </w:trPr>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9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 w:type="dxa"/>
            <w:vAlign w:val="bottom"/>
            <w:vMerge w:val="continue"/>
          </w:tcPr>
          <w:p>
            <w:pPr>
              <w:spacing w:after="0"/>
              <w:rPr>
                <w:sz w:val="17"/>
                <w:szCs w:val="17"/>
                <w:color w:val="auto"/>
              </w:rPr>
            </w:pPr>
          </w:p>
        </w:tc>
        <w:tc>
          <w:tcPr>
            <w:tcW w:w="9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costs</w:t>
            </w:r>
          </w:p>
        </w:tc>
        <w:tc>
          <w:tcPr>
            <w:tcW w:w="0" w:type="dxa"/>
            <w:vAlign w:val="bottom"/>
          </w:tcPr>
          <w:p>
            <w:pPr>
              <w:spacing w:after="0"/>
              <w:rPr>
                <w:sz w:val="1"/>
                <w:szCs w:val="1"/>
                <w:color w:val="auto"/>
              </w:rPr>
            </w:pPr>
          </w:p>
        </w:tc>
      </w:tr>
      <w:tr>
        <w:trPr>
          <w:trHeight w:val="26"/>
        </w:trPr>
        <w:tc>
          <w:tcPr>
            <w:tcW w:w="9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63,874</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Short-term time deposits</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85,565</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150,001</w:t>
            </w:r>
          </w:p>
        </w:tc>
        <w:tc>
          <w:tcPr>
            <w:tcW w:w="0" w:type="dxa"/>
            <w:vAlign w:val="bottom"/>
          </w:tcPr>
          <w:p>
            <w:pPr>
              <w:spacing w:after="0"/>
              <w:rPr>
                <w:sz w:val="1"/>
                <w:szCs w:val="1"/>
                <w:color w:val="auto"/>
              </w:rPr>
            </w:pPr>
          </w:p>
        </w:tc>
      </w:tr>
      <w:tr>
        <w:trPr>
          <w:trHeight w:val="207"/>
        </w:trPr>
        <w:tc>
          <w:tcPr>
            <w:tcW w:w="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9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67,309</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1,131</w:t>
            </w:r>
          </w:p>
        </w:tc>
        <w:tc>
          <w:tcPr>
            <w:tcW w:w="0" w:type="dxa"/>
            <w:vAlign w:val="bottom"/>
          </w:tcPr>
          <w:p>
            <w:pPr>
              <w:spacing w:after="0"/>
              <w:rPr>
                <w:sz w:val="1"/>
                <w:szCs w:val="1"/>
                <w:color w:val="auto"/>
              </w:rPr>
            </w:pPr>
          </w:p>
        </w:tc>
      </w:tr>
      <w:tr>
        <w:trPr>
          <w:trHeight w:val="227"/>
        </w:trPr>
        <w:tc>
          <w:tcPr>
            <w:tcW w:w="9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Short-term time deposits</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119,580</w:t>
            </w:r>
          </w:p>
        </w:tc>
        <w:tc>
          <w:tcPr>
            <w:tcW w:w="0" w:type="dxa"/>
            <w:vAlign w:val="bottom"/>
          </w:tcPr>
          <w:p>
            <w:pPr>
              <w:spacing w:after="0"/>
              <w:rPr>
                <w:sz w:val="1"/>
                <w:szCs w:val="1"/>
                <w:color w:val="auto"/>
              </w:rPr>
            </w:pPr>
          </w:p>
        </w:tc>
      </w:tr>
      <w:tr>
        <w:trPr>
          <w:trHeight w:val="26"/>
        </w:trPr>
        <w:tc>
          <w:tcPr>
            <w:tcW w:w="9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3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188,315</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597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9"/>
          <w:szCs w:val="19"/>
          <w:color w:val="auto"/>
        </w:rPr>
        <w:t>The above mentioned amounts were neither past due nor impaired at the end of the respective reporting period. Please also see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Financial liabilities at</w:t>
            </w:r>
          </w:p>
        </w:tc>
        <w:tc>
          <w:tcPr>
            <w:tcW w:w="0" w:type="dxa"/>
            <w:vAlign w:val="bottom"/>
          </w:tcPr>
          <w:p>
            <w:pPr>
              <w:spacing w:after="0"/>
              <w:rPr>
                <w:sz w:val="1"/>
                <w:szCs w:val="1"/>
                <w:color w:val="auto"/>
              </w:rPr>
            </w:pPr>
          </w:p>
        </w:tc>
      </w:tr>
      <w:tr>
        <w:trPr>
          <w:trHeight w:val="52"/>
        </w:trPr>
        <w:tc>
          <w:tcPr>
            <w:tcW w:w="9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958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amortized cost</w:t>
            </w:r>
          </w:p>
        </w:tc>
        <w:tc>
          <w:tcPr>
            <w:tcW w:w="0" w:type="dxa"/>
            <w:vAlign w:val="bottom"/>
          </w:tcPr>
          <w:p>
            <w:pPr>
              <w:spacing w:after="0"/>
              <w:rPr>
                <w:sz w:val="1"/>
                <w:szCs w:val="1"/>
                <w:color w:val="auto"/>
              </w:rPr>
            </w:pPr>
          </w:p>
        </w:tc>
      </w:tr>
      <w:tr>
        <w:trPr>
          <w:trHeight w:val="23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payables</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project costs and royalties</w:t>
            </w:r>
          </w:p>
        </w:tc>
        <w:tc>
          <w:tcPr>
            <w:tcW w:w="16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2,057</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2,444</w:t>
            </w:r>
          </w:p>
        </w:tc>
        <w:tc>
          <w:tcPr>
            <w:tcW w:w="0" w:type="dxa"/>
            <w:vAlign w:val="bottom"/>
          </w:tcPr>
          <w:p>
            <w:pPr>
              <w:spacing w:after="0"/>
              <w:rPr>
                <w:sz w:val="1"/>
                <w:szCs w:val="1"/>
                <w:color w:val="auto"/>
              </w:rPr>
            </w:pPr>
          </w:p>
        </w:tc>
      </w:t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non-employee related accrued expenses</w:t>
            </w:r>
          </w:p>
        </w:tc>
        <w:tc>
          <w:tcPr>
            <w:tcW w:w="16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5,731</w:t>
            </w:r>
          </w:p>
        </w:tc>
        <w:tc>
          <w:tcPr>
            <w:tcW w:w="0" w:type="dxa"/>
            <w:vAlign w:val="bottom"/>
          </w:tcPr>
          <w:p>
            <w:pPr>
              <w:spacing w:after="0"/>
              <w:rPr>
                <w:sz w:val="1"/>
                <w:szCs w:val="1"/>
                <w:color w:val="auto"/>
              </w:rPr>
            </w:pPr>
          </w:p>
        </w:tc>
      </w:tr>
      <w:tr>
        <w:trPr>
          <w:trHeight w:val="20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payables</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410</w:t>
            </w:r>
          </w:p>
        </w:tc>
        <w:tc>
          <w:tcPr>
            <w:tcW w:w="0" w:type="dxa"/>
            <w:vAlign w:val="bottom"/>
          </w:tcPr>
          <w:p>
            <w:pPr>
              <w:spacing w:after="0"/>
              <w:rPr>
                <w:sz w:val="1"/>
                <w:szCs w:val="1"/>
                <w:color w:val="auto"/>
              </w:rPr>
            </w:pPr>
          </w:p>
        </w:tc>
      </w:t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project costs and royalties</w:t>
            </w:r>
          </w:p>
        </w:tc>
        <w:tc>
          <w:tcPr>
            <w:tcW w:w="16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1,827</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3,652</w:t>
            </w:r>
          </w:p>
        </w:tc>
        <w:tc>
          <w:tcPr>
            <w:tcW w:w="0" w:type="dxa"/>
            <w:vAlign w:val="bottom"/>
          </w:tcPr>
          <w:p>
            <w:pPr>
              <w:spacing w:after="0"/>
              <w:rPr>
                <w:sz w:val="1"/>
                <w:szCs w:val="1"/>
                <w:color w:val="auto"/>
              </w:rPr>
            </w:pPr>
          </w:p>
        </w:tc>
      </w:t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non-employee related accrued expenses</w:t>
            </w:r>
          </w:p>
        </w:tc>
        <w:tc>
          <w:tcPr>
            <w:tcW w:w="16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704</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6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6,593</w:t>
            </w:r>
          </w:p>
        </w:tc>
        <w:tc>
          <w:tcPr>
            <w:tcW w:w="0" w:type="dxa"/>
            <w:vAlign w:val="bottom"/>
          </w:tcPr>
          <w:p>
            <w:pPr>
              <w:spacing w:after="0"/>
              <w:rPr>
                <w:sz w:val="1"/>
                <w:szCs w:val="1"/>
                <w:color w:val="auto"/>
              </w:rPr>
            </w:pPr>
          </w:p>
        </w:tc>
      </w:tr>
      <w:tr>
        <w:trPr>
          <w:trHeight w:val="20"/>
        </w:trPr>
        <w:tc>
          <w:tcPr>
            <w:tcW w:w="95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The carrying amount of financial assets and financial liabilities not measured at fair value (except for lease liabilities) is a reasonable approximation of fair value.</w:t>
      </w:r>
    </w:p>
    <w:p>
      <w:pPr>
        <w:spacing w:after="0" w:line="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tab/>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7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w:t>
            </w:r>
          </w:p>
        </w:tc>
        <w:tc>
          <w:tcPr>
            <w:tcW w:w="474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rPr>
              <w:t>2,249</w:t>
            </w: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2,486</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474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rPr>
              <w:t>276</w:t>
            </w: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1,131</w:t>
            </w:r>
          </w:p>
        </w:tc>
      </w:tr>
      <w:tr>
        <w:trPr>
          <w:trHeight w:val="26"/>
        </w:trPr>
        <w:tc>
          <w:tcPr>
            <w:tcW w:w="5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474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b w:val="1"/>
                <w:bCs w:val="1"/>
                <w:color w:val="auto"/>
              </w:rPr>
              <w:t>2,525</w:t>
            </w: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b w:val="1"/>
                <w:bCs w:val="1"/>
                <w:color w:val="auto"/>
              </w:rPr>
              <w:t>3,617</w:t>
            </w:r>
          </w:p>
        </w:tc>
      </w:tr>
      <w:tr>
        <w:trPr>
          <w:trHeight w:val="20"/>
        </w:trPr>
        <w:tc>
          <w:tcPr>
            <w:tcW w:w="542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Accrued income relates to interest income accrued on the Group's balances of cash and cash equivalents and short-term time deposits.</w:t>
      </w:r>
    </w:p>
    <w:p>
      <w:pPr>
        <w:spacing w:after="0" w:line="1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tab/>
        <w:t>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7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474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rPr>
              <w:t>286</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295</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Value added tax</w:t>
            </w:r>
          </w:p>
        </w:tc>
        <w:tc>
          <w:tcPr>
            <w:tcW w:w="474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rPr>
              <w:t>470</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253</w:t>
            </w:r>
          </w:p>
        </w:tc>
      </w:tr>
      <w:tr>
        <w:trPr>
          <w:trHeight w:val="26"/>
        </w:trPr>
        <w:tc>
          <w:tcPr>
            <w:tcW w:w="5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Withholding tax</w:t>
            </w:r>
          </w:p>
        </w:tc>
        <w:tc>
          <w:tcPr>
            <w:tcW w:w="474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rPr>
              <w:t>1,484</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1,339</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474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rPr>
              <w:t>77</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66</w:t>
            </w:r>
          </w:p>
        </w:tc>
      </w:tr>
      <w:tr>
        <w:trPr>
          <w:trHeight w:val="26"/>
        </w:trPr>
        <w:tc>
          <w:tcPr>
            <w:tcW w:w="5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474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2,317</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1,953</w:t>
            </w:r>
          </w:p>
        </w:tc>
      </w:tr>
      <w:tr>
        <w:trPr>
          <w:trHeight w:val="20"/>
        </w:trPr>
        <w:tc>
          <w:tcPr>
            <w:tcW w:w="542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Trade receivables are denominated in the following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740" w:type="dxa"/>
            <w:vAlign w:val="bottom"/>
          </w:tcPr>
          <w:p>
            <w:pPr>
              <w:jc w:val="right"/>
              <w:ind w:right="4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42"/>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w:t>
            </w:r>
          </w:p>
        </w:tc>
        <w:tc>
          <w:tcPr>
            <w:tcW w:w="474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rPr>
              <w:t>286</w:t>
            </w: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USD</w:t>
            </w:r>
          </w:p>
        </w:tc>
        <w:tc>
          <w:tcPr>
            <w:tcW w:w="4740" w:type="dxa"/>
            <w:vAlign w:val="bottom"/>
          </w:tcPr>
          <w:p>
            <w:pPr>
              <w:jc w:val="right"/>
              <w:ind w:right="67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295</w:t>
            </w:r>
          </w:p>
        </w:tc>
      </w:tr>
      <w:tr>
        <w:trPr>
          <w:trHeight w:val="26"/>
        </w:trPr>
        <w:tc>
          <w:tcPr>
            <w:tcW w:w="54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474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rPr>
              <w:t>286</w:t>
            </w: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b w:val="1"/>
                <w:bCs w:val="1"/>
                <w:color w:val="auto"/>
              </w:rPr>
              <w:t>295</w:t>
            </w:r>
          </w:p>
        </w:tc>
      </w:tr>
      <w:tr>
        <w:trPr>
          <w:trHeight w:val="20"/>
        </w:trPr>
        <w:tc>
          <w:tcPr>
            <w:tcW w:w="548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203" w:name="page204"/>
    <w:bookmarkEnd w:id="203"/>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tab/>
        <w:t>Cash and cash equivalents and short-term 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at bank in CHF</w:t>
            </w: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54,127</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57,379</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at bank in EUR</w:t>
            </w: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2,812</w:t>
            </w:r>
          </w:p>
        </w:tc>
        <w:tc>
          <w:tcPr>
            <w:tcW w:w="140" w:type="dxa"/>
            <w:vAlign w:val="bottom"/>
          </w:tcPr>
          <w:p>
            <w:pPr>
              <w:spacing w:after="0"/>
              <w:rPr>
                <w:sz w:val="19"/>
                <w:szCs w:val="19"/>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4,948</w:t>
            </w:r>
          </w:p>
        </w:tc>
      </w:tr>
      <w:tr>
        <w:trPr>
          <w:trHeight w:val="26"/>
        </w:trPr>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at bank in USD</w:t>
            </w: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6,695</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4,829</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at bank in GBP</w:t>
            </w: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tcPr>
          <w:p>
            <w:pPr>
              <w:spacing w:after="0"/>
              <w:rPr>
                <w:sz w:val="19"/>
                <w:szCs w:val="19"/>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153</w:t>
            </w:r>
          </w:p>
        </w:tc>
      </w:tr>
      <w:tr>
        <w:trPr>
          <w:trHeight w:val="26"/>
        </w:trPr>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at bank at December 31</w:t>
            </w: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63,874</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67,309</w:t>
            </w:r>
          </w:p>
        </w:tc>
      </w:tr>
      <w:tr>
        <w:trPr>
          <w:trHeight w:val="233"/>
        </w:trPr>
        <w:tc>
          <w:tcPr>
            <w:tcW w:w="82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3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time deposits in CHF</w:t>
            </w: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47,500</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77,500</w:t>
            </w: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time deposits in USD</w:t>
            </w:r>
          </w:p>
        </w:tc>
        <w:tc>
          <w:tcPr>
            <w:tcW w:w="14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38,065</w:t>
            </w:r>
          </w:p>
        </w:tc>
        <w:tc>
          <w:tcPr>
            <w:tcW w:w="140" w:type="dxa"/>
            <w:vAlign w:val="bottom"/>
          </w:tcPr>
          <w:p>
            <w:pPr>
              <w:spacing w:after="0"/>
              <w:rPr>
                <w:sz w:val="19"/>
                <w:szCs w:val="19"/>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42,080</w:t>
            </w:r>
          </w:p>
        </w:tc>
      </w:tr>
      <w:tr>
        <w:trPr>
          <w:trHeight w:val="26"/>
        </w:trPr>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short-term deposits at December 31</w:t>
            </w:r>
          </w:p>
        </w:tc>
        <w:tc>
          <w:tcPr>
            <w:tcW w:w="14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85,565</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119,580</w:t>
            </w:r>
          </w:p>
        </w:tc>
      </w:tr>
      <w:tr>
        <w:trPr>
          <w:trHeight w:val="20"/>
        </w:trPr>
        <w:tc>
          <w:tcPr>
            <w:tcW w:w="8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All short-term time deposits at December 31, 2024 and 2023 were held with Swiss banks. As of December 31, 2024, the deposits denominated in CHF contained five positions with three banks, The deposits denominated in USD contained five positions with three banks. As of December 31, 2023, there were six deposits denominated in CHF with three banks, where the short-term time deposits denominated in USD contained three positions with three banks. Please refer to note 25.</w:t>
      </w:r>
    </w:p>
    <w:p>
      <w:pPr>
        <w:spacing w:after="0" w:line="1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tab/>
        <w:t>Shareholders’ equity</w:t>
      </w:r>
    </w:p>
    <w:p>
      <w:pPr>
        <w:spacing w:after="0" w:line="14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9"/>
          <w:szCs w:val="19"/>
          <w:color w:val="auto"/>
        </w:rPr>
        <w:t>The Group announced on October 25, 2024 a placement of 3,642,988 new registered shares, corresponding to approximately 9% of the Group's registered share capital, by way of an underwritten offering, at an offering price of CHF 4.76 per share. The new shares were issued from the capital range of the company under exclusion of the existing shareholders' pre-emptive rights. The new shares were listed and admitted to trading on SIX Swiss Exchange as of October 29, 2024. Payment and settlement took place on the same date.</w:t>
      </w:r>
    </w:p>
    <w:p>
      <w:pPr>
        <w:spacing w:after="0" w:line="10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9"/>
          <w:szCs w:val="19"/>
          <w:color w:val="auto"/>
        </w:rPr>
        <w:t>Presented under the caption of additional paid-in capital on the statement of financial position, the Group accounted for a deduction of CHF1,740,777 for transaction costs. This deduction represents the costs that were incremental and directly attributable to the issuance of the new shares. The Group invested part of the net proceeds from the capital increase into short-term time deposits and the remaining part into cash and cash equivalents.</w:t>
      </w:r>
    </w:p>
    <w:p>
      <w:pPr>
        <w:spacing w:after="0" w:line="10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9"/>
          <w:szCs w:val="19"/>
          <w:color w:val="auto"/>
        </w:rPr>
        <w:t>In August 2022, the Company issued 3,500,000 common shares at par value CHF 0.10 per share. The shares were fully subscribed for by Molecular Partners Inc., a fully owned subsidiary of the Company. As of December 31, 2024 2023,and 2022 all 3,500,000 common shares were held as treasury shares of the Company. The purpose of the share issuance was to replenish the Company’s pool of treasury shares that the Company can use in the future to raise funds, including in connection with the Company’s at-the-market sales program for American Depositary Shares established in July 2022.</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The total amount presented as Treasury shares reserve in the consolidated statement of financial position, is comprised of CHF 350,000 of the nominal value of the treasury shares and CHF 631,336 of transaction costs incurred directly related to the issuance. The amount of CHF 350,000 was a non-cash transaction for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0"/>
          <w:szCs w:val="20"/>
          <w:b w:val="1"/>
          <w:bCs w:val="1"/>
          <w:color w:val="auto"/>
        </w:rPr>
        <w:t>Classes of share capital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 capital</w:t>
      </w:r>
    </w:p>
    <w:p>
      <w:pPr>
        <w:spacing w:after="0" w:line="14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On December 31, 2024, the Company’s issued share capital amounted to CHF 4,036,310 divided into 40,363,095 fully paid registered shares with a par value of CHF 0.10 each. Ordinary shares are entitled to one vote per share and rank equally with regard to the Company's residual assets and dividends (if any should be declared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06056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060565" cy="1587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40" w:type="dxa"/>
            <w:vAlign w:val="bottom"/>
          </w:tcPr>
          <w:p>
            <w:pPr>
              <w:spacing w:after="0"/>
              <w:rPr>
                <w:sz w:val="21"/>
                <w:szCs w:val="21"/>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Ordinary shares</w:t>
            </w:r>
          </w:p>
        </w:tc>
      </w:tr>
      <w:tr>
        <w:trPr>
          <w:trHeight w:val="33"/>
        </w:trPr>
        <w:tc>
          <w:tcPr>
            <w:tcW w:w="72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8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Shares in issue at December 31, 2021</w:t>
            </w:r>
          </w:p>
        </w:tc>
        <w:tc>
          <w:tcPr>
            <w:tcW w:w="38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32,292,648</w:t>
            </w:r>
          </w:p>
        </w:tc>
      </w:tr>
      <w:tr>
        <w:trPr>
          <w:trHeight w:val="239"/>
        </w:trPr>
        <w:tc>
          <w:tcPr>
            <w:tcW w:w="7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Issued in relation to creation of treasury shares in August 2022</w:t>
            </w:r>
          </w:p>
        </w:tc>
        <w:tc>
          <w:tcPr>
            <w:tcW w:w="388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9"/>
                <w:szCs w:val="19"/>
                <w:color w:val="auto"/>
              </w:rPr>
              <w:t>3,500,000</w:t>
            </w:r>
          </w:p>
        </w:tc>
      </w:tr>
      <w:tr>
        <w:trPr>
          <w:trHeight w:val="33"/>
        </w:trPr>
        <w:tc>
          <w:tcPr>
            <w:tcW w:w="72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Issued in relation to vesting of PSU, RSU and options</w:t>
            </w:r>
          </w:p>
        </w:tc>
        <w:tc>
          <w:tcPr>
            <w:tcW w:w="38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252,058</w:t>
            </w:r>
          </w:p>
        </w:tc>
      </w:tr>
      <w:tr>
        <w:trPr>
          <w:trHeight w:val="246"/>
        </w:trPr>
        <w:tc>
          <w:tcPr>
            <w:tcW w:w="72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Shares in issue at December 31, 2022</w:t>
            </w:r>
          </w:p>
        </w:tc>
        <w:tc>
          <w:tcPr>
            <w:tcW w:w="388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36,044,706</w:t>
            </w:r>
          </w:p>
        </w:tc>
      </w:tr>
      <w:tr>
        <w:trPr>
          <w:trHeight w:val="33"/>
        </w:trPr>
        <w:tc>
          <w:tcPr>
            <w:tcW w:w="7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9"/>
        </w:trPr>
        <w:tc>
          <w:tcPr>
            <w:tcW w:w="7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Issued in relation to vesting of PSU, RSU and options</w:t>
            </w:r>
          </w:p>
        </w:tc>
        <w:tc>
          <w:tcPr>
            <w:tcW w:w="38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309,591</w:t>
            </w:r>
          </w:p>
        </w:tc>
      </w:tr>
      <w:tr>
        <w:trPr>
          <w:trHeight w:val="33"/>
        </w:trPr>
        <w:tc>
          <w:tcPr>
            <w:tcW w:w="72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Shares in issue at December 31, 2023</w:t>
            </w:r>
          </w:p>
        </w:tc>
        <w:tc>
          <w:tcPr>
            <w:tcW w:w="38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36,354,297</w:t>
            </w:r>
          </w:p>
        </w:tc>
      </w:tr>
      <w:tr>
        <w:trPr>
          <w:trHeight w:val="246"/>
        </w:trPr>
        <w:tc>
          <w:tcPr>
            <w:tcW w:w="7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Issued in relation to capital raise in October 2024</w:t>
            </w:r>
          </w:p>
        </w:tc>
        <w:tc>
          <w:tcPr>
            <w:tcW w:w="388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3,642,988</w:t>
            </w:r>
          </w:p>
        </w:tc>
      </w:tr>
      <w:tr>
        <w:trPr>
          <w:trHeight w:val="33"/>
        </w:trPr>
        <w:tc>
          <w:tcPr>
            <w:tcW w:w="724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5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Issued in relation to vesting of PSU, RSU and options</w:t>
            </w:r>
          </w:p>
        </w:tc>
        <w:tc>
          <w:tcPr>
            <w:tcW w:w="388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rPr>
              <w:t>365,810</w:t>
            </w:r>
          </w:p>
        </w:tc>
      </w:tr>
      <w:tr>
        <w:trPr>
          <w:trHeight w:val="246"/>
        </w:trPr>
        <w:tc>
          <w:tcPr>
            <w:tcW w:w="724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Shares in issue at December 31, 2024</w:t>
            </w:r>
          </w:p>
        </w:tc>
        <w:tc>
          <w:tcPr>
            <w:tcW w:w="388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rPr>
              <w:t>40,363,095</w:t>
            </w:r>
          </w:p>
        </w:tc>
      </w:tr>
      <w:tr>
        <w:trPr>
          <w:trHeight w:val="33"/>
        </w:trPr>
        <w:tc>
          <w:tcPr>
            <w:tcW w:w="7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9"/>
          <w:szCs w:val="19"/>
          <w:color w:val="auto"/>
        </w:rPr>
        <w:t>The Company’s share capital registered with the Swiss Commercial Register on December 31, 2024 amounted to CHF 3,999,729 divided into 39,997,285 fully paid up registered shares with a par value of CHF 0.10 per share.</w:t>
      </w:r>
    </w:p>
    <w:p>
      <w:pPr>
        <w:spacing w:after="0" w:line="82" w:lineRule="exact"/>
        <w:rPr>
          <w:sz w:val="20"/>
          <w:szCs w:val="20"/>
          <w:color w:val="auto"/>
        </w:rPr>
      </w:pPr>
    </w:p>
    <w:p>
      <w:pPr>
        <w:ind w:right="520"/>
        <w:spacing w:after="0" w:line="304" w:lineRule="auto"/>
        <w:rPr>
          <w:sz w:val="20"/>
          <w:szCs w:val="20"/>
          <w:color w:val="auto"/>
        </w:rPr>
      </w:pPr>
      <w:r>
        <w:rPr>
          <w:rFonts w:ascii="Times New Roman" w:cs="Times New Roman" w:eastAsia="Times New Roman" w:hAnsi="Times New Roman"/>
          <w:sz w:val="18"/>
          <w:szCs w:val="18"/>
          <w:color w:val="auto"/>
        </w:rPr>
        <w:t>The capital increases in 2024 triggered by the option exercises and the vesting of Performance Share Units ("PSU") and Restricted Share Units ("RSU"), from the RSU Plan 2021 and PSU Plans 2021, 2022 and 2023 were registered with the Commercial Register on February 11,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capital increase in October 2024 was registered with the Commercial Register on October 25,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range</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On December 31, 2024, the Company had a capital range from CHF 3,635,429.70 (lower limit) to up to CHF 5,453,144.55 (upper limit). On February 11, 2025, the upper limit of the capital range increased to CHF 5,489,726 and the lower limit increased to CHF 3,672,011 as a result of the share capital increase out of conditional share capital registered with the Commercial Register. The Board of Directors is authorized to increase or reduce the share capital within the capital range once or several times and in any amounts or to acquire or dispose of shares directly or indirectly, until April 17, 2029 or until an earlier expiry of the capital range. As approved by the annual general meeting on April 17, 2024 and in line with the Swiss corporate law reform, the capital range replaced the previous authorized share capital.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Conditional share capital</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As of December 31, 2024 the Company’s share capital was allowed to be increased by an amount not to exceed CHF 363,419 (taking into account the 365,810 registered shares already issued out of the conditional capital as of December 31, 2024, but not yet registered in the commercial register) through the issuance of up to 3,634,190 fully paid up shares with a par value of CHF 0.10 per share through the direct or indirect issuance of shares, options or preemptive rights granted to employees, members of the Board of Directors or members of any advisory boards as approved. During 2024, the share capital was increased out of this conditional capital for employee participation (Article 3b of the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1339"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Association). As a result, the available conditional capital for employee participation decreased by CHF 36,581 from CHF 400,000 to CHF 363,419.</w:t>
      </w:r>
    </w:p>
    <w:p>
      <w:pPr>
        <w:spacing w:after="0" w:line="14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9"/>
          <w:szCs w:val="19"/>
          <w:color w:val="auto"/>
        </w:rPr>
        <w:t>In addition, the share capital may be increased by an amount not to exceed CHF 226,087 through the issuance of up to 2,260,870 fully paid up shares with a par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2024, this conditional capital for financing transactions and other purposes (Article 3c of the Articles of Association) remained unchanged.</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 2024, 2023 and 2022 the cash proceeds from the exercise of share options and the vesting of Performance Share Units (“PSU”) and Restricted Share Units ("RSU"), amounted to CHF 36,581, CHF 30,959 and CHF 269,552 respectively and all resulted from the issuance of new shares (conditional share capital).</w:t>
      </w:r>
    </w:p>
    <w:p>
      <w:pPr>
        <w:spacing w:after="0" w:line="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tab/>
        <w:t>Trade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5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payables</w:t>
            </w:r>
          </w:p>
        </w:tc>
        <w:tc>
          <w:tcPr>
            <w:tcW w:w="35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679</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410</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Social security</w:t>
            </w:r>
          </w:p>
        </w:tc>
        <w:tc>
          <w:tcPr>
            <w:tcW w:w="358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rPr>
              <w:t>1,177</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918</w:t>
            </w:r>
          </w:p>
        </w:tc>
      </w:tr>
      <w:tr>
        <w:trPr>
          <w:trHeight w:val="26"/>
        </w:trPr>
        <w:tc>
          <w:tcPr>
            <w:tcW w:w="6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payables</w:t>
            </w:r>
          </w:p>
        </w:tc>
        <w:tc>
          <w:tcPr>
            <w:tcW w:w="35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3</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30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3580" w:type="dxa"/>
            <w:vAlign w:val="bottom"/>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1,859</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1,328</w:t>
            </w:r>
          </w:p>
        </w:tc>
      </w:tr>
      <w:tr>
        <w:trPr>
          <w:trHeight w:val="26"/>
        </w:trPr>
        <w:tc>
          <w:tcPr>
            <w:tcW w:w="65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10"/>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Trade payables are denominated in the following currencies:</w:t>
            </w:r>
          </w:p>
        </w:tc>
        <w:tc>
          <w:tcPr>
            <w:tcW w:w="3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3"/>
        </w:trPr>
        <w:tc>
          <w:tcPr>
            <w:tcW w:w="652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21"/>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5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CHF</w:t>
            </w:r>
          </w:p>
        </w:tc>
        <w:tc>
          <w:tcPr>
            <w:tcW w:w="35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361</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227</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w:t>
            </w:r>
          </w:p>
        </w:tc>
        <w:tc>
          <w:tcPr>
            <w:tcW w:w="358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rPr>
              <w:t>187</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161</w:t>
            </w:r>
          </w:p>
        </w:tc>
      </w:tr>
      <w:tr>
        <w:trPr>
          <w:trHeight w:val="26"/>
        </w:trPr>
        <w:tc>
          <w:tcPr>
            <w:tcW w:w="6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USD</w:t>
            </w:r>
          </w:p>
        </w:tc>
        <w:tc>
          <w:tcPr>
            <w:tcW w:w="35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rPr>
              <w:t>76</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GBP</w:t>
            </w:r>
          </w:p>
        </w:tc>
        <w:tc>
          <w:tcPr>
            <w:tcW w:w="358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rPr>
              <w:t>55</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6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3580" w:type="dxa"/>
            <w:vAlign w:val="bottom"/>
            <w:tcBorders>
              <w:bottom w:val="single" w:sz="8" w:color="CCEEFF"/>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679</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410</w:t>
            </w:r>
          </w:p>
        </w:tc>
      </w:tr>
      <w:tr>
        <w:trPr>
          <w:trHeight w:val="20"/>
        </w:trPr>
        <w:tc>
          <w:tcPr>
            <w:tcW w:w="652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14.</w:t>
        <w:tab/>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4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project costs and royalties</w:t>
            </w:r>
          </w:p>
        </w:tc>
        <w:tc>
          <w:tcPr>
            <w:tcW w:w="4420" w:type="dxa"/>
            <w:vAlign w:val="bottom"/>
            <w:tcBorders>
              <w:bottom w:val="single" w:sz="8" w:color="CCEEFF"/>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2,057</w:t>
            </w:r>
          </w:p>
        </w:tc>
        <w:tc>
          <w:tcPr>
            <w:tcW w:w="11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1,827</w:t>
            </w: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bonuses</w:t>
            </w:r>
          </w:p>
        </w:tc>
        <w:tc>
          <w:tcPr>
            <w:tcW w:w="442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5,068</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5,012</w:t>
            </w:r>
          </w:p>
        </w:tc>
      </w:tr>
      <w:tr>
        <w:trPr>
          <w:trHeight w:val="26"/>
        </w:trPr>
        <w:tc>
          <w:tcPr>
            <w:tcW w:w="56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420" w:type="dxa"/>
            <w:vAlign w:val="bottom"/>
            <w:tcBorders>
              <w:bottom w:val="single" w:sz="8" w:color="CCEEFF"/>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584</w:t>
            </w:r>
          </w:p>
        </w:tc>
        <w:tc>
          <w:tcPr>
            <w:tcW w:w="11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708</w:t>
            </w: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4420" w:type="dxa"/>
            <w:vAlign w:val="bottom"/>
          </w:tcPr>
          <w:p>
            <w:pPr>
              <w:jc w:val="right"/>
              <w:ind w:right="697"/>
              <w:spacing w:after="0"/>
              <w:rPr>
                <w:sz w:val="20"/>
                <w:szCs w:val="20"/>
                <w:color w:val="auto"/>
              </w:rPr>
            </w:pPr>
            <w:r>
              <w:rPr>
                <w:rFonts w:ascii="Times New Roman" w:cs="Times New Roman" w:eastAsia="Times New Roman" w:hAnsi="Times New Roman"/>
                <w:sz w:val="17"/>
                <w:szCs w:val="17"/>
                <w:b w:val="1"/>
                <w:bCs w:val="1"/>
                <w:color w:val="auto"/>
              </w:rPr>
              <w:t>7,709</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7,547</w:t>
            </w:r>
          </w:p>
        </w:tc>
      </w:tr>
      <w:tr>
        <w:trPr>
          <w:trHeight w:val="26"/>
        </w:trPr>
        <w:tc>
          <w:tcPr>
            <w:tcW w:w="56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tab/>
        <w:t>Contract liability</w:t>
      </w:r>
    </w:p>
    <w:p>
      <w:pPr>
        <w:spacing w:after="0" w:line="146"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9"/>
          <w:szCs w:val="19"/>
          <w:color w:val="auto"/>
        </w:rPr>
        <w:t>During 2024 the Company concluded the revenue recognition of the upfront fee accounted for in the year 2021 under the Novartis Radioligand Agreement. With the amount of TCHF 4,333 recognized during 2024 there is no remaining balance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9"/>
          <w:szCs w:val="19"/>
          <w:color w:val="auto"/>
        </w:rPr>
        <w:t>The table below presents the movement on the contract liability: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60" w:type="dxa"/>
            <w:vAlign w:val="bottom"/>
          </w:tcPr>
          <w:p>
            <w:pPr>
              <w:spacing w:after="0"/>
              <w:rPr>
                <w:sz w:val="15"/>
                <w:szCs w:val="15"/>
                <w:color w:val="auto"/>
              </w:rPr>
            </w:pPr>
          </w:p>
        </w:tc>
        <w:tc>
          <w:tcPr>
            <w:tcW w:w="3740" w:type="dxa"/>
            <w:vAlign w:val="bottom"/>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Contract liability at</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Contract liability at</w:t>
            </w:r>
          </w:p>
        </w:tc>
      </w:tr>
      <w:tr>
        <w:trPr>
          <w:trHeight w:val="228"/>
        </w:trPr>
        <w:tc>
          <w:tcPr>
            <w:tcW w:w="3160" w:type="dxa"/>
            <w:vAlign w:val="bottom"/>
          </w:tcPr>
          <w:p>
            <w:pPr>
              <w:spacing w:after="0"/>
              <w:rPr>
                <w:sz w:val="19"/>
                <w:szCs w:val="19"/>
                <w:color w:val="auto"/>
              </w:rPr>
            </w:pPr>
          </w:p>
        </w:tc>
        <w:tc>
          <w:tcPr>
            <w:tcW w:w="3740" w:type="dxa"/>
            <w:vAlign w:val="bottom"/>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January 1,</w:t>
            </w:r>
          </w:p>
        </w:tc>
        <w:tc>
          <w:tcPr>
            <w:tcW w:w="1460" w:type="dxa"/>
            <w:vAlign w:val="bottom"/>
          </w:tcPr>
          <w:p>
            <w:pPr>
              <w:spacing w:after="0"/>
              <w:rPr>
                <w:sz w:val="19"/>
                <w:szCs w:val="19"/>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Recognized as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24"/>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7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Novartis</w:t>
            </w:r>
          </w:p>
        </w:tc>
        <w:tc>
          <w:tcPr>
            <w:tcW w:w="3740" w:type="dxa"/>
            <w:vAlign w:val="bottom"/>
            <w:tcBorders>
              <w:bottom w:val="single" w:sz="8" w:color="CCEEFF"/>
            </w:tcBorders>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4,333</w:t>
            </w:r>
          </w:p>
        </w:tc>
        <w:tc>
          <w:tcPr>
            <w:tcW w:w="14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(4,333)</w:t>
            </w:r>
          </w:p>
        </w:tc>
        <w:tc>
          <w:tcPr>
            <w:tcW w:w="14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3740" w:type="dxa"/>
            <w:vAlign w:val="bottom"/>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4,333</w:t>
            </w:r>
          </w:p>
        </w:tc>
        <w:tc>
          <w:tcPr>
            <w:tcW w:w="146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(4,333)</w:t>
            </w:r>
          </w:p>
        </w:tc>
        <w:tc>
          <w:tcPr>
            <w:tcW w:w="146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
        </w:trPr>
        <w:tc>
          <w:tcPr>
            <w:tcW w:w="3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97"/>
        </w:trPr>
        <w:tc>
          <w:tcPr>
            <w:tcW w:w="3160" w:type="dxa"/>
            <w:vAlign w:val="bottom"/>
          </w:tcPr>
          <w:p>
            <w:pPr>
              <w:spacing w:after="0"/>
              <w:rPr>
                <w:sz w:val="24"/>
                <w:szCs w:val="24"/>
                <w:color w:val="auto"/>
              </w:rPr>
            </w:pPr>
          </w:p>
        </w:tc>
        <w:tc>
          <w:tcPr>
            <w:tcW w:w="3740" w:type="dxa"/>
            <w:vAlign w:val="bottom"/>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Contract liability at</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Contract liability at</w:t>
            </w:r>
          </w:p>
        </w:tc>
      </w:tr>
      <w:tr>
        <w:trPr>
          <w:trHeight w:val="228"/>
        </w:trPr>
        <w:tc>
          <w:tcPr>
            <w:tcW w:w="3160" w:type="dxa"/>
            <w:vAlign w:val="bottom"/>
          </w:tcPr>
          <w:p>
            <w:pPr>
              <w:spacing w:after="0"/>
              <w:rPr>
                <w:sz w:val="19"/>
                <w:szCs w:val="19"/>
                <w:color w:val="auto"/>
              </w:rPr>
            </w:pPr>
          </w:p>
        </w:tc>
        <w:tc>
          <w:tcPr>
            <w:tcW w:w="3740" w:type="dxa"/>
            <w:vAlign w:val="bottom"/>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January 1,</w:t>
            </w:r>
          </w:p>
        </w:tc>
        <w:tc>
          <w:tcPr>
            <w:tcW w:w="1460" w:type="dxa"/>
            <w:vAlign w:val="bottom"/>
          </w:tcPr>
          <w:p>
            <w:pPr>
              <w:spacing w:after="0"/>
              <w:rPr>
                <w:sz w:val="19"/>
                <w:szCs w:val="19"/>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Recognized as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740" w:type="dxa"/>
            <w:vAlign w:val="bottom"/>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6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Additions</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4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Novartis</w:t>
            </w:r>
          </w:p>
        </w:tc>
        <w:tc>
          <w:tcPr>
            <w:tcW w:w="3740" w:type="dxa"/>
            <w:vAlign w:val="bottom"/>
            <w:tcBorders>
              <w:bottom w:val="single" w:sz="8" w:color="CCEEFF"/>
            </w:tcBorders>
            <w:shd w:val="clear" w:color="auto" w:fill="CCEEFF"/>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10,046</w:t>
            </w:r>
          </w:p>
        </w:tc>
        <w:tc>
          <w:tcPr>
            <w:tcW w:w="14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(5,713)</w:t>
            </w:r>
          </w:p>
        </w:tc>
        <w:tc>
          <w:tcPr>
            <w:tcW w:w="14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4,333</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3740" w:type="dxa"/>
            <w:vAlign w:val="bottom"/>
          </w:tcPr>
          <w:p>
            <w:pPr>
              <w:jc w:val="right"/>
              <w:ind w:right="601"/>
              <w:spacing w:after="0"/>
              <w:rPr>
                <w:sz w:val="20"/>
                <w:szCs w:val="20"/>
                <w:color w:val="auto"/>
              </w:rPr>
            </w:pPr>
            <w:r>
              <w:rPr>
                <w:rFonts w:ascii="Times New Roman" w:cs="Times New Roman" w:eastAsia="Times New Roman" w:hAnsi="Times New Roman"/>
                <w:sz w:val="17"/>
                <w:szCs w:val="17"/>
                <w:b w:val="1"/>
                <w:bCs w:val="1"/>
                <w:color w:val="auto"/>
              </w:rPr>
              <w:t>10,046</w:t>
            </w:r>
          </w:p>
        </w:tc>
        <w:tc>
          <w:tcPr>
            <w:tcW w:w="146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(5,713)</w:t>
            </w:r>
          </w:p>
        </w:tc>
        <w:tc>
          <w:tcPr>
            <w:tcW w:w="146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4,333</w:t>
            </w:r>
          </w:p>
        </w:tc>
      </w:tr>
      <w:tr>
        <w:trPr>
          <w:trHeight w:val="26"/>
        </w:trPr>
        <w:tc>
          <w:tcPr>
            <w:tcW w:w="3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16.</w:t>
        <w:tab/>
        <w:t>Additional information on the nature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tc>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3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consumables and external research and development expenses</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(17,529)</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(15,892)</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(17,154)</w:t>
            </w:r>
          </w:p>
        </w:tc>
      </w:tr>
      <w:tr>
        <w:trPr>
          <w:trHeight w:val="329"/>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Personnel expenses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see also note 18</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(26,735)</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(28,376)</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(28,101)</w:t>
            </w: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(1,950)</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(2,053)</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(1,971)</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(515)</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(853)</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(957)</w:t>
            </w:r>
          </w:p>
        </w:tc>
      </w:tr>
      <w:tr>
        <w:trPr>
          <w:trHeight w:val="26"/>
        </w:trPr>
        <w:tc>
          <w:tcPr>
            <w:tcW w:w="6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expenses</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(1,100)</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(940)</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(854)</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research and development expenses</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(765)</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(660)</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(703)</w:t>
            </w:r>
          </w:p>
        </w:tc>
      </w:tr>
      <w:tr>
        <w:trPr>
          <w:trHeight w:val="26"/>
        </w:trPr>
        <w:tc>
          <w:tcPr>
            <w:tcW w:w="6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Royalties and license fees, see also note 17</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(10)</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(10)</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(1,010)</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(48,604)</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(48,784)</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(50,749)</w:t>
            </w:r>
          </w:p>
        </w:tc>
      </w:tr>
      <w:tr>
        <w:trPr>
          <w:trHeight w:val="26"/>
        </w:trPr>
        <w:tc>
          <w:tcPr>
            <w:tcW w:w="6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6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Selling, general and administrative expenses</w:t>
            </w:r>
          </w:p>
        </w:tc>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3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5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Personnel expenses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see also note 18</w:t>
            </w:r>
          </w:p>
        </w:tc>
        <w:tc>
          <w:tcPr>
            <w:tcW w:w="23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(10,961)</w:t>
            </w:r>
          </w:p>
        </w:tc>
        <w:tc>
          <w:tcPr>
            <w:tcW w:w="15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(11,640)</w:t>
            </w:r>
          </w:p>
        </w:tc>
        <w:tc>
          <w:tcPr>
            <w:tcW w:w="1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(11,788)</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administrative expenses</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(6,118)</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(7,283)</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(9,965)</w:t>
            </w:r>
          </w:p>
        </w:tc>
      </w:tr>
      <w:tr>
        <w:trPr>
          <w:trHeight w:val="26"/>
        </w:trPr>
        <w:tc>
          <w:tcPr>
            <w:tcW w:w="6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(419)</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(367)</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(416)</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 expenses</w:t>
            </w:r>
          </w:p>
        </w:tc>
        <w:tc>
          <w:tcPr>
            <w:tcW w:w="23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(85)</w:t>
            </w:r>
          </w:p>
        </w:tc>
        <w:tc>
          <w:tcPr>
            <w:tcW w:w="154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rPr>
              <w:t>(72)</w:t>
            </w: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(69)</w:t>
            </w:r>
          </w:p>
        </w:tc>
      </w:tr>
      <w:tr>
        <w:trPr>
          <w:trHeight w:val="26"/>
        </w:trPr>
        <w:tc>
          <w:tcPr>
            <w:tcW w:w="6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(17,583)</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(19,362)</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(22,238)</w:t>
            </w:r>
          </w:p>
        </w:tc>
      </w:tr>
      <w:tr>
        <w:trPr>
          <w:trHeight w:val="221"/>
        </w:trPr>
        <w:tc>
          <w:tcPr>
            <w:tcW w:w="614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3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(66,187)</w:t>
            </w:r>
          </w:p>
        </w:tc>
        <w:tc>
          <w:tcPr>
            <w:tcW w:w="15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(68,146)</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(72,987)</w:t>
            </w:r>
          </w:p>
        </w:tc>
      </w:tr>
      <w:tr>
        <w:trPr>
          <w:trHeight w:val="20"/>
        </w:trPr>
        <w:tc>
          <w:tcPr>
            <w:tcW w:w="61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93" w:lineRule="exact"/>
        <w:rPr>
          <w:sz w:val="20"/>
          <w:szCs w:val="20"/>
          <w:color w:val="auto"/>
        </w:rPr>
      </w:pPr>
    </w:p>
    <w:p>
      <w:pPr>
        <w:ind w:right="340" w:firstLine="1"/>
        <w:spacing w:after="0" w:line="238" w:lineRule="auto"/>
        <w:tabs>
          <w:tab w:leader="none" w:pos="187"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non-cash effective pension and share-based compensation costs were TCHF 1,833 in 2024, TCHF 3,447 in 2023 and TCHF 3,856 in 2022.</w:t>
      </w:r>
    </w:p>
    <w:p>
      <w:pPr>
        <w:spacing w:after="0" w:line="114" w:lineRule="exact"/>
        <w:rPr>
          <w:rFonts w:ascii="Times New Roman" w:cs="Times New Roman" w:eastAsia="Times New Roman" w:hAnsi="Times New Roman"/>
          <w:sz w:val="23"/>
          <w:szCs w:val="23"/>
          <w:color w:val="auto"/>
          <w:vertAlign w:val="superscript"/>
        </w:rPr>
      </w:pPr>
    </w:p>
    <w:p>
      <w:pPr>
        <w:ind w:right="80" w:firstLine="1"/>
        <w:spacing w:after="0" w:line="238" w:lineRule="auto"/>
        <w:tabs>
          <w:tab w:leader="none" w:pos="187"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Selling, general and administrative non-cash effective pension and share based compensation costs were TCHF 1,586 in 2024, TCHF 2,260 in 2023 and TCHF 2,329 in 2022.</w:t>
      </w:r>
    </w:p>
    <w:p>
      <w:pPr>
        <w:sectPr>
          <w:pgSz w:w="11900" w:h="16838" w:orient="portrait"/>
          <w:cols w:equalWidth="0" w:num="1">
            <w:col w:w="11240"/>
          </w:cols>
          <w:pgMar w:left="320" w:top="1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597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type w:val="continuous"/>
        </w:sectPr>
      </w:pPr>
    </w:p>
    <w:bookmarkStart w:id="207" w:name="page208"/>
    <w:bookmarkEnd w:id="207"/>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tab/>
        <w:t>Royalties and license fees</w:t>
      </w:r>
    </w:p>
    <w:p>
      <w:pPr>
        <w:spacing w:after="0" w:line="146"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9"/>
          <w:szCs w:val="19"/>
          <w:color w:val="auto"/>
        </w:rPr>
        <w:t>The Group holds a non-exclusive perpetual license from the University of Zurich on patent applications and patents relating to Phage Display technology. The amount payable by the Group is CHF 10,000 per annum.</w:t>
      </w:r>
    </w:p>
    <w:p>
      <w:pPr>
        <w:spacing w:after="0" w:line="1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tab/>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14057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w:t>
            </w:r>
          </w:p>
        </w:tc>
        <w:tc>
          <w:tcPr>
            <w:tcW w:w="1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(27,031)</w:t>
            </w:r>
          </w:p>
        </w:tc>
        <w:tc>
          <w:tcPr>
            <w:tcW w:w="176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(27,022)</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(27,737)</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(non-cash effective)</w:t>
            </w:r>
          </w:p>
        </w:tc>
        <w:tc>
          <w:tcPr>
            <w:tcW w:w="17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(4,105)</w:t>
            </w:r>
          </w:p>
        </w:tc>
        <w:tc>
          <w:tcPr>
            <w:tcW w:w="17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(5,207)</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(5,088)</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costs</w:t>
            </w:r>
          </w:p>
        </w:tc>
        <w:tc>
          <w:tcPr>
            <w:tcW w:w="1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(1,467)</w:t>
            </w:r>
          </w:p>
        </w:tc>
        <w:tc>
          <w:tcPr>
            <w:tcW w:w="176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(2,632)</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(3,192)</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Social security costs</w:t>
            </w:r>
          </w:p>
        </w:tc>
        <w:tc>
          <w:tcPr>
            <w:tcW w:w="176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(2,449)</w:t>
            </w:r>
          </w:p>
        </w:tc>
        <w:tc>
          <w:tcPr>
            <w:tcW w:w="17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(2,201)</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(2,399)</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personnel expenses</w:t>
            </w:r>
          </w:p>
        </w:tc>
        <w:tc>
          <w:tcPr>
            <w:tcW w:w="1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(2,644)</w:t>
            </w:r>
          </w:p>
        </w:tc>
        <w:tc>
          <w:tcPr>
            <w:tcW w:w="176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(2,954)</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(1,473)</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1760" w:type="dxa"/>
            <w:vAlign w:val="bottom"/>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(37,696)</w:t>
            </w:r>
          </w:p>
        </w:tc>
        <w:tc>
          <w:tcPr>
            <w:tcW w:w="1760" w:type="dxa"/>
            <w:vAlign w:val="bottom"/>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(40,016)</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(39,889)</w:t>
            </w:r>
          </w:p>
        </w:tc>
      </w:tr>
      <w:tr>
        <w:trPr>
          <w:trHeight w:val="26"/>
        </w:trPr>
        <w:tc>
          <w:tcPr>
            <w:tcW w:w="6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6"/>
        </w:trPr>
        <w:tc>
          <w:tcPr>
            <w:tcW w:w="6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1"/>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Full-time equivalents and head count</w:t>
            </w:r>
          </w:p>
        </w:tc>
        <w:tc>
          <w:tcPr>
            <w:tcW w:w="1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number of full-time equivalents</w:t>
            </w:r>
          </w:p>
        </w:tc>
        <w:tc>
          <w:tcPr>
            <w:tcW w:w="17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161.7</w:t>
            </w:r>
          </w:p>
        </w:tc>
        <w:tc>
          <w:tcPr>
            <w:tcW w:w="176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167.8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Full-time equivalents at year end</w:t>
            </w:r>
          </w:p>
        </w:tc>
        <w:tc>
          <w:tcPr>
            <w:tcW w:w="17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158.5</w:t>
            </w:r>
          </w:p>
        </w:tc>
        <w:tc>
          <w:tcPr>
            <w:tcW w:w="17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167.5</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Headcount at year end</w:t>
            </w:r>
          </w:p>
        </w:tc>
        <w:tc>
          <w:tcPr>
            <w:tcW w:w="17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174</w:t>
            </w:r>
          </w:p>
        </w:tc>
        <w:tc>
          <w:tcPr>
            <w:tcW w:w="176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182</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191</w:t>
            </w:r>
          </w:p>
        </w:tc>
      </w:tr>
      <w:tr>
        <w:trPr>
          <w:trHeight w:val="460"/>
        </w:trPr>
        <w:tc>
          <w:tcPr>
            <w:tcW w:w="6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18.1  Pension costs and liabilities</w:t>
            </w:r>
          </w:p>
        </w:tc>
        <w:tc>
          <w:tcPr>
            <w:tcW w:w="17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59"/>
        </w:trPr>
        <w:tc>
          <w:tcPr>
            <w:tcW w:w="6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221"/>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1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pension plans</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Actuarial assumptions</w:t>
            </w: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 at January 1</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1.50 %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2.25 %</w:t>
            </w:r>
          </w:p>
        </w:tc>
      </w:tr>
      <w:tr>
        <w:trPr>
          <w:trHeight w:val="253"/>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Discount rate at December 31 </w:t>
            </w:r>
            <w:r>
              <w:rPr>
                <w:rFonts w:ascii="Times New Roman" w:cs="Times New Roman" w:eastAsia="Times New Roman" w:hAnsi="Times New Roman"/>
                <w:sz w:val="21"/>
                <w:szCs w:val="21"/>
                <w:color w:val="auto"/>
                <w:vertAlign w:val="superscript"/>
              </w:rPr>
              <w:t>(1)</w:t>
            </w:r>
          </w:p>
        </w:tc>
        <w:tc>
          <w:tcPr>
            <w:tcW w:w="1760" w:type="dxa"/>
            <w:vAlign w:val="bottom"/>
          </w:tcPr>
          <w:p>
            <w:pPr>
              <w:spacing w:after="0"/>
              <w:rPr>
                <w:sz w:val="22"/>
                <w:szCs w:val="22"/>
                <w:color w:val="auto"/>
              </w:rPr>
            </w:pPr>
          </w:p>
        </w:tc>
        <w:tc>
          <w:tcPr>
            <w:tcW w:w="176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1.00 %</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salary increases at December 31</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2.00 %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Mortality tables</w:t>
            </w:r>
          </w:p>
        </w:tc>
        <w:tc>
          <w:tcPr>
            <w:tcW w:w="1760" w:type="dxa"/>
            <w:vAlign w:val="bottom"/>
          </w:tcPr>
          <w:p>
            <w:pPr>
              <w:spacing w:after="0"/>
              <w:rPr>
                <w:sz w:val="19"/>
                <w:szCs w:val="19"/>
                <w:color w:val="auto"/>
              </w:rPr>
            </w:pPr>
          </w:p>
        </w:tc>
        <w:tc>
          <w:tcPr>
            <w:tcW w:w="176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BVG2020 GT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BVG2020 GT</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of last actuarial valuation</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31.12.2024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31.12.2023</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the amount recognized in the statement of financial position</w:t>
            </w: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58,210</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56,347</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December 31</w:t>
            </w:r>
          </w:p>
        </w:tc>
        <w:tc>
          <w:tcPr>
            <w:tcW w:w="1760" w:type="dxa"/>
            <w:vAlign w:val="bottom"/>
          </w:tcPr>
          <w:p>
            <w:pPr>
              <w:spacing w:after="0"/>
              <w:rPr>
                <w:sz w:val="19"/>
                <w:szCs w:val="19"/>
                <w:color w:val="auto"/>
              </w:rPr>
            </w:pPr>
          </w:p>
        </w:tc>
        <w:tc>
          <w:tcPr>
            <w:tcW w:w="176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rPr>
              <w:t>53,690</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51,627</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Net defined benefit liability at December 31 </w:t>
            </w:r>
            <w:r>
              <w:rPr>
                <w:rFonts w:ascii="Times New Roman" w:cs="Times New Roman" w:eastAsia="Times New Roman" w:hAnsi="Times New Roman"/>
                <w:sz w:val="21"/>
                <w:szCs w:val="21"/>
                <w:b w:val="1"/>
                <w:bCs w:val="1"/>
                <w:color w:val="auto"/>
                <w:vertAlign w:val="superscript"/>
              </w:rPr>
              <w:t>(2)</w:t>
            </w:r>
          </w:p>
        </w:tc>
        <w:tc>
          <w:tcPr>
            <w:tcW w:w="17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b w:val="1"/>
                <w:bCs w:val="1"/>
                <w:color w:val="auto"/>
              </w:rPr>
              <w:t>4,520</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4,720</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defined benefit cost in profit or loss</w:t>
            </w: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service cost (employer)</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2,662</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2,507</w:t>
            </w:r>
          </w:p>
        </w:tc>
      </w:tr>
      <w:tr>
        <w:trPr>
          <w:trHeight w:val="253"/>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Past service cost </w:t>
            </w:r>
            <w:r>
              <w:rPr>
                <w:rFonts w:ascii="Times New Roman" w:cs="Times New Roman" w:eastAsia="Times New Roman" w:hAnsi="Times New Roman"/>
                <w:sz w:val="21"/>
                <w:szCs w:val="21"/>
                <w:color w:val="auto"/>
                <w:vertAlign w:val="superscript"/>
              </w:rPr>
              <w:t>(5)</w:t>
            </w:r>
          </w:p>
        </w:tc>
        <w:tc>
          <w:tcPr>
            <w:tcW w:w="1760" w:type="dxa"/>
            <w:vAlign w:val="bottom"/>
          </w:tcPr>
          <w:p>
            <w:pPr>
              <w:spacing w:after="0"/>
              <w:rPr>
                <w:sz w:val="22"/>
                <w:szCs w:val="22"/>
                <w:color w:val="auto"/>
              </w:rPr>
            </w:pPr>
          </w:p>
        </w:tc>
        <w:tc>
          <w:tcPr>
            <w:tcW w:w="17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(1,297)</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w:t>
            </w: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on defined benefit obligation</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836</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1,182</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on plan assets</w:t>
            </w:r>
          </w:p>
        </w:tc>
        <w:tc>
          <w:tcPr>
            <w:tcW w:w="1760" w:type="dxa"/>
            <w:vAlign w:val="bottom"/>
          </w:tcPr>
          <w:p>
            <w:pPr>
              <w:spacing w:after="0"/>
              <w:rPr>
                <w:sz w:val="19"/>
                <w:szCs w:val="19"/>
                <w:color w:val="auto"/>
              </w:rPr>
            </w:pPr>
          </w:p>
        </w:tc>
        <w:tc>
          <w:tcPr>
            <w:tcW w:w="176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(761)</w:t>
            </w: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(1,126)</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cost excl. cost for managing plan assets</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27</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26</w:t>
            </w:r>
          </w:p>
        </w:tc>
      </w:tr>
      <w:tr>
        <w:trPr>
          <w:trHeight w:val="227"/>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cost recognized in profit or loss</w:t>
            </w:r>
          </w:p>
        </w:tc>
        <w:tc>
          <w:tcPr>
            <w:tcW w:w="1760" w:type="dxa"/>
            <w:vAlign w:val="bottom"/>
          </w:tcPr>
          <w:p>
            <w:pPr>
              <w:spacing w:after="0"/>
              <w:rPr>
                <w:sz w:val="19"/>
                <w:szCs w:val="19"/>
                <w:color w:val="auto"/>
              </w:rPr>
            </w:pPr>
          </w:p>
        </w:tc>
        <w:tc>
          <w:tcPr>
            <w:tcW w:w="1760" w:type="dxa"/>
            <w:vAlign w:val="bottom"/>
          </w:tcPr>
          <w:p>
            <w:pPr>
              <w:jc w:val="right"/>
              <w:ind w:right="736"/>
              <w:spacing w:after="0"/>
              <w:rPr>
                <w:sz w:val="20"/>
                <w:szCs w:val="20"/>
                <w:color w:val="auto"/>
              </w:rPr>
            </w:pPr>
            <w:r>
              <w:rPr>
                <w:rFonts w:ascii="Times New Roman" w:cs="Times New Roman" w:eastAsia="Times New Roman" w:hAnsi="Times New Roman"/>
                <w:sz w:val="17"/>
                <w:szCs w:val="17"/>
                <w:b w:val="1"/>
                <w:bCs w:val="1"/>
                <w:color w:val="auto"/>
              </w:rPr>
              <w:t>1,467</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2,632</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thereof service cost and administrative cost</w:t>
            </w:r>
          </w:p>
        </w:tc>
        <w:tc>
          <w:tcPr>
            <w:tcW w:w="17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rPr>
              <w:t>1,393</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2,576</w:t>
            </w:r>
          </w:p>
        </w:tc>
      </w:tr>
      <w:tr>
        <w:trPr>
          <w:trHeight w:val="227"/>
        </w:trPr>
        <w:tc>
          <w:tcPr>
            <w:tcW w:w="6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thereof net interest expense on the net defined benefit liability</w:t>
            </w:r>
          </w:p>
        </w:tc>
        <w:tc>
          <w:tcPr>
            <w:tcW w:w="1760" w:type="dxa"/>
            <w:vAlign w:val="bottom"/>
          </w:tcPr>
          <w:p>
            <w:pPr>
              <w:spacing w:after="0"/>
              <w:rPr>
                <w:sz w:val="19"/>
                <w:szCs w:val="19"/>
                <w:color w:val="auto"/>
              </w:rPr>
            </w:pPr>
          </w:p>
        </w:tc>
        <w:tc>
          <w:tcPr>
            <w:tcW w:w="176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rPr>
              <w:t>74</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56</w:t>
            </w:r>
          </w:p>
        </w:tc>
      </w:tr>
      <w:tr>
        <w:trPr>
          <w:trHeight w:val="26"/>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net defined benefit liability</w:t>
            </w:r>
          </w:p>
        </w:tc>
        <w:tc>
          <w:tcPr>
            <w:tcW w:w="17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
        </w:trPr>
        <w:tc>
          <w:tcPr>
            <w:tcW w:w="6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defined benefit liability at January 1</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4,720</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Defined benefit cost recognized in profit or loss </w:t>
            </w:r>
            <w:r>
              <w:rPr>
                <w:rFonts w:ascii="Times New Roman" w:cs="Times New Roman" w:eastAsia="Times New Roman" w:hAnsi="Times New Roman"/>
                <w:sz w:val="21"/>
                <w:szCs w:val="21"/>
                <w:color w:val="auto"/>
                <w:vertAlign w:val="superscript"/>
              </w:rPr>
              <w:t>(3)</w:t>
            </w:r>
          </w:p>
        </w:tc>
        <w:tc>
          <w:tcPr>
            <w:tcW w:w="34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1,467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Remeasurement of net pension liabilities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485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Contributions by the employer </w:t>
            </w:r>
            <w:r>
              <w:rPr>
                <w:rFonts w:ascii="Times New Roman" w:cs="Times New Roman" w:eastAsia="Times New Roman" w:hAnsi="Times New Roman"/>
                <w:sz w:val="21"/>
                <w:szCs w:val="21"/>
                <w:color w:val="auto"/>
                <w:vertAlign w:val="superscript"/>
              </w:rPr>
              <w:t>(3)</w:t>
            </w:r>
          </w:p>
        </w:tc>
        <w:tc>
          <w:tcPr>
            <w:tcW w:w="348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(2,153)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w:t>
            </w:r>
          </w:p>
        </w:tc>
      </w:tr>
      <w:tr>
        <w:trPr>
          <w:trHeight w:val="25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Net defined benefit liability at December 31 </w:t>
            </w:r>
            <w:r>
              <w:rPr>
                <w:rFonts w:ascii="Times New Roman" w:cs="Times New Roman" w:eastAsia="Times New Roman" w:hAnsi="Times New Roman"/>
                <w:sz w:val="21"/>
                <w:szCs w:val="21"/>
                <w:b w:val="1"/>
                <w:bCs w:val="1"/>
                <w:color w:val="auto"/>
                <w:vertAlign w:val="superscript"/>
              </w:rPr>
              <w:t>(2)</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4,520</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4,720</w:t>
            </w: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defined benefit obligation</w:t>
            </w:r>
          </w:p>
        </w:tc>
        <w:tc>
          <w:tcPr>
            <w:tcW w:w="3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January 1</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56,347</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52,529</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expenses on defined benefit obligation</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836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service cost (employer)</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2,662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by plan participants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1,352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(paid)/deposited</w:t>
            </w:r>
          </w:p>
        </w:tc>
        <w:tc>
          <w:tcPr>
            <w:tcW w:w="348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(5,210)</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(3,918)</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Past service cost</w:t>
            </w:r>
          </w:p>
        </w:tc>
        <w:tc>
          <w:tcPr>
            <w:tcW w:w="348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(1,297)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cost (excl. cost for managing plan assets)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28</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(gain)/loss on defined benefit obligation</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3,492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obligation at December 31</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58,210</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56,347</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amount recognized in OCI</w:t>
            </w:r>
          </w:p>
        </w:tc>
        <w:tc>
          <w:tcPr>
            <w:tcW w:w="3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(gain) / loss on changes in financial assumptions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3,708</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3,644</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(gain) / loss on changes in demographic assumptions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(gain) / loss arising from experience adjustments</w:t>
            </w:r>
          </w:p>
        </w:tc>
        <w:tc>
          <w:tcPr>
            <w:tcW w:w="348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(216)</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Actuarial (gain)/loss on defined benefit obligation</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3,492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2,634</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Return on plan assets excluding interest income</w:t>
            </w:r>
          </w:p>
        </w:tc>
        <w:tc>
          <w:tcPr>
            <w:tcW w:w="348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(3,007)</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Remeasurement of net pension liabilities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485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1,975</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fair value of plan assets</w:t>
            </w:r>
          </w:p>
        </w:tc>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January 1</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51,627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50,284</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on plan assets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761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by the employer</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2,153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Contributions by plan participants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1,352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(paid)/deposited</w:t>
            </w:r>
          </w:p>
        </w:tc>
        <w:tc>
          <w:tcPr>
            <w:tcW w:w="348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(5,210)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Return on plan assets excl. interest income</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3,007</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plan assets at December 31</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53,690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51,627</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Best estimate of contributions of next year</w:t>
            </w:r>
          </w:p>
        </w:tc>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by the employer</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2,128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Plan asset classes</w:t>
            </w:r>
          </w:p>
        </w:tc>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7,254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7,684</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instruments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23,455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21,810</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instruments (e.g. bonds)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10,391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9,047</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funds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2,086</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1,961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plan assets at fair value (quoted market price)</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45,147</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42,154</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Others</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8,543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9,473</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plan assets at fair value (non-quoted market price)</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8,543</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9,473</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plan assets at fair value at December 31</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53,690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51,627</w:t>
            </w:r>
          </w:p>
        </w:tc>
      </w:tr>
      <w:tr>
        <w:trPr>
          <w:trHeight w:val="227"/>
        </w:trPr>
        <w:tc>
          <w:tcPr>
            <w:tcW w:w="6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thereof entity's own transferable financial instruments</w:t>
            </w:r>
          </w:p>
        </w:tc>
        <w:tc>
          <w:tcPr>
            <w:tcW w:w="348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6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thereof property occupied or other assets used by the entity</w:t>
            </w:r>
          </w:p>
        </w:tc>
        <w:tc>
          <w:tcPr>
            <w:tcW w:w="34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0"/>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Sensitivity </w:t>
            </w:r>
            <w:r>
              <w:rPr>
                <w:rFonts w:ascii="Times New Roman" w:cs="Times New Roman" w:eastAsia="Times New Roman" w:hAnsi="Times New Roman"/>
                <w:sz w:val="21"/>
                <w:szCs w:val="21"/>
                <w:b w:val="1"/>
                <w:bCs w:val="1"/>
                <w:color w:val="auto"/>
                <w:vertAlign w:val="superscript"/>
              </w:rPr>
              <w:t>(4)</w:t>
            </w:r>
          </w:p>
        </w:tc>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597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discount rate -0.25%</w:t>
            </w:r>
          </w:p>
        </w:tc>
        <w:tc>
          <w:tcPr>
            <w:tcW w:w="22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60,728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58,683</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discount rate +0.25%</w:t>
            </w:r>
          </w:p>
        </w:tc>
        <w:tc>
          <w:tcPr>
            <w:tcW w:w="22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55,875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54,179</w:t>
            </w:r>
          </w:p>
        </w:tc>
      </w:tr>
      <w:tr>
        <w:trPr>
          <w:trHeight w:val="26"/>
        </w:trPr>
        <w:tc>
          <w:tcPr>
            <w:tcW w:w="7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interest rate on retirement savings capital -0.25%</w:t>
            </w:r>
          </w:p>
        </w:tc>
        <w:tc>
          <w:tcPr>
            <w:tcW w:w="22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57,297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55,437</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interest rate on retirement savings capital +0.25%</w:t>
            </w:r>
          </w:p>
        </w:tc>
        <w:tc>
          <w:tcPr>
            <w:tcW w:w="22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59,149</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57,283</w:t>
            </w:r>
          </w:p>
        </w:tc>
      </w:tr>
      <w:tr>
        <w:trPr>
          <w:trHeight w:val="26"/>
        </w:trPr>
        <w:tc>
          <w:tcPr>
            <w:tcW w:w="7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salary increases -0.25%</w:t>
            </w:r>
          </w:p>
        </w:tc>
        <w:tc>
          <w:tcPr>
            <w:tcW w:w="22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57,785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55,974</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salary increases +0.25%</w:t>
            </w:r>
          </w:p>
        </w:tc>
        <w:tc>
          <w:tcPr>
            <w:tcW w:w="22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58,623</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56,707</w:t>
            </w:r>
          </w:p>
        </w:tc>
      </w:tr>
      <w:tr>
        <w:trPr>
          <w:trHeight w:val="26"/>
        </w:trPr>
        <w:tc>
          <w:tcPr>
            <w:tcW w:w="7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life expectancy +1 year</w:t>
            </w:r>
          </w:p>
        </w:tc>
        <w:tc>
          <w:tcPr>
            <w:tcW w:w="22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59,058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57,071</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obligation at December 31 with life expectancy -1 year</w:t>
            </w:r>
          </w:p>
        </w:tc>
        <w:tc>
          <w:tcPr>
            <w:tcW w:w="22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57,360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55,619</w:t>
            </w:r>
          </w:p>
        </w:tc>
      </w:tr>
      <w:tr>
        <w:trPr>
          <w:trHeight w:val="26"/>
        </w:trPr>
        <w:tc>
          <w:tcPr>
            <w:tcW w:w="7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Maturity profile of defined benefit obligation</w:t>
            </w:r>
          </w:p>
        </w:tc>
        <w:tc>
          <w:tcPr>
            <w:tcW w:w="2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duration of defined obligation in years at December 31</w:t>
            </w:r>
          </w:p>
        </w:tc>
        <w:tc>
          <w:tcPr>
            <w:tcW w:w="226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rPr>
              <w:t>16.8</w:t>
            </w: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16.2</w:t>
            </w:r>
          </w:p>
        </w:tc>
      </w:tr>
      <w:tr>
        <w:trPr>
          <w:trHeight w:val="26"/>
        </w:trPr>
        <w:tc>
          <w:tcPr>
            <w:tcW w:w="7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duration of defined obligation in years at December 31 for active members</w:t>
            </w:r>
          </w:p>
        </w:tc>
        <w:tc>
          <w:tcPr>
            <w:tcW w:w="22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rPr>
              <w:t>16.7</w:t>
            </w:r>
          </w:p>
        </w:tc>
        <w:tc>
          <w:tcPr>
            <w:tcW w:w="120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16.1</w:t>
            </w:r>
          </w:p>
        </w:tc>
      </w:tr>
      <w:tr>
        <w:trPr>
          <w:trHeight w:val="227"/>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duration of defined obligation in years at December 31 for pensioners</w:t>
            </w:r>
          </w:p>
        </w:tc>
        <w:tc>
          <w:tcPr>
            <w:tcW w:w="226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rPr>
              <w:t>17.9</w:t>
            </w: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17.3</w:t>
            </w:r>
          </w:p>
        </w:tc>
      </w:tr>
      <w:tr>
        <w:trPr>
          <w:trHeight w:val="26"/>
        </w:trPr>
        <w:tc>
          <w:tcPr>
            <w:tcW w:w="77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180" w:hanging="179"/>
        <w:spacing w:after="0"/>
        <w:tabs>
          <w:tab w:leader="none" w:pos="180"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Discount rates are based on industry benchmarks related to benefits with a 20 year duration.</w:t>
      </w:r>
    </w:p>
    <w:p>
      <w:pPr>
        <w:spacing w:after="0" w:line="113" w:lineRule="exact"/>
        <w:rPr>
          <w:rFonts w:ascii="Times New Roman" w:cs="Times New Roman" w:eastAsia="Times New Roman" w:hAnsi="Times New Roman"/>
          <w:sz w:val="22"/>
          <w:szCs w:val="22"/>
          <w:color w:val="auto"/>
          <w:vertAlign w:val="superscript"/>
        </w:rPr>
      </w:pPr>
    </w:p>
    <w:p>
      <w:pPr>
        <w:ind w:right="160" w:firstLine="1"/>
        <w:spacing w:after="0" w:line="238" w:lineRule="auto"/>
        <w:tabs>
          <w:tab w:leader="none" w:pos="187"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liabilities for employee benefits, as presented in the consolidated statement of financial position included are also TCHF 359 (2023: TCHF 343; 2022: TCHF 307) for accrued sabbatical cost.</w:t>
      </w:r>
    </w:p>
    <w:p>
      <w:pPr>
        <w:spacing w:after="0" w:line="114" w:lineRule="exact"/>
        <w:rPr>
          <w:rFonts w:ascii="Times New Roman" w:cs="Times New Roman" w:eastAsia="Times New Roman" w:hAnsi="Times New Roman"/>
          <w:sz w:val="23"/>
          <w:szCs w:val="23"/>
          <w:color w:val="auto"/>
          <w:vertAlign w:val="superscript"/>
        </w:rPr>
      </w:pPr>
    </w:p>
    <w:p>
      <w:pPr>
        <w:ind w:right="60" w:firstLine="1"/>
        <w:spacing w:after="0" w:line="243" w:lineRule="auto"/>
        <w:tabs>
          <w:tab w:leader="none" w:pos="187"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sum of these two positions represent the non-cash effective pension costs recognized in the profit and loss section of the consolidated statement of profit or loss and other comprehensive result of which TCHF 532 are research and development costs (2023: TCHF 390; 2022: TCHF 846) and TCHF 154 are selling, general and administrative costs (2023: TCHF 110; 2022: TCHF 250).</w:t>
      </w:r>
    </w:p>
    <w:p>
      <w:pPr>
        <w:spacing w:after="0" w:line="110" w:lineRule="exact"/>
        <w:rPr>
          <w:rFonts w:ascii="Times New Roman" w:cs="Times New Roman" w:eastAsia="Times New Roman" w:hAnsi="Times New Roman"/>
          <w:sz w:val="23"/>
          <w:szCs w:val="23"/>
          <w:color w:val="auto"/>
          <w:vertAlign w:val="superscript"/>
        </w:rPr>
      </w:pPr>
    </w:p>
    <w:p>
      <w:pPr>
        <w:ind w:right="60" w:firstLine="1"/>
        <w:spacing w:after="0" w:line="249" w:lineRule="auto"/>
        <w:tabs>
          <w:tab w:leader="none" w:pos="187"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the Company could change the longevity for most of the age categories by one year longer or shorter than the baseline value.</w:t>
      </w:r>
    </w:p>
    <w:p>
      <w:pPr>
        <w:spacing w:after="0" w:line="95" w:lineRule="exact"/>
        <w:rPr>
          <w:rFonts w:ascii="Times New Roman" w:cs="Times New Roman" w:eastAsia="Times New Roman" w:hAnsi="Times New Roman"/>
          <w:sz w:val="23"/>
          <w:szCs w:val="23"/>
          <w:color w:val="auto"/>
          <w:vertAlign w:val="superscript"/>
        </w:rPr>
      </w:pPr>
    </w:p>
    <w:p>
      <w:pPr>
        <w:ind w:left="180" w:hanging="179"/>
        <w:spacing w:after="0"/>
        <w:tabs>
          <w:tab w:leader="none" w:pos="180"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Negative past service cost mainly result from plan amendments in compulsory defined benefit plan with VSAO.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The table below presents the amounts that are reflected in the statement of comprehensive income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04405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044055" cy="1587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41"/>
        </w:trPr>
        <w:tc>
          <w:tcPr>
            <w:tcW w:w="57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defined benefit cost in profit or loss</w:t>
            </w:r>
          </w:p>
        </w:tc>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service cost (employer)</w:t>
            </w:r>
          </w:p>
        </w:tc>
        <w:tc>
          <w:tcPr>
            <w:tcW w:w="26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2,662</w:t>
            </w:r>
          </w:p>
        </w:tc>
        <w:tc>
          <w:tcPr>
            <w:tcW w:w="15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2,507</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3,137</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Past service cost</w:t>
            </w:r>
          </w:p>
        </w:tc>
        <w:tc>
          <w:tcPr>
            <w:tcW w:w="260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(1,297)</w:t>
            </w: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43</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on defined benefit obligation</w:t>
            </w:r>
          </w:p>
        </w:tc>
        <w:tc>
          <w:tcPr>
            <w:tcW w:w="26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836</w:t>
            </w:r>
          </w:p>
        </w:tc>
        <w:tc>
          <w:tcPr>
            <w:tcW w:w="15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1,182</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231</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on plan assets</w:t>
            </w:r>
          </w:p>
        </w:tc>
        <w:tc>
          <w:tcPr>
            <w:tcW w:w="260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(761)</w:t>
            </w:r>
          </w:p>
        </w:tc>
        <w:tc>
          <w:tcPr>
            <w:tcW w:w="156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(1,126)</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(203)</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cost excl. cost for managing plan assets</w:t>
            </w:r>
          </w:p>
        </w:tc>
        <w:tc>
          <w:tcPr>
            <w:tcW w:w="26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27</w:t>
            </w:r>
          </w:p>
        </w:tc>
        <w:tc>
          <w:tcPr>
            <w:tcW w:w="15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26</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27</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cost recognized in profit or loss</w:t>
            </w:r>
          </w:p>
        </w:tc>
        <w:tc>
          <w:tcPr>
            <w:tcW w:w="26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1,467</w:t>
            </w: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2,632</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3,192</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thereof service cost and administrative cost</w:t>
            </w:r>
          </w:p>
        </w:tc>
        <w:tc>
          <w:tcPr>
            <w:tcW w:w="26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1,393</w:t>
            </w:r>
          </w:p>
        </w:tc>
        <w:tc>
          <w:tcPr>
            <w:tcW w:w="15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2,576</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3,164</w:t>
            </w:r>
          </w:p>
        </w:tc>
      </w:tr>
      <w:tr>
        <w:trPr>
          <w:trHeight w:val="227"/>
        </w:trPr>
        <w:tc>
          <w:tcPr>
            <w:tcW w:w="5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thereof net interest expense on the net defined benefit liability</w:t>
            </w:r>
          </w:p>
        </w:tc>
        <w:tc>
          <w:tcPr>
            <w:tcW w:w="260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74</w:t>
            </w: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rPr>
              <w:t>56</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28</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576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amount recognized in OCI</w:t>
            </w:r>
          </w:p>
        </w:tc>
        <w:tc>
          <w:tcPr>
            <w:tcW w:w="2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(gain) / loss on changes in financial assumptions</w:t>
            </w:r>
          </w:p>
        </w:tc>
        <w:tc>
          <w:tcPr>
            <w:tcW w:w="26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7"/>
                <w:szCs w:val="17"/>
                <w:color w:val="auto"/>
              </w:rPr>
              <w:t>3,708</w:t>
            </w:r>
          </w:p>
        </w:tc>
        <w:tc>
          <w:tcPr>
            <w:tcW w:w="15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3,644</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(12,222)</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(gain) / loss on changes in demographic assumptions</w:t>
            </w:r>
          </w:p>
        </w:tc>
        <w:tc>
          <w:tcPr>
            <w:tcW w:w="260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(10)</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(gain) / loss arising from experience adjustments</w:t>
            </w:r>
          </w:p>
        </w:tc>
        <w:tc>
          <w:tcPr>
            <w:tcW w:w="260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(216)</w:t>
            </w:r>
          </w:p>
        </w:tc>
        <w:tc>
          <w:tcPr>
            <w:tcW w:w="156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rPr>
              <w:t>(1,000)</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3,546</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Actuarial (gain)/loss on defined benefit obligation</w:t>
            </w:r>
          </w:p>
        </w:tc>
        <w:tc>
          <w:tcPr>
            <w:tcW w:w="26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3,492</w:t>
            </w: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2,634</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(8,676)</w:t>
            </w:r>
          </w:p>
        </w:tc>
      </w:tr>
      <w:tr>
        <w:trPr>
          <w:trHeight w:val="26"/>
        </w:trPr>
        <w:tc>
          <w:tcPr>
            <w:tcW w:w="57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on plan assets excluding interest income</w:t>
            </w:r>
          </w:p>
        </w:tc>
        <w:tc>
          <w:tcPr>
            <w:tcW w:w="260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rPr>
              <w:t>(3,007)</w:t>
            </w:r>
          </w:p>
        </w:tc>
        <w:tc>
          <w:tcPr>
            <w:tcW w:w="156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rPr>
              <w:t>(659)</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3,342</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Remeasurement of net pension liabilities</w:t>
            </w:r>
          </w:p>
        </w:tc>
        <w:tc>
          <w:tcPr>
            <w:tcW w:w="260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485</w:t>
            </w: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1,975</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(5,334)</w:t>
            </w:r>
          </w:p>
        </w:tc>
      </w:tr>
    </w:tbl>
    <w:p>
      <w:pPr>
        <w:spacing w:after="0" w:line="200" w:lineRule="exact"/>
        <w:rPr>
          <w:sz w:val="20"/>
          <w:szCs w:val="20"/>
          <w:color w:val="auto"/>
        </w:rPr>
      </w:pPr>
    </w:p>
    <w:p>
      <w:pPr>
        <w:spacing w:after="0" w:line="2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18.2</w:t>
        <w:tab/>
        <w:t>Share-based compensation</w:t>
      </w:r>
    </w:p>
    <w:p>
      <w:pPr>
        <w:spacing w:after="0" w:line="1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18.2.1</w:t>
        <w:tab/>
        <w:t>Employee Share Option Plans (“ESOP”)</w:t>
      </w:r>
    </w:p>
    <w:p>
      <w:pPr>
        <w:spacing w:after="0" w:line="146" w:lineRule="exact"/>
        <w:rPr>
          <w:sz w:val="20"/>
          <w:szCs w:val="20"/>
          <w:color w:val="auto"/>
        </w:rPr>
      </w:pPr>
    </w:p>
    <w:p>
      <w:pPr>
        <w:ind w:left="320" w:hanging="319"/>
        <w:spacing w:after="0"/>
        <w:tabs>
          <w:tab w:leader="none" w:pos="3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ESOP 2009 established in December 2009</w:t>
      </w:r>
    </w:p>
    <w:p>
      <w:pPr>
        <w:spacing w:after="0" w:line="136" w:lineRule="exact"/>
        <w:rPr>
          <w:rFonts w:ascii="Times New Roman" w:cs="Times New Roman" w:eastAsia="Times New Roman" w:hAnsi="Times New Roman"/>
          <w:sz w:val="17"/>
          <w:szCs w:val="17"/>
          <w:color w:val="auto"/>
        </w:rPr>
      </w:pPr>
    </w:p>
    <w:p>
      <w:pPr>
        <w:ind w:left="320" w:hanging="319"/>
        <w:spacing w:after="0"/>
        <w:tabs>
          <w:tab w:leader="none" w:pos="3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ESOP 2014 established in July 2014</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An ESOP is an incentive tool that fosters the entrepreneurial spirit and performance by way of financial participation in the Group's long term success. It gives employees, members of the Board of Directors and selected advisors a beneficial opportunity to purchase shares of the Company. Each option entitles its holder to purchase one share of the Company at a pre-defined exercise price. The number of options granted to each participant was determined by the Board of Directors based on a participant’s position and level of responsibility. The options generally vested quarterly over four years, with vesting of 25% after one year. At the end of the 10 year option term, unexercised options expire without value.</w:t>
      </w:r>
    </w:p>
    <w:p>
      <w:pPr>
        <w:spacing w:after="0" w:line="102"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8"/>
          <w:szCs w:val="18"/>
          <w:color w:val="auto"/>
        </w:rPr>
        <w:t>As of December 31, 2024 there are no more options outstanding on any of the Company's ESOP Plans. As of December 31, 2023, an aggregate of 282,105 options were outstanding under the ESOP 2009 and ESOP 2014. All these options were fully vested at the reporting date.</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Since the initial public offering of the Company on the SIX Swiss Exchange on November 5, 2014, no further option grants have been made under any of these two share option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9" w:right="379" w:bottom="1440" w:gutter="0" w:footer="0" w:header="0"/>
        </w:sectPr>
      </w:pPr>
    </w:p>
    <w:bookmarkStart w:id="211" w:name="page212"/>
    <w:bookmarkEnd w:id="211"/>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18.2.2</w:t>
        <w:tab/>
        <w:t>Long Term Incentive (“LTI”) Plans: Restricted Share Units ("RSU'') and Performance Share Units ("PSU")</w:t>
      </w:r>
    </w:p>
    <w:p>
      <w:pPr>
        <w:spacing w:after="0" w:line="146" w:lineRule="exact"/>
        <w:rPr>
          <w:sz w:val="20"/>
          <w:szCs w:val="20"/>
          <w:color w:val="auto"/>
        </w:rPr>
      </w:pPr>
    </w:p>
    <w:p>
      <w:pPr>
        <w:ind w:left="600" w:hanging="599"/>
        <w:spacing w:after="0"/>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LTI plans 2019 established in March 2020</w:t>
      </w:r>
    </w:p>
    <w:p>
      <w:pPr>
        <w:spacing w:after="0" w:line="136" w:lineRule="exact"/>
        <w:rPr>
          <w:rFonts w:ascii="Times New Roman" w:cs="Times New Roman" w:eastAsia="Times New Roman" w:hAnsi="Times New Roman"/>
          <w:sz w:val="19"/>
          <w:szCs w:val="19"/>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LTI plans 2020 established in March 2021</w:t>
      </w:r>
    </w:p>
    <w:p>
      <w:pPr>
        <w:spacing w:after="0" w:line="136" w:lineRule="exact"/>
        <w:rPr>
          <w:rFonts w:ascii="Times New Roman" w:cs="Times New Roman" w:eastAsia="Times New Roman" w:hAnsi="Times New Roman"/>
          <w:sz w:val="19"/>
          <w:szCs w:val="19"/>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LTI plans 2021 established in March 2022</w:t>
      </w:r>
    </w:p>
    <w:p>
      <w:pPr>
        <w:spacing w:after="0" w:line="148" w:lineRule="exact"/>
        <w:rPr>
          <w:rFonts w:ascii="Times New Roman" w:cs="Times New Roman" w:eastAsia="Times New Roman" w:hAnsi="Times New Roman"/>
          <w:sz w:val="19"/>
          <w:szCs w:val="19"/>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LTI plans 2022 established in March 2023</w:t>
      </w:r>
    </w:p>
    <w:p>
      <w:pPr>
        <w:spacing w:after="0" w:line="136" w:lineRule="exact"/>
        <w:rPr>
          <w:rFonts w:ascii="Times New Roman" w:cs="Times New Roman" w:eastAsia="Times New Roman" w:hAnsi="Times New Roman"/>
          <w:sz w:val="19"/>
          <w:szCs w:val="19"/>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LTI plans 2023 established in March 2024</w:t>
      </w:r>
    </w:p>
    <w:p>
      <w:pPr>
        <w:spacing w:after="0" w:line="13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9"/>
          <w:szCs w:val="19"/>
          <w:color w:val="auto"/>
        </w:rPr>
        <w:t>Under the LTI plans, members of the Board of Directors are eligible to be granted RSUs, whereas members of the Management Board and other employees are eligible to be granted PSUs.</w:t>
      </w:r>
    </w:p>
    <w:p>
      <w:pPr>
        <w:spacing w:after="0" w:line="8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w:t>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PSUs are contingent rights to receive a variable number of shares of the Company. Since 2021, PSUs granted to employees (except for members of the Management Board) will vest in three tranches of one third each. The first tranche of the PSUs shall vest on the first anniversary of the grant date, the second tranche on the second anniversary of the grant date and the third tranche on the third anniversary of the grant date. For the members of the Management Board PSUs will vest at the end of a three year cliff-vesting period.</w:t>
      </w:r>
    </w:p>
    <w:p>
      <w:pPr>
        <w:spacing w:after="0" w:line="10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color w:val="auto"/>
        </w:rPr>
        <w:t>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pre-defined corporate goals for the respective year. Accordingly, the number of shares to be issued based on the PSUs can be between zero and 150%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The LTI plans are issued annually, which allows the Board of Directors to review the terms and determine the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w:t>
      </w:r>
    </w:p>
    <w:p>
      <w:pPr>
        <w:spacing w:after="0" w:line="10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As of December 31, 2024, 2,247,267 PSUs and 345,798 RSUs were outstanding. As of December 31, 2023, 1,347,983 PSUs and 182,678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00"/>
          </w:cols>
          <w:pgMar w:left="320" w:top="1339" w:right="379" w:bottom="1440" w:gutter="0" w:footer="0" w:header="0"/>
        </w:sectPr>
      </w:pPr>
    </w:p>
    <w:bookmarkStart w:id="212" w:name="page213"/>
    <w:bookmarkEnd w:id="212"/>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18.2.3</w:t>
        <w:tab/>
        <w:t>Conditions attached to and measurement of fair values of equity-settled share-based payment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the conditions as well as the inputs used in the measurement of the values at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06818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06818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RSU/PSU, conditions and assumptions</w:t>
            </w:r>
          </w:p>
        </w:tc>
        <w:tc>
          <w:tcPr>
            <w:tcW w:w="3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Nature of arrangement</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Grant of PSU/RSU</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Grant of PSU/RSU</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 date RSU</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April 17,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April 4, 2023</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 dates PSU</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Jan 1 - Oct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Jan 1 - Oct 1</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RSU granted</w:t>
            </w:r>
          </w:p>
        </w:tc>
        <w:tc>
          <w:tcPr>
            <w:tcW w:w="30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192,639</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120,144</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PSU granted</w:t>
            </w:r>
          </w:p>
        </w:tc>
        <w:tc>
          <w:tcPr>
            <w:tcW w:w="3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1,690,241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1,162,228</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exercise price (CHF)</w:t>
            </w:r>
          </w:p>
        </w:tc>
        <w:tc>
          <w:tcPr>
            <w:tcW w:w="30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0.10</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price (CHF)</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3.38 - 6.57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3.86 - 6.16</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period for RSU (years)</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Full contractual life for RSU (years)</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period for PSU (years), Management Board</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3.00</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2"/>
        </w:trPr>
        <w:tc>
          <w:tcPr>
            <w:tcW w:w="648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3.00 (pro-rata annual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 (pro-rata annual</w:t>
            </w:r>
          </w:p>
        </w:tc>
      </w:tr>
      <w:tr>
        <w:trPr>
          <w:trHeight w:val="22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period for PSU (years), employees excluding Management Board</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vesting)</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vesting)</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Full contractual life for PSU (years)</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3.00</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Common Shares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Common Shares</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 on Common shares</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66.87 - 72.79</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67.08 - 77.51</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 p. a. (%) / CHF LIBOR / Common shares</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1.47 - 1.65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 - 1.17</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 on NBI</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21.93 - 23.14</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23.36 - 28.66</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 p. a. (%) / USD LIBOR / NBI</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3.82 - 5.21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5.30 - 6.04</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 on SPI</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12.72 - 13.07</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13.20 - 17.27</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 p. a. (%) / CHF LIBOR / SPI</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1.47 - 1.65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 - 1.17</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(CHF)</w:t>
            </w:r>
          </w:p>
        </w:tc>
        <w:tc>
          <w:tcPr>
            <w:tcW w:w="30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fair value of rights granted (CHF)</w:t>
            </w:r>
          </w:p>
        </w:tc>
        <w:tc>
          <w:tcPr>
            <w:tcW w:w="3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Latest expiry date</w:t>
            </w:r>
          </w:p>
        </w:tc>
        <w:tc>
          <w:tcPr>
            <w:tcW w:w="30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Sep 30, 2027</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Sep 30, 2026</w:t>
            </w:r>
          </w:p>
        </w:tc>
      </w:tr>
      <w:tr>
        <w:trPr>
          <w:trHeight w:val="26"/>
        </w:trPr>
        <w:tc>
          <w:tcPr>
            <w:tcW w:w="6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model</w:t>
            </w:r>
          </w:p>
        </w:tc>
        <w:tc>
          <w:tcPr>
            <w:tcW w:w="3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Monte Carlo</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Monte Carlo</w:t>
            </w:r>
          </w:p>
        </w:tc>
      </w:tr>
      <w:tr>
        <w:trPr>
          <w:trHeight w:val="20"/>
        </w:trPr>
        <w:tc>
          <w:tcPr>
            <w:tcW w:w="648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 comments:</w:t>
      </w:r>
    </w:p>
    <w:p>
      <w:pPr>
        <w:spacing w:after="0" w:line="149" w:lineRule="exact"/>
        <w:rPr>
          <w:sz w:val="20"/>
          <w:szCs w:val="20"/>
          <w:color w:val="auto"/>
        </w:rPr>
      </w:pPr>
    </w:p>
    <w:p>
      <w:pPr>
        <w:ind w:left="300" w:hanging="299"/>
        <w:spacing w:after="0"/>
        <w:tabs>
          <w:tab w:leader="none" w:pos="30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volatility: Historical share prices of the Company have been used.</w:t>
      </w:r>
    </w:p>
    <w:p>
      <w:pPr>
        <w:spacing w:after="0" w:line="136" w:lineRule="exact"/>
        <w:rPr>
          <w:rFonts w:ascii="Times New Roman" w:cs="Times New Roman" w:eastAsia="Times New Roman" w:hAnsi="Times New Roman"/>
          <w:sz w:val="19"/>
          <w:szCs w:val="19"/>
          <w:color w:val="auto"/>
        </w:rPr>
      </w:pPr>
    </w:p>
    <w:p>
      <w:pPr>
        <w:ind w:left="300" w:right="160" w:hanging="299"/>
        <w:spacing w:after="0" w:line="275" w:lineRule="auto"/>
        <w:tabs>
          <w:tab w:leader="none" w:pos="28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indices, Nasdaq Biotechnology Index ('NBI") and Swiss performance Index ("SPI") are used as inputs in determining the fair values for the 2023 and 2024 PSU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140"/>
          </w:cols>
          <w:pgMar w:left="320" w:top="1338"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color w:val="auto"/>
        </w:rPr>
        <w:t>The movements in the number of all issued RSUs, PSUs and share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4057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PSU/RSU</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224"/>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Share option / PSU / RSU movements</w:t>
            </w: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 (numbers)</w:t>
            </w:r>
          </w:p>
        </w:tc>
        <w:tc>
          <w:tcPr>
            <w:tcW w:w="14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(CHF)</w:t>
            </w: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Options (numbers)</w:t>
            </w:r>
          </w:p>
        </w:tc>
        <w:tc>
          <w:tcPr>
            <w:tcW w:w="14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(CHF)</w:t>
            </w:r>
          </w:p>
        </w:tc>
        <w:tc>
          <w:tcPr>
            <w:tcW w:w="14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(numbers)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(CHF)</w:t>
            </w: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outstanding at December 31,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982,906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282,105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700,801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0.10</w:t>
            </w:r>
          </w:p>
        </w:tc>
        <w:tc>
          <w:tcPr>
            <w:tcW w:w="0" w:type="dxa"/>
            <w:vAlign w:val="bottom"/>
          </w:tcPr>
          <w:p>
            <w:pPr>
              <w:spacing w:after="0"/>
              <w:rPr>
                <w:sz w:val="1"/>
                <w:szCs w:val="1"/>
                <w:color w:val="auto"/>
              </w:rPr>
            </w:pPr>
          </w:p>
        </w:tc>
      </w:tr>
      <w:tr>
        <w:trPr>
          <w:trHeight w:val="220"/>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1,282,372</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1,282,372</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1"/>
                <w:szCs w:val="21"/>
                <w:color w:val="auto"/>
                <w:vertAlign w:val="superscript"/>
              </w:rPr>
              <w:t>(1)</w:t>
            </w:r>
          </w:p>
        </w:tc>
        <w:tc>
          <w:tcPr>
            <w:tcW w:w="1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(79,703)</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(79,703)</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53"/>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(Forfeited) </w:t>
            </w:r>
            <w:r>
              <w:rPr>
                <w:rFonts w:ascii="Times New Roman" w:cs="Times New Roman" w:eastAsia="Times New Roman" w:hAnsi="Times New Roman"/>
                <w:sz w:val="21"/>
                <w:szCs w:val="21"/>
                <w:color w:val="auto"/>
                <w:vertAlign w:val="superscript"/>
              </w:rPr>
              <w:t>(2)</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(63,218)</w:t>
            </w:r>
          </w:p>
        </w:tc>
        <w:tc>
          <w:tcPr>
            <w:tcW w:w="120" w:type="dxa"/>
            <w:vAlign w:val="bottom"/>
          </w:tcPr>
          <w:p>
            <w:pPr>
              <w:spacing w:after="0"/>
              <w:rPr>
                <w:sz w:val="22"/>
                <w:szCs w:val="22"/>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(63,218)</w:t>
            </w:r>
          </w:p>
        </w:tc>
        <w:tc>
          <w:tcPr>
            <w:tcW w:w="120" w:type="dxa"/>
            <w:vAlign w:val="bottom"/>
          </w:tcPr>
          <w:p>
            <w:pPr>
              <w:spacing w:after="0"/>
              <w:rPr>
                <w:sz w:val="22"/>
                <w:szCs w:val="22"/>
                <w:color w:val="auto"/>
              </w:rPr>
            </w:pPr>
          </w:p>
        </w:tc>
        <w:tc>
          <w:tcPr>
            <w:tcW w:w="1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(Exercised options, vested PSU / RSU)</w:t>
            </w:r>
          </w:p>
        </w:tc>
        <w:tc>
          <w:tcPr>
            <w:tcW w:w="12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rPr>
              <w:t>(309,591)</w:t>
            </w:r>
          </w:p>
        </w:tc>
        <w:tc>
          <w:tcPr>
            <w:tcW w:w="120" w:type="dxa"/>
            <w:vAlign w:val="bottom"/>
          </w:tcPr>
          <w:p>
            <w:pPr>
              <w:spacing w:after="0"/>
              <w:rPr>
                <w:sz w:val="14"/>
                <w:szCs w:val="14"/>
                <w:color w:val="auto"/>
              </w:rPr>
            </w:pPr>
          </w:p>
        </w:tc>
        <w:tc>
          <w:tcPr>
            <w:tcW w:w="13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auto"/>
              </w:rPr>
              <w:t>(309,591)</w:t>
            </w:r>
          </w:p>
        </w:tc>
        <w:tc>
          <w:tcPr>
            <w:tcW w:w="120" w:type="dxa"/>
            <w:vAlign w:val="bottom"/>
          </w:tcPr>
          <w:p>
            <w:pPr>
              <w:spacing w:after="0"/>
              <w:rPr>
                <w:sz w:val="14"/>
                <w:szCs w:val="14"/>
                <w:color w:val="auto"/>
              </w:rPr>
            </w:pPr>
          </w:p>
        </w:tc>
        <w:tc>
          <w:tcPr>
            <w:tcW w:w="13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outstanding at December 31,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1,812,766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282,105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1,530,661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0.10</w:t>
            </w:r>
          </w:p>
        </w:tc>
        <w:tc>
          <w:tcPr>
            <w:tcW w:w="0" w:type="dxa"/>
            <w:vAlign w:val="bottom"/>
          </w:tcPr>
          <w:p>
            <w:pPr>
              <w:spacing w:after="0"/>
              <w:rPr>
                <w:sz w:val="1"/>
                <w:szCs w:val="1"/>
                <w:color w:val="auto"/>
              </w:rPr>
            </w:pPr>
          </w:p>
        </w:tc>
      </w:tr>
      <w:tr>
        <w:trPr>
          <w:trHeight w:val="220"/>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2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1,882,880</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1,882,880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1"/>
                <w:szCs w:val="21"/>
                <w:color w:val="auto"/>
                <w:vertAlign w:val="superscript"/>
              </w:rPr>
              <w:t>(1)</w:t>
            </w:r>
          </w:p>
        </w:tc>
        <w:tc>
          <w:tcPr>
            <w:tcW w:w="1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(259,442)</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(259,442)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53"/>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(Forfeited) </w:t>
            </w:r>
            <w:r>
              <w:rPr>
                <w:rFonts w:ascii="Times New Roman" w:cs="Times New Roman" w:eastAsia="Times New Roman" w:hAnsi="Times New Roman"/>
                <w:sz w:val="21"/>
                <w:szCs w:val="21"/>
                <w:color w:val="auto"/>
                <w:vertAlign w:val="superscript"/>
              </w:rPr>
              <w:t>(2)</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(195,725)</w:t>
            </w:r>
          </w:p>
        </w:tc>
        <w:tc>
          <w:tcPr>
            <w:tcW w:w="120" w:type="dxa"/>
            <w:vAlign w:val="bottom"/>
          </w:tcPr>
          <w:p>
            <w:pPr>
              <w:spacing w:after="0"/>
              <w:rPr>
                <w:sz w:val="22"/>
                <w:szCs w:val="22"/>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(195,725)</w:t>
            </w:r>
          </w:p>
        </w:tc>
        <w:tc>
          <w:tcPr>
            <w:tcW w:w="120" w:type="dxa"/>
            <w:vAlign w:val="bottom"/>
          </w:tcPr>
          <w:p>
            <w:pPr>
              <w:spacing w:after="0"/>
              <w:rPr>
                <w:sz w:val="22"/>
                <w:szCs w:val="22"/>
                <w:color w:val="auto"/>
              </w:rPr>
            </w:pPr>
          </w:p>
        </w:tc>
        <w:tc>
          <w:tcPr>
            <w:tcW w:w="1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(281,604)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(281,604)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(Exercised options, vested PSU / RSU)</w:t>
            </w:r>
          </w:p>
        </w:tc>
        <w:tc>
          <w:tcPr>
            <w:tcW w:w="12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rPr>
              <w:t>(365,810)</w:t>
            </w:r>
          </w:p>
        </w:tc>
        <w:tc>
          <w:tcPr>
            <w:tcW w:w="120" w:type="dxa"/>
            <w:vAlign w:val="bottom"/>
          </w:tcPr>
          <w:p>
            <w:pPr>
              <w:spacing w:after="0"/>
              <w:rPr>
                <w:sz w:val="14"/>
                <w:szCs w:val="14"/>
                <w:color w:val="auto"/>
              </w:rPr>
            </w:pPr>
          </w:p>
        </w:tc>
        <w:tc>
          <w:tcPr>
            <w:tcW w:w="13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auto"/>
              </w:rPr>
              <w:t>0.10</w:t>
            </w:r>
          </w:p>
        </w:tc>
        <w:tc>
          <w:tcPr>
            <w:tcW w:w="120" w:type="dxa"/>
            <w:vAlign w:val="bottom"/>
          </w:tcPr>
          <w:p>
            <w:pPr>
              <w:spacing w:after="0"/>
              <w:rPr>
                <w:sz w:val="14"/>
                <w:szCs w:val="14"/>
                <w:color w:val="auto"/>
              </w:rPr>
            </w:pPr>
          </w:p>
        </w:tc>
        <w:tc>
          <w:tcPr>
            <w:tcW w:w="130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tcPr>
          <w:p>
            <w:pPr>
              <w:spacing w:after="0"/>
              <w:rPr>
                <w:sz w:val="14"/>
                <w:szCs w:val="14"/>
                <w:color w:val="auto"/>
              </w:rPr>
            </w:pPr>
          </w:p>
        </w:tc>
        <w:tc>
          <w:tcPr>
            <w:tcW w:w="13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auto"/>
              </w:rPr>
              <w:t>6.94</w:t>
            </w:r>
          </w:p>
        </w:tc>
        <w:tc>
          <w:tcPr>
            <w:tcW w:w="120" w:type="dxa"/>
            <w:vAlign w:val="bottom"/>
          </w:tcPr>
          <w:p>
            <w:pPr>
              <w:spacing w:after="0"/>
              <w:rPr>
                <w:sz w:val="14"/>
                <w:szCs w:val="14"/>
                <w:color w:val="auto"/>
              </w:rPr>
            </w:pPr>
          </w:p>
        </w:tc>
        <w:tc>
          <w:tcPr>
            <w:tcW w:w="132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auto"/>
              </w:rPr>
              <w:t>(365,309)</w:t>
            </w:r>
          </w:p>
        </w:tc>
        <w:tc>
          <w:tcPr>
            <w:tcW w:w="120" w:type="dxa"/>
            <w:vAlign w:val="bottom"/>
          </w:tcPr>
          <w:p>
            <w:pPr>
              <w:spacing w:after="0"/>
              <w:rPr>
                <w:sz w:val="14"/>
                <w:szCs w:val="14"/>
                <w:color w:val="auto"/>
              </w:rPr>
            </w:pPr>
          </w:p>
        </w:tc>
        <w:tc>
          <w:tcPr>
            <w:tcW w:w="13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outstanding at December 31,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2,593,065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2,593,065</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0.10</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80" w:hanging="179"/>
        <w:spacing w:after="0"/>
        <w:tabs>
          <w:tab w:leader="none" w:pos="18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adjustments indicate forfeitures due to non-market performance conditions not achieved</w:t>
      </w:r>
    </w:p>
    <w:p>
      <w:pPr>
        <w:spacing w:after="0" w:line="6" w:lineRule="exact"/>
        <w:rPr>
          <w:rFonts w:ascii="Times New Roman" w:cs="Times New Roman" w:eastAsia="Times New Roman" w:hAnsi="Times New Roman"/>
          <w:sz w:val="22"/>
          <w:szCs w:val="22"/>
          <w:color w:val="auto"/>
          <w:vertAlign w:val="superscript"/>
        </w:rPr>
      </w:pPr>
    </w:p>
    <w:p>
      <w:pPr>
        <w:ind w:left="180" w:hanging="179"/>
        <w:spacing w:after="0" w:line="204" w:lineRule="auto"/>
        <w:tabs>
          <w:tab w:leader="none" w:pos="18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Forfeited due to service conditions not fulfilled</w:t>
      </w:r>
    </w:p>
    <w:p>
      <w:pPr>
        <w:ind w:left="180" w:hanging="179"/>
        <w:spacing w:after="0" w:line="210" w:lineRule="auto"/>
        <w:tabs>
          <w:tab w:leader="none" w:pos="18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weighted average share prices at the dates of exercising options during the year 2024 amounted to CHF 7.00. There were no options exercised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applies to all PSUs and RSUs 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6304280"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6304280" cy="15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440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PSU/RSU</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Remaining life</w:t>
            </w:r>
          </w:p>
        </w:tc>
      </w:tr>
      <w:tr>
        <w:trPr>
          <w:trHeight w:val="201"/>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CHF</w:t>
            </w:r>
          </w:p>
        </w:tc>
        <w:tc>
          <w:tcPr>
            <w:tcW w:w="440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(years)</w:t>
            </w:r>
          </w:p>
        </w:tc>
      </w:tr>
      <w:tr>
        <w:trPr>
          <w:trHeight w:val="30"/>
        </w:trPr>
        <w:tc>
          <w:tcPr>
            <w:tcW w:w="40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PSU/RSU</w:t>
            </w:r>
          </w:p>
        </w:tc>
        <w:tc>
          <w:tcPr>
            <w:tcW w:w="4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7"/>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0.10</w:t>
            </w:r>
          </w:p>
        </w:tc>
        <w:tc>
          <w:tcPr>
            <w:tcW w:w="4400" w:type="dxa"/>
            <w:vAlign w:val="bottom"/>
          </w:tcPr>
          <w:p>
            <w:pPr>
              <w:jc w:val="right"/>
              <w:ind w:right="500"/>
              <w:spacing w:after="0"/>
              <w:rPr>
                <w:sz w:val="20"/>
                <w:szCs w:val="20"/>
                <w:color w:val="auto"/>
              </w:rPr>
            </w:pPr>
            <w:r>
              <w:rPr>
                <w:rFonts w:ascii="Times New Roman" w:cs="Times New Roman" w:eastAsia="Times New Roman" w:hAnsi="Times New Roman"/>
                <w:sz w:val="17"/>
                <w:szCs w:val="17"/>
                <w:color w:val="auto"/>
              </w:rPr>
              <w:t>2,593,065</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1.4</w:t>
            </w:r>
          </w:p>
        </w:tc>
      </w:tr>
      <w:tr>
        <w:trPr>
          <w:trHeight w:val="26"/>
        </w:trPr>
        <w:tc>
          <w:tcPr>
            <w:tcW w:w="40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2,593,065</w:t>
            </w:r>
          </w:p>
        </w:tc>
        <w:tc>
          <w:tcPr>
            <w:tcW w:w="1460" w:type="dxa"/>
            <w:vAlign w:val="bottom"/>
            <w:tcBorders>
              <w:bottom w:val="single" w:sz="8" w:color="CCEEFF"/>
            </w:tcBorders>
            <w:shd w:val="clear" w:color="auto" w:fill="CCEEFF"/>
          </w:tcPr>
          <w:p>
            <w:pPr>
              <w:spacing w:after="0"/>
              <w:rPr>
                <w:sz w:val="20"/>
                <w:szCs w:val="20"/>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9"/>
          <w:szCs w:val="19"/>
          <w:color w:val="auto"/>
        </w:rPr>
        <w:t>The following table applies to all share options, PSUs and RSUs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4240" w:type="dxa"/>
            <w:vAlign w:val="bottom"/>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Options /</w:t>
            </w:r>
          </w:p>
        </w:tc>
        <w:tc>
          <w:tcPr>
            <w:tcW w:w="15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Remaining life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Thereof exercisable</w:t>
            </w:r>
          </w:p>
        </w:tc>
        <w:tc>
          <w:tcPr>
            <w:tcW w:w="0" w:type="dxa"/>
            <w:vAlign w:val="bottom"/>
          </w:tcPr>
          <w:p>
            <w:pPr>
              <w:spacing w:after="0"/>
              <w:rPr>
                <w:sz w:val="1"/>
                <w:szCs w:val="1"/>
                <w:color w:val="auto"/>
              </w:rPr>
            </w:pPr>
          </w:p>
        </w:tc>
      </w:tr>
      <w:tr>
        <w:trPr>
          <w:trHeight w:val="177"/>
        </w:trPr>
        <w:tc>
          <w:tcPr>
            <w:tcW w:w="3960" w:type="dxa"/>
            <w:vAlign w:val="bottom"/>
            <w:vMerge w:val="continue"/>
          </w:tcPr>
          <w:p>
            <w:pPr>
              <w:spacing w:after="0"/>
              <w:rPr>
                <w:sz w:val="15"/>
                <w:szCs w:val="15"/>
                <w:color w:val="auto"/>
              </w:rPr>
            </w:pPr>
          </w:p>
        </w:tc>
        <w:tc>
          <w:tcPr>
            <w:tcW w:w="424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PSU/RSU</w:t>
            </w:r>
          </w:p>
        </w:tc>
        <w:tc>
          <w:tcPr>
            <w:tcW w:w="15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CHF</w:t>
            </w:r>
          </w:p>
        </w:tc>
        <w:tc>
          <w:tcPr>
            <w:tcW w:w="4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54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0" w:type="dxa"/>
            <w:vAlign w:val="bottom"/>
          </w:tcPr>
          <w:p>
            <w:pPr>
              <w:spacing w:after="0"/>
              <w:rPr>
                <w:sz w:val="1"/>
                <w:szCs w:val="1"/>
                <w:color w:val="auto"/>
              </w:rPr>
            </w:pPr>
          </w:p>
        </w:tc>
      </w:tr>
      <w:tr>
        <w:trPr>
          <w:trHeight w:val="23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4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6.06</w:t>
            </w:r>
          </w:p>
        </w:tc>
        <w:tc>
          <w:tcPr>
            <w:tcW w:w="4240" w:type="dxa"/>
            <w:vAlign w:val="bottom"/>
          </w:tcPr>
          <w:p>
            <w:pPr>
              <w:jc w:val="right"/>
              <w:ind w:right="479"/>
              <w:spacing w:after="0"/>
              <w:rPr>
                <w:sz w:val="20"/>
                <w:szCs w:val="20"/>
                <w:color w:val="auto"/>
              </w:rPr>
            </w:pPr>
            <w:r>
              <w:rPr>
                <w:rFonts w:ascii="Times New Roman" w:cs="Times New Roman" w:eastAsia="Times New Roman" w:hAnsi="Times New Roman"/>
                <w:sz w:val="17"/>
                <w:szCs w:val="17"/>
                <w:color w:val="auto"/>
              </w:rPr>
              <w:t>15,450</w:t>
            </w:r>
          </w:p>
        </w:tc>
        <w:tc>
          <w:tcPr>
            <w:tcW w:w="1540" w:type="dxa"/>
            <w:vAlign w:val="bottom"/>
          </w:tcPr>
          <w:p>
            <w:pPr>
              <w:jc w:val="center"/>
              <w:ind w:left="559"/>
              <w:spacing w:after="0"/>
              <w:rPr>
                <w:sz w:val="20"/>
                <w:szCs w:val="20"/>
                <w:color w:val="auto"/>
              </w:rPr>
            </w:pPr>
            <w:r>
              <w:rPr>
                <w:rFonts w:ascii="Times New Roman" w:cs="Times New Roman" w:eastAsia="Times New Roman" w:hAnsi="Times New Roman"/>
                <w:sz w:val="17"/>
                <w:szCs w:val="17"/>
                <w:color w:val="auto"/>
              </w:rPr>
              <w:t>0.4</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15,450</w:t>
            </w: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6.94</w:t>
            </w:r>
          </w:p>
        </w:tc>
        <w:tc>
          <w:tcPr>
            <w:tcW w:w="424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7"/>
                <w:szCs w:val="17"/>
                <w:color w:val="auto"/>
              </w:rPr>
              <w:t>266,655</w:t>
            </w:r>
          </w:p>
        </w:tc>
        <w:tc>
          <w:tcPr>
            <w:tcW w:w="1540" w:type="dxa"/>
            <w:vAlign w:val="bottom"/>
            <w:tcBorders>
              <w:bottom w:val="single" w:sz="8" w:color="CCEEFF"/>
            </w:tcBorders>
            <w:shd w:val="clear" w:color="auto" w:fill="CCEEFF"/>
          </w:tcPr>
          <w:p>
            <w:pPr>
              <w:jc w:val="center"/>
              <w:ind w:left="559"/>
              <w:spacing w:after="0"/>
              <w:rPr>
                <w:sz w:val="20"/>
                <w:szCs w:val="20"/>
                <w:color w:val="auto"/>
              </w:rPr>
            </w:pPr>
            <w:r>
              <w:rPr>
                <w:rFonts w:ascii="Times New Roman" w:cs="Times New Roman" w:eastAsia="Times New Roman" w:hAnsi="Times New Roman"/>
                <w:sz w:val="17"/>
                <w:szCs w:val="17"/>
                <w:color w:val="auto"/>
              </w:rPr>
              <w:t>0.7</w:t>
            </w:r>
          </w:p>
        </w:tc>
        <w:tc>
          <w:tcPr>
            <w:tcW w:w="15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266,655</w:t>
            </w: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PSU/RSU</w:t>
            </w:r>
          </w:p>
        </w:tc>
        <w:tc>
          <w:tcPr>
            <w:tcW w:w="4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0.10</w:t>
            </w:r>
          </w:p>
        </w:tc>
        <w:tc>
          <w:tcPr>
            <w:tcW w:w="424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7"/>
                <w:szCs w:val="17"/>
                <w:color w:val="auto"/>
              </w:rPr>
              <w:t>1,530,661</w:t>
            </w:r>
          </w:p>
        </w:tc>
        <w:tc>
          <w:tcPr>
            <w:tcW w:w="1540" w:type="dxa"/>
            <w:vAlign w:val="bottom"/>
            <w:tcBorders>
              <w:bottom w:val="single" w:sz="8" w:color="CCEEFF"/>
            </w:tcBorders>
            <w:shd w:val="clear" w:color="auto" w:fill="CCEEFF"/>
          </w:tcPr>
          <w:p>
            <w:pPr>
              <w:jc w:val="center"/>
              <w:ind w:left="559"/>
              <w:spacing w:after="0"/>
              <w:rPr>
                <w:sz w:val="20"/>
                <w:szCs w:val="20"/>
                <w:color w:val="auto"/>
              </w:rPr>
            </w:pPr>
            <w:r>
              <w:rPr>
                <w:rFonts w:ascii="Times New Roman" w:cs="Times New Roman" w:eastAsia="Times New Roman" w:hAnsi="Times New Roman"/>
                <w:sz w:val="17"/>
                <w:szCs w:val="17"/>
                <w:color w:val="auto"/>
              </w:rPr>
              <w:t>1.4</w:t>
            </w: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240" w:type="dxa"/>
            <w:vAlign w:val="bottom"/>
          </w:tcPr>
          <w:p>
            <w:pPr>
              <w:jc w:val="right"/>
              <w:ind w:right="479"/>
              <w:spacing w:after="0"/>
              <w:rPr>
                <w:sz w:val="20"/>
                <w:szCs w:val="20"/>
                <w:color w:val="auto"/>
              </w:rPr>
            </w:pPr>
            <w:r>
              <w:rPr>
                <w:rFonts w:ascii="Times New Roman" w:cs="Times New Roman" w:eastAsia="Times New Roman" w:hAnsi="Times New Roman"/>
                <w:sz w:val="17"/>
                <w:szCs w:val="17"/>
                <w:b w:val="1"/>
                <w:bCs w:val="1"/>
                <w:color w:val="auto"/>
              </w:rPr>
              <w:t>1,812,766</w:t>
            </w:r>
          </w:p>
        </w:tc>
        <w:tc>
          <w:tcPr>
            <w:tcW w:w="1540" w:type="dxa"/>
            <w:vAlign w:val="bottom"/>
          </w:tcPr>
          <w:p>
            <w:pPr>
              <w:spacing w:after="0"/>
              <w:rPr>
                <w:sz w:val="19"/>
                <w:szCs w:val="19"/>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rPr>
              <w:t>282,105</w:t>
            </w: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The non-cash costs for share-based payments recognized in the statement of comprehensive income can be attributed to the Group’s two functions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057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6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2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rPr>
              <w:t>2,365</w:t>
            </w:r>
          </w:p>
        </w:tc>
        <w:tc>
          <w:tcPr>
            <w:tcW w:w="160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rPr>
              <w:t>3,057</w:t>
            </w:r>
          </w:p>
        </w:tc>
        <w:tc>
          <w:tcPr>
            <w:tcW w:w="11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3,010</w:t>
            </w: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2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rPr>
              <w:t>1,740</w:t>
            </w:r>
          </w:p>
        </w:tc>
        <w:tc>
          <w:tcPr>
            <w:tcW w:w="160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rPr>
              <w:t>2,150</w:t>
            </w:r>
          </w:p>
        </w:tc>
        <w:tc>
          <w:tcPr>
            <w:tcW w:w="11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2,078</w:t>
            </w:r>
          </w:p>
        </w:tc>
      </w:tr>
      <w:tr>
        <w:trPr>
          <w:trHeight w:val="26"/>
        </w:trPr>
        <w:tc>
          <w:tcPr>
            <w:tcW w:w="49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362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b w:val="1"/>
                <w:bCs w:val="1"/>
                <w:color w:val="auto"/>
              </w:rPr>
              <w:t>4,105</w:t>
            </w:r>
          </w:p>
        </w:tc>
        <w:tc>
          <w:tcPr>
            <w:tcW w:w="160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b w:val="1"/>
                <w:bCs w:val="1"/>
                <w:color w:val="auto"/>
              </w:rPr>
              <w:t>5,207</w:t>
            </w:r>
          </w:p>
        </w:tc>
        <w:tc>
          <w:tcPr>
            <w:tcW w:w="11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rPr>
              <w:t>5,088</w:t>
            </w:r>
          </w:p>
        </w:tc>
      </w:tr>
      <w:tr>
        <w:trPr>
          <w:trHeight w:val="20"/>
        </w:trPr>
        <w:tc>
          <w:tcPr>
            <w:tcW w:w="492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19.</w:t>
        <w:tab/>
        <w:t>Financial income and financial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11644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116445" cy="1587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8"/>
                <w:szCs w:val="18"/>
                <w:color w:val="auto"/>
              </w:rPr>
            </w:pPr>
          </w:p>
        </w:tc>
      </w:tr>
      <w:tr>
        <w:trPr>
          <w:trHeight w:val="23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on financial assets held at amortized costs</w:t>
            </w:r>
          </w:p>
        </w:tc>
        <w:tc>
          <w:tcPr>
            <w:tcW w:w="276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3,384</w:t>
            </w:r>
          </w:p>
        </w:tc>
        <w:tc>
          <w:tcPr>
            <w:tcW w:w="162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4,279</w:t>
            </w: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1,142</w:t>
            </w:r>
          </w:p>
        </w:tc>
        <w:tc>
          <w:tcPr>
            <w:tcW w:w="20" w:type="dxa"/>
            <w:vAlign w:val="bottom"/>
          </w:tcPr>
          <w:p>
            <w:pPr>
              <w:spacing w:after="0"/>
              <w:rPr>
                <w:sz w:val="20"/>
                <w:szCs w:val="20"/>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foreign exchange gain</w:t>
            </w:r>
          </w:p>
        </w:tc>
        <w:tc>
          <w:tcPr>
            <w:tcW w:w="2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rPr>
              <w:t>3,830</w:t>
            </w:r>
          </w:p>
        </w:tc>
        <w:tc>
          <w:tcPr>
            <w:tcW w:w="16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717</w:t>
            </w:r>
          </w:p>
        </w:tc>
        <w:tc>
          <w:tcPr>
            <w:tcW w:w="20" w:type="dxa"/>
            <w:vAlign w:val="bottom"/>
          </w:tcPr>
          <w:p>
            <w:pPr>
              <w:spacing w:after="0"/>
              <w:rPr>
                <w:sz w:val="19"/>
                <w:szCs w:val="19"/>
                <w:color w:val="auto"/>
              </w:rPr>
            </w:pPr>
          </w:p>
        </w:tc>
      </w:tr>
      <w:tr>
        <w:trPr>
          <w:trHeight w:val="26"/>
        </w:trPr>
        <w:tc>
          <w:tcPr>
            <w:tcW w:w="5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276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7,214</w:t>
            </w:r>
          </w:p>
        </w:tc>
        <w:tc>
          <w:tcPr>
            <w:tcW w:w="162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4,279</w:t>
            </w: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1,859</w:t>
            </w:r>
          </w:p>
        </w:tc>
        <w:tc>
          <w:tcPr>
            <w:tcW w:w="20" w:type="dxa"/>
            <w:vAlign w:val="bottom"/>
          </w:tcPr>
          <w:p>
            <w:pPr>
              <w:spacing w:after="0"/>
              <w:rPr>
                <w:sz w:val="22"/>
                <w:szCs w:val="22"/>
                <w:color w:val="auto"/>
              </w:rPr>
            </w:pPr>
          </w:p>
        </w:tc>
      </w:tr>
      <w:tr>
        <w:trPr>
          <w:trHeight w:val="423"/>
        </w:trPr>
        <w:tc>
          <w:tcPr>
            <w:tcW w:w="5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expense</w:t>
            </w:r>
          </w:p>
        </w:tc>
        <w:tc>
          <w:tcPr>
            <w:tcW w:w="27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57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21"/>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2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auto"/>
            </w:tcBorders>
          </w:tcPr>
          <w:p>
            <w:pPr>
              <w:spacing w:after="0"/>
              <w:rPr>
                <w:sz w:val="19"/>
                <w:szCs w:val="19"/>
                <w:color w:val="auto"/>
              </w:rPr>
            </w:pPr>
          </w:p>
        </w:tc>
      </w:tr>
      <w:tr>
        <w:trPr>
          <w:trHeight w:val="23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foreign exchange loss</w:t>
            </w:r>
          </w:p>
        </w:tc>
        <w:tc>
          <w:tcPr>
            <w:tcW w:w="276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(5,106)</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Negative interest on financial assets held at amortized costs</w:t>
            </w:r>
          </w:p>
        </w:tc>
        <w:tc>
          <w:tcPr>
            <w:tcW w:w="276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rPr>
              <w:t>(1)</w:t>
            </w:r>
          </w:p>
        </w:tc>
        <w:tc>
          <w:tcPr>
            <w:tcW w:w="162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(562)</w:t>
            </w:r>
          </w:p>
        </w:tc>
        <w:tc>
          <w:tcPr>
            <w:tcW w:w="20" w:type="dxa"/>
            <w:vAlign w:val="bottom"/>
          </w:tcPr>
          <w:p>
            <w:pPr>
              <w:spacing w:after="0"/>
              <w:rPr>
                <w:sz w:val="19"/>
                <w:szCs w:val="19"/>
                <w:color w:val="auto"/>
              </w:rPr>
            </w:pPr>
          </w:p>
        </w:tc>
      </w:tr>
      <w:tr>
        <w:trPr>
          <w:trHeight w:val="26"/>
        </w:trPr>
        <w:tc>
          <w:tcPr>
            <w:tcW w:w="5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on leases</w:t>
            </w:r>
          </w:p>
        </w:tc>
        <w:tc>
          <w:tcPr>
            <w:tcW w:w="276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rPr>
              <w:t>(24)</w:t>
            </w:r>
          </w:p>
        </w:tc>
        <w:tc>
          <w:tcPr>
            <w:tcW w:w="162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rPr>
              <w:t>(34)</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financial expenses</w:t>
            </w:r>
          </w:p>
        </w:tc>
        <w:tc>
          <w:tcPr>
            <w:tcW w:w="276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rPr>
              <w:t>(13)</w:t>
            </w:r>
          </w:p>
        </w:tc>
        <w:tc>
          <w:tcPr>
            <w:tcW w:w="162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rPr>
              <w:t>(15)</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9"/>
                <w:szCs w:val="19"/>
                <w:color w:val="auto"/>
              </w:rPr>
            </w:pPr>
          </w:p>
        </w:tc>
      </w:tr>
      <w:tr>
        <w:trPr>
          <w:trHeight w:val="26"/>
        </w:trPr>
        <w:tc>
          <w:tcPr>
            <w:tcW w:w="57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276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(38)</w:t>
            </w:r>
          </w:p>
        </w:tc>
        <w:tc>
          <w:tcPr>
            <w:tcW w:w="162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(5,155)</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(619)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
        </w:trPr>
        <w:tc>
          <w:tcPr>
            <w:tcW w:w="574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Current taxes</w:t>
      </w:r>
    </w:p>
    <w:p>
      <w:pPr>
        <w:spacing w:after="0" w:line="15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The Company generated taxable losses in 2024, same as in 2023 whereas in 2022 the Company generated a taxable profit in Switzerland. The Company did not have to pay or accrue any income taxes during these reporting periods due to tax loss carryforwards. Any potential future taxable income will be subject to Swiss federal, cantonal and communal income taxes. The Company’s applicable income tax rate (after tax) for the year 2024 is 19.3% (2023: 19.3%; 2022: 19.4%).</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Molecular Partners Inc., which is incorporated in the United States in the State of Delaware, is subject to statutory U.S. federal corporate income taxes and minimal state taxes for Massachusetts and New York.</w:t>
      </w:r>
    </w:p>
    <w:p>
      <w:pPr>
        <w:sectPr>
          <w:pgSz w:w="11900" w:h="16838" w:orient="portrait"/>
          <w:cols w:equalWidth="0" w:num="1">
            <w:col w:w="11240"/>
          </w:cols>
          <w:pgMar w:left="320" w:top="1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597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type w:val="continuous"/>
        </w:sectPr>
      </w:pPr>
    </w:p>
    <w:bookmarkStart w:id="215" w:name="page216"/>
    <w:bookmarkEnd w:id="215"/>
    <w:p>
      <w:pPr>
        <w:ind w:right="60"/>
        <w:spacing w:after="0" w:line="249" w:lineRule="auto"/>
        <w:rPr>
          <w:sz w:val="20"/>
          <w:szCs w:val="20"/>
          <w:color w:val="auto"/>
        </w:rPr>
      </w:pPr>
      <w:r>
        <w:rPr>
          <w:rFonts w:ascii="Times New Roman" w:cs="Times New Roman" w:eastAsia="Times New Roman" w:hAnsi="Times New Roman"/>
          <w:sz w:val="19"/>
          <w:szCs w:val="19"/>
          <w:color w:val="auto"/>
        </w:rPr>
        <w:t>For the year ended December 31, 2024, current income tax expense of TCHF 2.2 (or in thousands of US Dollars ("TUSD") 2.5) was recognized by the Group's U.S. based subsidiary for estimated U.S. tax obligations of the subsidiary based on intra-Group activity (for the year ended December 31, 2023: tax expense of TCHF 0.4 (TUSD 0.5) and for the year ended December 31, 2022: tax expense of TCHF 0 (TUSD 0). The tax expense amount comprises of the sum of the minimal taxes payable for federal taxes and for the various states in which Molecular Partners Inc. is liable for taxes. The applicable income tax rates are 21% U.S. federal tax plus 8.00% state tax (Massachusetts) and 6.50% (New York).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taxes</w:t>
      </w:r>
    </w:p>
    <w:p>
      <w:pPr>
        <w:spacing w:after="0" w:line="142"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9"/>
          <w:szCs w:val="19"/>
          <w:color w:val="auto"/>
        </w:rPr>
        <w:t>The Company's net loss before income taxes amounted to TCHF 50,643 in 2024 and to TCHF 56,285 in 2023, whereas the Company recorded a net income before taxes of TCHF 124,020 in 2022. The cumulative tax losses as of December 31, 2024 of TCHF 195,126 may be used as tax loss carry forwards to offset future taxable income over a period of seven years.2022</w:t>
      </w:r>
    </w:p>
    <w:p>
      <w:pPr>
        <w:spacing w:after="0" w:line="9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No deferred tax assets have been recognized for these tax loss carry forwards, because as of December 31, 2024, it was not considered probable that such loss carry forwards can be utilized in the foreseeable future. In addition, no deferred tax positions were recognized on other deductible temporary differences (e.g., pension liabilities under IAS 19 for a total of TCHF 4,520, see also note 18.1) due to the tax losses carried forward. Income tax expense has been calculated for the year ending December 31, 2024, based on the effective income tax rate expected for the full financial year, being 0% on December 31, 2024.</w:t>
      </w:r>
    </w:p>
    <w:p>
      <w:pPr>
        <w:spacing w:after="0" w:line="1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auto"/>
        </w:rPr>
        <w:t>Given the facts above, as well as the fact that the Company incurred no significant tax expense in the reporting periods presented, a numerical reconciliation of the effective tax rate is not provided. The primary reconciling item is the effect of unrecognized deferred tax assets for tax losses and deductible temporary differences.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shows the expiry of tax loss carry forwards for the Company, for which no deferred tax asset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714057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90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(29,566)</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(29,566)</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90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rPr>
              <w:t>(58,632)</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(58,632)</w:t>
            </w:r>
          </w:p>
        </w:tc>
      </w:tr>
      <w:tr>
        <w:trPr>
          <w:trHeight w:val="26"/>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90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color w:val="auto"/>
              </w:rPr>
              <w:t>(56,285)</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(56,285)</w:t>
            </w:r>
          </w:p>
        </w:tc>
      </w:tr>
      <w:tr>
        <w:trPr>
          <w:trHeight w:val="227"/>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390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rPr>
              <w:t>(50,643)</w:t>
            </w: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6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tax loss carry forwards as at December 31</w:t>
            </w:r>
          </w:p>
        </w:tc>
        <w:tc>
          <w:tcPr>
            <w:tcW w:w="390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7"/>
                <w:szCs w:val="17"/>
                <w:b w:val="1"/>
                <w:bCs w:val="1"/>
                <w:color w:val="auto"/>
              </w:rPr>
              <w:t>(195,126)</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(144,483)</w:t>
            </w:r>
          </w:p>
        </w:tc>
      </w:tr>
      <w:tr>
        <w:trPr>
          <w:trHeight w:val="20"/>
        </w:trPr>
        <w:tc>
          <w:tcPr>
            <w:tcW w:w="614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21.</w:t>
        <w:tab/>
        <w:t>Earnings per share</w:t>
      </w:r>
    </w:p>
    <w:p>
      <w:pPr>
        <w:spacing w:after="0" w:line="14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9"/>
          <w:szCs w:val="19"/>
          <w:color w:val="auto"/>
        </w:rPr>
        <w:t>Basic earnings per share is calculated by dividing the net result attributable to the shareholders of the Company by the weighted average number of shares issued and outstanding during the reporting period, excluding any shares held as treasury shares. Diluted earnings per share additionally takes into account the potential conversion of all dilutive potential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14057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19"/>
                <w:szCs w:val="19"/>
                <w:color w:val="auto"/>
              </w:rPr>
            </w:pPr>
          </w:p>
        </w:tc>
        <w:tc>
          <w:tcPr>
            <w:tcW w:w="206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6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used in computing basic earnings per share</w:t>
            </w:r>
          </w:p>
        </w:tc>
        <w:tc>
          <w:tcPr>
            <w:tcW w:w="20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34,032,544</w:t>
            </w:r>
          </w:p>
        </w:tc>
        <w:tc>
          <w:tcPr>
            <w:tcW w:w="162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32,770,665</w:t>
            </w:r>
          </w:p>
        </w:tc>
        <w:tc>
          <w:tcPr>
            <w:tcW w:w="1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32,469,957</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used in computing diluted earnings per share</w:t>
            </w:r>
          </w:p>
        </w:tc>
        <w:tc>
          <w:tcPr>
            <w:tcW w:w="20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34,032,544</w:t>
            </w:r>
          </w:p>
        </w:tc>
        <w:tc>
          <w:tcPr>
            <w:tcW w:w="1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32,770,665</w:t>
            </w: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33,265,567</w:t>
            </w:r>
          </w:p>
        </w:tc>
      </w:tr>
      <w:tr>
        <w:trPr>
          <w:trHeight w:val="26"/>
        </w:trPr>
        <w:tc>
          <w:tcPr>
            <w:tcW w:w="6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216" w:name="page217"/>
    <w:bookmarkEnd w:id="216"/>
    <w:p>
      <w:pPr>
        <w:ind w:right="920"/>
        <w:spacing w:after="0" w:line="275" w:lineRule="auto"/>
        <w:rPr>
          <w:sz w:val="20"/>
          <w:szCs w:val="20"/>
          <w:color w:val="auto"/>
        </w:rPr>
      </w:pPr>
      <w:r>
        <w:rPr>
          <w:rFonts w:ascii="Times New Roman" w:cs="Times New Roman" w:eastAsia="Times New Roman" w:hAnsi="Times New Roman"/>
          <w:sz w:val="19"/>
          <w:szCs w:val="19"/>
          <w:color w:val="auto"/>
        </w:rPr>
        <w:t>At December 31, 2024 and December 31, 2023, all potential ordinary shares were anti-dilutive at 2,585,484 and 1,526,976 respectively. At December 31, 2022, the number of shares that were dilutive, is 795,610.</w:t>
      </w:r>
    </w:p>
    <w:p>
      <w:pPr>
        <w:spacing w:after="0" w:line="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tab/>
        <w:t>Leases</w:t>
      </w:r>
    </w:p>
    <w:p>
      <w:pPr>
        <w:spacing w:after="0" w:line="146" w:lineRule="exact"/>
        <w:rPr>
          <w:sz w:val="20"/>
          <w:szCs w:val="20"/>
          <w:color w:val="auto"/>
        </w:rPr>
      </w:pPr>
    </w:p>
    <w:p>
      <w:pPr>
        <w:ind w:right="100"/>
        <w:spacing w:after="0" w:line="226" w:lineRule="exact"/>
        <w:rPr>
          <w:sz w:val="20"/>
          <w:szCs w:val="20"/>
          <w:color w:val="auto"/>
        </w:rPr>
      </w:pPr>
      <w:r>
        <w:rPr>
          <w:rFonts w:ascii="Times New Roman" w:cs="Times New Roman" w:eastAsia="Times New Roman" w:hAnsi="Times New Roman"/>
          <w:sz w:val="19"/>
          <w:szCs w:val="19"/>
          <w:color w:val="auto"/>
        </w:rPr>
        <w:t>The Group leases office and laboratory facilities in Schlieren, Switzerland. These leases generally have terms between 2 and 10 years and contain extension or terminations options exercisable by the Group up to one year before the end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cancellable contract period. These terms are used to maximize operational flexibility in terms of managing contracts. The options to extend are held by the Company and the termination options are held both by the Company and the lessor. As of December 31, 2020, the Group exercised the option to extend the lease on its facilities in Schlieren by five years with a new lease term ending on December 31, 2026. The earliest contractual termination date for both the lessor and the Group on the major real estate lease is December 31, 2025. For information about the right-of-use assets please also see note 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Set out below are the carrying amounts of the lease liabilities and the movements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at January 1,</w:t>
            </w:r>
          </w:p>
        </w:tc>
        <w:tc>
          <w:tcPr>
            <w:tcW w:w="42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3,652</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4,850</w:t>
            </w:r>
          </w:p>
        </w:tc>
      </w:tr>
      <w:tr>
        <w:trPr>
          <w:trHeight w:val="227"/>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 new leases</w:t>
            </w:r>
          </w:p>
        </w:tc>
        <w:tc>
          <w:tcPr>
            <w:tcW w:w="420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Remeasurements</w:t>
            </w:r>
          </w:p>
        </w:tc>
        <w:tc>
          <w:tcPr>
            <w:tcW w:w="42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Recognition of interest on lease liabilities</w:t>
            </w:r>
          </w:p>
        </w:tc>
        <w:tc>
          <w:tcPr>
            <w:tcW w:w="420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24</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r>
      <w:tr>
        <w:trPr>
          <w:trHeight w:val="26"/>
        </w:trPr>
        <w:tc>
          <w:tcPr>
            <w:tcW w:w="5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420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rPr>
              <w:t>(1,232)</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(1,232)</w:t>
            </w:r>
          </w:p>
        </w:tc>
      </w:tr>
      <w:tr>
        <w:trPr>
          <w:trHeight w:val="227"/>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at December 31,</w:t>
            </w:r>
          </w:p>
        </w:tc>
        <w:tc>
          <w:tcPr>
            <w:tcW w:w="420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2,444</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3,652</w:t>
            </w:r>
          </w:p>
        </w:tc>
      </w:tr>
      <w:tr>
        <w:trPr>
          <w:trHeight w:val="26"/>
        </w:trPr>
        <w:tc>
          <w:tcPr>
            <w:tcW w:w="5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2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rPr>
              <w:t>1,217</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1,208</w:t>
            </w:r>
          </w:p>
        </w:tc>
      </w:tr>
      <w:tr>
        <w:trPr>
          <w:trHeight w:val="227"/>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200" w:type="dxa"/>
            <w:vAlign w:val="bottom"/>
          </w:tcPr>
          <w:p>
            <w:pPr>
              <w:jc w:val="right"/>
              <w:ind w:right="696"/>
              <w:spacing w:after="0"/>
              <w:rPr>
                <w:sz w:val="20"/>
                <w:szCs w:val="20"/>
                <w:color w:val="auto"/>
              </w:rPr>
            </w:pPr>
            <w:r>
              <w:rPr>
                <w:rFonts w:ascii="Times New Roman" w:cs="Times New Roman" w:eastAsia="Times New Roman" w:hAnsi="Times New Roman"/>
                <w:sz w:val="17"/>
                <w:szCs w:val="17"/>
                <w:color w:val="auto"/>
              </w:rPr>
              <w:t>1,227</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2,444</w:t>
            </w:r>
          </w:p>
        </w:tc>
      </w:tr>
      <w:tr>
        <w:trPr>
          <w:trHeight w:val="26"/>
        </w:trPr>
        <w:tc>
          <w:tcPr>
            <w:tcW w:w="5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at December 31,</w:t>
            </w:r>
          </w:p>
        </w:tc>
        <w:tc>
          <w:tcPr>
            <w:tcW w:w="42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2,444</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rPr>
              <w:t>3,652</w:t>
            </w:r>
          </w:p>
        </w:tc>
      </w:tr>
      <w:tr>
        <w:trPr>
          <w:trHeight w:val="25"/>
        </w:trPr>
        <w:tc>
          <w:tcPr>
            <w:tcW w:w="5780" w:type="dxa"/>
            <w:vAlign w:val="bottom"/>
            <w:shd w:val="clear" w:color="auto" w:fill="000000"/>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9"/>
          <w:szCs w:val="19"/>
          <w:color w:val="auto"/>
        </w:rPr>
        <w:t>The following are the expense amounts recognized in the consolidated statement of profit or loss and other comprehensive result. No expenses for leasing of low-value assets nor for short term leases were incurred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11644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16445" cy="1587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3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5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on right-of-use assets</w:t>
            </w:r>
          </w:p>
        </w:tc>
        <w:tc>
          <w:tcPr>
            <w:tcW w:w="334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rPr>
              <w:t>1,200</w:t>
            </w:r>
          </w:p>
        </w:tc>
        <w:tc>
          <w:tcPr>
            <w:tcW w:w="156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color w:val="auto"/>
              </w:rPr>
              <w:t>1,200</w:t>
            </w:r>
          </w:p>
        </w:tc>
        <w:tc>
          <w:tcPr>
            <w:tcW w:w="11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1,200</w:t>
            </w:r>
          </w:p>
        </w:tc>
      </w:tr>
      <w:tr>
        <w:trPr>
          <w:trHeight w:val="227"/>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w:t>
            </w:r>
          </w:p>
        </w:tc>
        <w:tc>
          <w:tcPr>
            <w:tcW w:w="334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rPr>
              <w:t>24</w:t>
            </w:r>
          </w:p>
        </w:tc>
        <w:tc>
          <w:tcPr>
            <w:tcW w:w="156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rPr>
              <w:t>34</w:t>
            </w:r>
          </w:p>
        </w:tc>
        <w:tc>
          <w:tcPr>
            <w:tcW w:w="110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43</w:t>
            </w:r>
          </w:p>
        </w:tc>
      </w:tr>
      <w:tr>
        <w:trPr>
          <w:trHeight w:val="26"/>
        </w:trPr>
        <w:tc>
          <w:tcPr>
            <w:tcW w:w="5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amount recognized in profit or loss</w:t>
            </w:r>
          </w:p>
        </w:tc>
        <w:tc>
          <w:tcPr>
            <w:tcW w:w="334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b w:val="1"/>
                <w:bCs w:val="1"/>
                <w:color w:val="auto"/>
              </w:rPr>
              <w:t>1,224</w:t>
            </w:r>
          </w:p>
        </w:tc>
        <w:tc>
          <w:tcPr>
            <w:tcW w:w="156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7"/>
                <w:szCs w:val="17"/>
                <w:b w:val="1"/>
                <w:bCs w:val="1"/>
                <w:color w:val="auto"/>
              </w:rPr>
              <w:t>1,234</w:t>
            </w:r>
          </w:p>
        </w:tc>
        <w:tc>
          <w:tcPr>
            <w:tcW w:w="11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rPr>
              <w:t>1,243</w:t>
            </w:r>
          </w:p>
        </w:tc>
      </w:tr>
      <w:tr>
        <w:trPr>
          <w:trHeight w:val="25"/>
        </w:trPr>
        <w:tc>
          <w:tcPr>
            <w:tcW w:w="5200" w:type="dxa"/>
            <w:vAlign w:val="bottom"/>
            <w:shd w:val="clear" w:color="auto" w:fill="000000"/>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The total cash outflow for leases for the year ended December 31, 2024 amounted to TCHF 1,232 (year ended December 31, 2023 TCHF 1,232; year ended December 31, 2022 TCHF 1,232).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714057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Contractual maturities of financial liabilities at December 31, 2024</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0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 contractual cash-</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Carrying Amount lease</w:t>
            </w:r>
          </w:p>
        </w:tc>
      </w:tr>
      <w:tr>
        <w:trPr>
          <w:trHeight w:val="211"/>
        </w:trPr>
        <w:tc>
          <w:tcPr>
            <w:tcW w:w="15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Less than 1 year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Between 1 and 2 years</w:t>
            </w:r>
          </w:p>
        </w:tc>
        <w:tc>
          <w:tcPr>
            <w:tcW w:w="1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Between 2 and 5 years</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More than 5 years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flows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233"/>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1,232</w:t>
            </w:r>
          </w:p>
        </w:tc>
        <w:tc>
          <w:tcPr>
            <w:tcW w:w="160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1,232</w:t>
            </w:r>
          </w:p>
        </w:tc>
        <w:tc>
          <w:tcPr>
            <w:tcW w:w="17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2,464</w:t>
            </w:r>
          </w:p>
        </w:tc>
        <w:tc>
          <w:tcPr>
            <w:tcW w:w="15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2,444</w:t>
            </w:r>
          </w:p>
        </w:tc>
      </w:tr>
      <w:tr>
        <w:trPr>
          <w:trHeight w:val="20"/>
        </w:trPr>
        <w:tc>
          <w:tcPr>
            <w:tcW w:w="15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17" w:name="page218"/>
    <w:bookmarkEnd w:id="217"/>
    <w:p>
      <w:pPr>
        <w:ind w:lef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203835</wp:posOffset>
            </wp:positionH>
            <wp:positionV relativeFrom="page">
              <wp:posOffset>876935</wp:posOffset>
            </wp:positionV>
            <wp:extent cx="714057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t>Contractual maturities of financial liabilities at December 31, 2023</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05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Total contractual cash-</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Carrying Amount lease</w:t>
            </w:r>
          </w:p>
        </w:tc>
      </w:tr>
      <w:tr>
        <w:trPr>
          <w:trHeight w:val="224"/>
        </w:trPr>
        <w:tc>
          <w:tcPr>
            <w:tcW w:w="15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Less than 1 year</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Between 1 and 2 years</w:t>
            </w:r>
          </w:p>
        </w:tc>
        <w:tc>
          <w:tcPr>
            <w:tcW w:w="1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Between 2 and 5 years</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More than 5 years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flows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233"/>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166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1,232</w:t>
            </w:r>
          </w:p>
        </w:tc>
        <w:tc>
          <w:tcPr>
            <w:tcW w:w="160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1,232</w:t>
            </w:r>
          </w:p>
        </w:tc>
        <w:tc>
          <w:tcPr>
            <w:tcW w:w="1740" w:type="dxa"/>
            <w:vAlign w:val="bottom"/>
            <w:tcBorders>
              <w:bottom w:val="single" w:sz="8" w:color="CCEEFF"/>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1,232</w:t>
            </w:r>
          </w:p>
        </w:tc>
        <w:tc>
          <w:tcPr>
            <w:tcW w:w="14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3,696</w:t>
            </w:r>
          </w:p>
        </w:tc>
        <w:tc>
          <w:tcPr>
            <w:tcW w:w="15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3,652</w:t>
            </w:r>
          </w:p>
        </w:tc>
      </w:tr>
      <w:tr>
        <w:trPr>
          <w:trHeight w:val="20"/>
        </w:trPr>
        <w:tc>
          <w:tcPr>
            <w:tcW w:w="15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23.</w:t>
        <w:tab/>
        <w:t>Related party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Compensation costs of key management, which includes executive management and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37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employee benefits</w:t>
            </w:r>
          </w:p>
        </w:tc>
        <w:tc>
          <w:tcPr>
            <w:tcW w:w="370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rPr>
              <w:t>2,644</w:t>
            </w:r>
          </w:p>
        </w:tc>
        <w:tc>
          <w:tcPr>
            <w:tcW w:w="162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2,761</w:t>
            </w: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3,159</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Post-employment benefits</w:t>
            </w:r>
          </w:p>
        </w:tc>
        <w:tc>
          <w:tcPr>
            <w:tcW w:w="37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rPr>
              <w:t>241</w:t>
            </w:r>
          </w:p>
        </w:tc>
        <w:tc>
          <w:tcPr>
            <w:tcW w:w="162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253</w:t>
            </w: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297</w:t>
            </w:r>
          </w:p>
        </w:tc>
      </w:tr>
      <w:tr>
        <w:trPr>
          <w:trHeight w:val="26"/>
        </w:trPr>
        <w:tc>
          <w:tcPr>
            <w:tcW w:w="4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70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7"/>
                <w:szCs w:val="17"/>
                <w:color w:val="auto"/>
              </w:rPr>
              <w:t>1,522</w:t>
            </w:r>
          </w:p>
        </w:tc>
        <w:tc>
          <w:tcPr>
            <w:tcW w:w="162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1,914</w:t>
            </w: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2,111</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year ended December 31</w:t>
            </w:r>
          </w:p>
        </w:tc>
        <w:tc>
          <w:tcPr>
            <w:tcW w:w="3700" w:type="dxa"/>
            <w:vAlign w:val="bottom"/>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4,407</w:t>
            </w:r>
          </w:p>
        </w:tc>
        <w:tc>
          <w:tcPr>
            <w:tcW w:w="1620" w:type="dxa"/>
            <w:vAlign w:val="bottom"/>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4,928</w:t>
            </w: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5,567</w:t>
            </w:r>
          </w:p>
        </w:tc>
      </w:tr>
      <w:tr>
        <w:trPr>
          <w:trHeight w:val="26"/>
        </w:trPr>
        <w:tc>
          <w:tcPr>
            <w:tcW w:w="48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24.</w:t>
        <w:tab/>
        <w:t>Capital commitments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December 31, 2024 and December 31, 2023, the Group did not have any capital commitments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8420" w:firstLine="1"/>
        <w:spacing w:after="0" w:line="394" w:lineRule="auto"/>
        <w:tabs>
          <w:tab w:leader="none" w:pos="456"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risk management Foreign exchange risk</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In order to reduce its foreign exchange exposure, Molecular Partners may enter into currency contracts with selected high-quality financial institutions to hedge against foreign currency exchange rate risks. The Group’s primary exposure to financial risk is due to fluctuation of exchange rates between CHF, USD and EUR.</w:t>
      </w:r>
    </w:p>
    <w:p>
      <w:pPr>
        <w:spacing w:after="0" w:line="9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9"/>
          <w:szCs w:val="19"/>
          <w:color w:val="auto"/>
        </w:rPr>
        <w:t>During 2024 and 2023, the Group did not enter into any forward currency transactions. No forward currency transactions were outstanding as of December 31, 2024 and 2023.</w:t>
      </w:r>
    </w:p>
    <w:p>
      <w:pPr>
        <w:spacing w:after="0" w:line="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The following table demonstrates the sensitivity to a reasonably possible change in exchange rates for the Group's main foreign currencies, USD and EUR, with all other variables held constant, of the Group’s result before taxes.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4640" w:type="dxa"/>
            <w:vAlign w:val="bottom"/>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Incr./Decr. exchange</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Effect on result before</w:t>
            </w:r>
          </w:p>
        </w:tc>
      </w:tr>
      <w:tr>
        <w:trPr>
          <w:trHeight w:val="224"/>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 and CHF thousands</w:t>
            </w:r>
          </w:p>
        </w:tc>
        <w:tc>
          <w:tcPr>
            <w:tcW w:w="4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rate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tax (in TCHF)</w:t>
            </w: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USD Positions</w:t>
            </w:r>
          </w:p>
        </w:tc>
        <w:tc>
          <w:tcPr>
            <w:tcW w:w="46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4,468</w:t>
            </w: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(4,468)</w:t>
            </w: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4,718</w:t>
            </w: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(4,718)</w:t>
            </w: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5,904</w:t>
            </w: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(5,904)</w:t>
            </w: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EUR Positions</w:t>
            </w:r>
          </w:p>
        </w:tc>
        <w:tc>
          <w:tcPr>
            <w:tcW w:w="46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291</w:t>
            </w:r>
          </w:p>
        </w:tc>
      </w:tr>
      <w:tr>
        <w:trPr>
          <w:trHeight w:val="227"/>
        </w:trPr>
        <w:tc>
          <w:tcPr>
            <w:tcW w:w="4920" w:type="dxa"/>
            <w:vAlign w:val="bottom"/>
          </w:tcPr>
          <w:p>
            <w:pPr>
              <w:spacing w:after="0"/>
              <w:rPr>
                <w:sz w:val="19"/>
                <w:szCs w:val="19"/>
                <w:color w:val="auto"/>
              </w:rPr>
            </w:pP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(291)</w:t>
            </w: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479</w:t>
            </w:r>
          </w:p>
        </w:tc>
      </w:tr>
      <w:tr>
        <w:trPr>
          <w:trHeight w:val="227"/>
        </w:trPr>
        <w:tc>
          <w:tcPr>
            <w:tcW w:w="4920" w:type="dxa"/>
            <w:vAlign w:val="bottom"/>
          </w:tcPr>
          <w:p>
            <w:pPr>
              <w:spacing w:after="0"/>
              <w:rPr>
                <w:sz w:val="19"/>
                <w:szCs w:val="19"/>
                <w:color w:val="auto"/>
              </w:rPr>
            </w:pP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(479)</w:t>
            </w:r>
          </w:p>
        </w:tc>
      </w:tr>
      <w:tr>
        <w:trPr>
          <w:trHeight w:val="26"/>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6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1,252</w:t>
            </w:r>
          </w:p>
        </w:tc>
      </w:tr>
      <w:tr>
        <w:trPr>
          <w:trHeight w:val="227"/>
        </w:trPr>
        <w:tc>
          <w:tcPr>
            <w:tcW w:w="4920" w:type="dxa"/>
            <w:vAlign w:val="bottom"/>
          </w:tcPr>
          <w:p>
            <w:pPr>
              <w:spacing w:after="0"/>
              <w:rPr>
                <w:sz w:val="19"/>
                <w:szCs w:val="19"/>
                <w:color w:val="auto"/>
              </w:rPr>
            </w:pPr>
          </w:p>
        </w:tc>
        <w:tc>
          <w:tcPr>
            <w:tcW w:w="46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-10 %</w:t>
            </w:r>
          </w:p>
        </w:tc>
        <w:tc>
          <w:tcPr>
            <w:tcW w:w="15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(1,252)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876935</wp:posOffset>
            </wp:positionV>
            <wp:extent cx="704405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04405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4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9"/>
          <w:szCs w:val="19"/>
          <w:color w:val="auto"/>
        </w:rPr>
        <w:t>Molecular Partners earns interest on cash and cash equivalents, and its profit and loss may be influenced by changes in market interest rates. The Group does invest its cash balances into a variety of current and deposit accounts in three different Swiss banks to optimize interest. In addition, the Group does invest a portion of its cash into risk free money market investments in line with its treasury guidelines.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The Group strives to optimize the net balance of interest paid and interest received by monitoring the interest rates applicable over the major currencies the Group holds as well as the offered holding periods.</w:t>
      </w:r>
    </w:p>
    <w:p>
      <w:pPr>
        <w:spacing w:after="0" w:line="9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9"/>
          <w:szCs w:val="19"/>
          <w:color w:val="auto"/>
        </w:rPr>
        <w:t>The following table demonstrates the sensitivity of the main currencies used in the Group, to reasonably possible changes in interest rates, with all other variables held constant, of the Group’s results before tax.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Incr./Decr.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Effect on result before</w:t>
            </w:r>
          </w:p>
        </w:tc>
      </w:tr>
      <w:tr>
        <w:trPr>
          <w:trHeight w:val="224"/>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 and CHF thousands</w:t>
            </w:r>
          </w:p>
        </w:tc>
        <w:tc>
          <w:tcPr>
            <w:tcW w:w="4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rate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tax (in TCHF)</w:t>
            </w: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CHF Positions</w:t>
            </w:r>
          </w:p>
        </w:tc>
        <w:tc>
          <w:tcPr>
            <w:tcW w:w="46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508</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(508)</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674</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(674)</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888</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(888)</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USD Positions</w:t>
            </w:r>
          </w:p>
        </w:tc>
        <w:tc>
          <w:tcPr>
            <w:tcW w:w="46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224</w:t>
            </w:r>
          </w:p>
        </w:tc>
      </w:tr>
      <w:tr>
        <w:trPr>
          <w:trHeight w:val="227"/>
        </w:trPr>
        <w:tc>
          <w:tcPr>
            <w:tcW w:w="5000" w:type="dxa"/>
            <w:vAlign w:val="bottom"/>
          </w:tcPr>
          <w:p>
            <w:pPr>
              <w:spacing w:after="0"/>
              <w:rPr>
                <w:sz w:val="19"/>
                <w:szCs w:val="19"/>
                <w:color w:val="auto"/>
              </w:rPr>
            </w:pP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(224)</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235</w:t>
            </w:r>
          </w:p>
        </w:tc>
      </w:tr>
      <w:tr>
        <w:trPr>
          <w:trHeight w:val="227"/>
        </w:trPr>
        <w:tc>
          <w:tcPr>
            <w:tcW w:w="5000" w:type="dxa"/>
            <w:vAlign w:val="bottom"/>
          </w:tcPr>
          <w:p>
            <w:pPr>
              <w:spacing w:after="0"/>
              <w:rPr>
                <w:sz w:val="19"/>
                <w:szCs w:val="19"/>
                <w:color w:val="auto"/>
              </w:rPr>
            </w:pP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(235)</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294</w:t>
            </w:r>
          </w:p>
        </w:tc>
      </w:tr>
      <w:tr>
        <w:trPr>
          <w:trHeight w:val="227"/>
        </w:trPr>
        <w:tc>
          <w:tcPr>
            <w:tcW w:w="5000" w:type="dxa"/>
            <w:vAlign w:val="bottom"/>
          </w:tcPr>
          <w:p>
            <w:pPr>
              <w:spacing w:after="0"/>
              <w:rPr>
                <w:sz w:val="19"/>
                <w:szCs w:val="19"/>
                <w:color w:val="auto"/>
              </w:rPr>
            </w:pP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(294)</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EUR Positions</w:t>
            </w:r>
          </w:p>
        </w:tc>
        <w:tc>
          <w:tcPr>
            <w:tcW w:w="46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14</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(14)</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(25)</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4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63</w:t>
            </w:r>
          </w:p>
        </w:tc>
      </w:tr>
      <w:tr>
        <w:trPr>
          <w:trHeight w:val="26"/>
        </w:trPr>
        <w:tc>
          <w:tcPr>
            <w:tcW w:w="50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7"/>
        </w:trPr>
        <w:tc>
          <w:tcPr>
            <w:tcW w:w="5000" w:type="dxa"/>
            <w:vAlign w:val="bottom"/>
            <w:shd w:val="clear" w:color="auto" w:fill="CCEEFF"/>
          </w:tcPr>
          <w:p>
            <w:pPr>
              <w:spacing w:after="0"/>
              <w:rPr>
                <w:sz w:val="19"/>
                <w:szCs w:val="19"/>
                <w:color w:val="auto"/>
              </w:rPr>
            </w:pPr>
          </w:p>
        </w:tc>
        <w:tc>
          <w:tcPr>
            <w:tcW w:w="4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-0.5 %</w:t>
            </w: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(63)</w:t>
            </w:r>
          </w:p>
        </w:tc>
      </w:tr>
      <w:tr>
        <w:trPr>
          <w:trHeight w:val="26"/>
        </w:trPr>
        <w:tc>
          <w:tcPr>
            <w:tcW w:w="500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876935</wp:posOffset>
            </wp:positionV>
            <wp:extent cx="714057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14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The maximum credit risk on financial assets corresponds to the carrying amounts of the Group’s cash and cash equivalents, short-term time deposits and receivables. The Group has not entered into any guarantees or similar obligations that would increase the risk over and above the carrying amounts.</w:t>
      </w:r>
    </w:p>
    <w:p>
      <w:pPr>
        <w:spacing w:after="0" w:line="111"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9"/>
          <w:szCs w:val="19"/>
          <w:color w:val="auto"/>
        </w:rPr>
        <w:t>The cash and cash equivalents and short-term deposits are considered low risk and were held at Swiss banks with Standard &amp; Poor long-term credit ratings as of December 31, 2024 of AAA (Zürcher Kantonalbank), AA+ (Luzerner Kantonalbank) and A+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Group enters into agreements with partners that have appropriate credit history and a commitment to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165975"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65975" cy="4127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9"/>
          <w:szCs w:val="19"/>
          <w:color w:val="auto"/>
        </w:rPr>
        <w:t>The maximum credit risk as of the balance sheet date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057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Credit risk</w:t>
            </w:r>
          </w:p>
        </w:tc>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3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3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34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rPr>
              <w:t>63,874</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67,309</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434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rPr>
              <w:t>286</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295</w:t>
            </w:r>
          </w:p>
        </w:tc>
      </w:tr>
      <w:tr>
        <w:trPr>
          <w:trHeight w:val="26"/>
        </w:trPr>
        <w:tc>
          <w:tcPr>
            <w:tcW w:w="57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434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rPr>
              <w:t>276</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1,131</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time deposits</w:t>
            </w:r>
          </w:p>
        </w:tc>
        <w:tc>
          <w:tcPr>
            <w:tcW w:w="434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rPr>
              <w:t>85,565</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119,580</w:t>
            </w:r>
          </w:p>
        </w:tc>
      </w:tr>
      <w:tr>
        <w:trPr>
          <w:trHeight w:val="26"/>
        </w:trPr>
        <w:tc>
          <w:tcPr>
            <w:tcW w:w="57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credit risk as at December 31</w:t>
            </w:r>
          </w:p>
        </w:tc>
        <w:tc>
          <w:tcPr>
            <w:tcW w:w="434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150,001</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188,315</w:t>
            </w:r>
          </w:p>
        </w:tc>
      </w:tr>
      <w:tr>
        <w:trPr>
          <w:trHeight w:val="20"/>
        </w:trPr>
        <w:tc>
          <w:tcPr>
            <w:tcW w:w="57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risk</w:t>
      </w:r>
    </w:p>
    <w:p>
      <w:pPr>
        <w:spacing w:after="0" w:line="13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the reporting date, giving the Group a secure source of funding for its research and development activities.</w:t>
      </w:r>
    </w:p>
    <w:p>
      <w:pPr>
        <w:spacing w:after="0" w:line="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26.</w:t>
        <w:tab/>
        <w:t>Putative Class Action</w:t>
      </w:r>
    </w:p>
    <w:p>
      <w:pPr>
        <w:spacing w:after="0" w:line="1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12, 2022, a putative class action complaint was filed in the U.S. District Court for the Southern District of New York against the Company, its directors, and certain of its executive officers. On May 23, 2023, an amended complaint was filed. The amended complaint alleged that the defendants violated federal securities laws by, among other things, making misrepresentations and omissions regarding its product candidate MP0310 and an associated licensing agreement. The Company and named individual defendants moved to dismiss the amended complaint on July 24, 2023. On February 5, 2024, the court dismissed the amended complaint without prejudice. On February 29, 2024, the court ordered the case closed.</w:t>
      </w:r>
    </w:p>
    <w:p>
      <w:pPr>
        <w:spacing w:after="0" w:line="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27.</w:t>
        <w:tab/>
        <w:t>Events after the balance sheet date</w:t>
      </w:r>
    </w:p>
    <w:p>
      <w:pPr>
        <w:spacing w:after="0" w:line="146"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9"/>
          <w:szCs w:val="19"/>
          <w:color w:val="auto"/>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40"/>
          </w:cols>
          <w:pgMar w:left="320" w:top="1334"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color w:val="auto"/>
        </w:rPr>
        <w:t>Exhibit</w:t>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220"/>
          </w:cols>
          <w:pgMar w:left="14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Statuten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Incorporation of</w:t>
      </w:r>
    </w:p>
    <w:p>
      <w:pPr>
        <w:spacing w:after="0" w:line="72" w:lineRule="exact"/>
        <w:rPr>
          <w:sz w:val="20"/>
          <w:szCs w:val="20"/>
          <w:color w:val="auto"/>
        </w:rPr>
      </w:pPr>
    </w:p>
    <w:p>
      <w:pPr>
        <w:sectPr>
          <w:pgSz w:w="11900" w:h="16838" w:orient="portrait"/>
          <w:cols w:equalWidth="0" w:num="2">
            <w:col w:w="5000" w:space="720"/>
            <w:col w:w="4500"/>
          </w:cols>
          <w:pgMar w:left="1440" w:top="132"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color w:val="auto"/>
        </w:rPr>
        <w:t>von Molecular Partners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Molecular Partners Ltd</w:t>
      </w:r>
    </w:p>
    <w:p>
      <w:pPr>
        <w:spacing w:after="0" w:line="85" w:lineRule="exact"/>
        <w:rPr>
          <w:sz w:val="20"/>
          <w:szCs w:val="20"/>
          <w:color w:val="auto"/>
        </w:rPr>
      </w:pPr>
    </w:p>
    <w:p>
      <w:pPr>
        <w:sectPr>
          <w:pgSz w:w="11900" w:h="16838" w:orient="portrait"/>
          <w:cols w:equalWidth="0" w:num="2">
            <w:col w:w="5000" w:space="720"/>
            <w:col w:w="4500"/>
          </w:cols>
          <w:pgMar w:left="1440" w:top="132" w:right="239" w:bottom="1440"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vom Januar 9,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of January 9, 2025</w:t>
      </w:r>
      <w:r>
        <w:rPr>
          <w:rFonts w:ascii="Arial" w:cs="Arial" w:eastAsia="Arial" w:hAnsi="Arial"/>
          <w:sz w:val="9"/>
          <w:szCs w:val="9"/>
          <w:color w:val="auto"/>
        </w:rPr>
        <w:t>1</w:t>
      </w:r>
    </w:p>
    <w:p>
      <w:pPr>
        <w:spacing w:after="0" w:line="203" w:lineRule="exact"/>
        <w:rPr>
          <w:sz w:val="20"/>
          <w:szCs w:val="20"/>
          <w:color w:val="auto"/>
        </w:rPr>
      </w:pPr>
    </w:p>
    <w:p>
      <w:pPr>
        <w:sectPr>
          <w:pgSz w:w="11900" w:h="16838" w:orient="portrait"/>
          <w:cols w:equalWidth="0" w:num="2">
            <w:col w:w="5000" w:space="720"/>
            <w:col w:w="4500"/>
          </w:cols>
          <w:pgMar w:left="1440" w:top="1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xml:space="preserve"> This is a translation of the original German version. In</w:t>
      </w:r>
    </w:p>
    <w:p>
      <w:pPr>
        <w:ind w:left="5720"/>
        <w:spacing w:after="0"/>
        <w:rPr>
          <w:sz w:val="20"/>
          <w:szCs w:val="20"/>
          <w:color w:val="auto"/>
        </w:rPr>
      </w:pPr>
      <w:r>
        <w:rPr>
          <w:rFonts w:ascii="Arial" w:cs="Arial" w:eastAsia="Arial" w:hAnsi="Arial"/>
          <w:sz w:val="15"/>
          <w:szCs w:val="15"/>
          <w:color w:val="auto"/>
        </w:rPr>
        <w:t>case of any discrepancy, the German version shall prevail.</w:t>
      </w:r>
    </w:p>
    <w:p>
      <w:pPr>
        <w:sectPr>
          <w:pgSz w:w="11900" w:h="16838" w:orient="portrait"/>
          <w:cols w:equalWidth="0" w:num="1">
            <w:col w:w="10220"/>
          </w:cols>
          <w:pgMar w:left="1440" w:top="132" w:right="239" w:bottom="1440" w:gutter="0" w:footer="0" w:header="0"/>
          <w:type w:val="continuous"/>
        </w:sectPr>
      </w:pPr>
    </w:p>
    <w:bookmarkStart w:id="222" w:name="page223"/>
    <w:bookmarkEnd w:id="222"/>
    <w:p>
      <w:pPr>
        <w:jc w:val="center"/>
        <w:ind w:right="19"/>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9019"/>
          </w:cols>
          <w:pgMar w:left="1440" w:top="132" w:right="1440" w:bottom="1440" w:gutter="0" w:footer="0" w:header="0"/>
        </w:sectPr>
      </w:pPr>
    </w:p>
    <w:bookmarkStart w:id="223" w:name="page224"/>
    <w:bookmarkEnd w:id="223"/>
    <w:p>
      <w:pPr>
        <w:ind w:left="546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762000</wp:posOffset>
            </wp:positionV>
            <wp:extent cx="59264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5926455" cy="8255"/>
                    </a:xfrm>
                    <a:prstGeom prst="rect">
                      <a:avLst/>
                    </a:prstGeom>
                    <a:noFill/>
                  </pic:spPr>
                </pic:pic>
              </a:graphicData>
            </a:graphic>
          </wp:anchor>
        </w:drawing>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Abschnitt 1:</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Firma, Sitz, Zweck und Dauer der Gesellschaft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238125</wp:posOffset>
            </wp:positionV>
            <wp:extent cx="25730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Artikel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w:t>
      </w:r>
    </w:p>
    <w:p>
      <w:pPr>
        <w:spacing w:after="0" w:line="35" w:lineRule="exact"/>
        <w:rPr>
          <w:sz w:val="20"/>
          <w:szCs w:val="20"/>
          <w:color w:val="auto"/>
        </w:rPr>
      </w:pPr>
    </w:p>
    <w:p>
      <w:pPr>
        <w:ind w:right="100"/>
        <w:spacing w:after="0" w:line="325" w:lineRule="auto"/>
        <w:rPr>
          <w:sz w:val="20"/>
          <w:szCs w:val="20"/>
          <w:color w:val="auto"/>
        </w:rPr>
      </w:pPr>
      <w:r>
        <w:rPr>
          <w:rFonts w:ascii="Arial" w:cs="Arial" w:eastAsia="Arial" w:hAnsi="Arial"/>
          <w:sz w:val="17"/>
          <w:szCs w:val="17"/>
          <w:i w:val="1"/>
          <w:iCs w:val="1"/>
          <w:color w:val="auto"/>
        </w:rPr>
        <w:t>Name, Place of Incorporation, Purpose and Duration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18415</wp:posOffset>
            </wp:positionV>
            <wp:extent cx="25895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w:t>
      </w:r>
    </w:p>
    <w:p>
      <w:pPr>
        <w:spacing w:after="0" w:line="197" w:lineRule="exact"/>
        <w:rPr>
          <w:sz w:val="20"/>
          <w:szCs w:val="20"/>
          <w:color w:val="auto"/>
        </w:rPr>
      </w:pPr>
    </w:p>
    <w:p>
      <w:pPr>
        <w:sectPr>
          <w:pgSz w:w="11900" w:h="16838" w:orient="portrait"/>
          <w:cols w:equalWidth="0" w:num="2">
            <w:col w:w="5820" w:space="720"/>
            <w:col w:w="4020"/>
          </w:cols>
          <w:pgMar w:left="360" w:top="132" w:right="979" w:bottom="1440" w:gutter="0" w:footer="0" w:header="0"/>
          <w:type w:val="continuous"/>
        </w:sectPr>
      </w:pPr>
    </w:p>
    <w:p>
      <w:pPr>
        <w:spacing w:after="0"/>
        <w:tabs>
          <w:tab w:leader="none" w:pos="1020" w:val="left"/>
          <w:tab w:leader="none" w:pos="1260" w:val="left"/>
          <w:tab w:leader="none" w:pos="5420" w:val="left"/>
          <w:tab w:leader="none" w:pos="6520" w:val="left"/>
        </w:tabs>
        <w:rPr>
          <w:sz w:val="20"/>
          <w:szCs w:val="20"/>
          <w:color w:val="auto"/>
        </w:rPr>
      </w:pPr>
      <w:r>
        <w:rPr>
          <w:rFonts w:ascii="Arial" w:cs="Arial" w:eastAsia="Arial" w:hAnsi="Arial"/>
          <w:sz w:val="13"/>
          <w:szCs w:val="13"/>
          <w:color w:val="auto"/>
        </w:rPr>
        <w:t>Firma, Sitz</w:t>
      </w:r>
      <w:r>
        <w:rPr>
          <w:sz w:val="20"/>
          <w:szCs w:val="20"/>
          <w:color w:val="auto"/>
        </w:rPr>
        <w:tab/>
      </w:r>
      <w:r>
        <w:rPr>
          <w:rFonts w:ascii="Arial" w:cs="Arial" w:eastAsia="Arial" w:hAnsi="Arial"/>
          <w:sz w:val="13"/>
          <w:szCs w:val="13"/>
          <w:color w:val="auto"/>
        </w:rPr>
        <w:t>1</w:t>
      </w:r>
      <w:r>
        <w:rPr>
          <w:sz w:val="20"/>
          <w:szCs w:val="20"/>
          <w:color w:val="auto"/>
        </w:rPr>
        <w:tab/>
      </w:r>
      <w:r>
        <w:rPr>
          <w:rFonts w:ascii="Arial" w:cs="Arial" w:eastAsia="Arial" w:hAnsi="Arial"/>
          <w:sz w:val="17"/>
          <w:szCs w:val="17"/>
          <w:color w:val="auto"/>
        </w:rPr>
        <w:t>Unter der Firma</w:t>
      </w:r>
      <w:r>
        <w:rPr>
          <w:sz w:val="20"/>
          <w:szCs w:val="20"/>
          <w:color w:val="auto"/>
        </w:rPr>
        <w:tab/>
      </w:r>
      <w:r>
        <w:rPr>
          <w:rFonts w:ascii="Arial" w:cs="Arial" w:eastAsia="Arial" w:hAnsi="Arial"/>
          <w:sz w:val="13"/>
          <w:szCs w:val="13"/>
          <w:color w:val="auto"/>
        </w:rPr>
        <w:t>Name, Place  1</w:t>
      </w:r>
      <w:r>
        <w:rPr>
          <w:sz w:val="20"/>
          <w:szCs w:val="20"/>
          <w:color w:val="auto"/>
        </w:rPr>
        <w:tab/>
      </w:r>
      <w:r>
        <w:rPr>
          <w:rFonts w:ascii="Arial" w:cs="Arial" w:eastAsia="Arial" w:hAnsi="Arial"/>
          <w:sz w:val="17"/>
          <w:szCs w:val="17"/>
          <w:color w:val="auto"/>
        </w:rPr>
        <w:t>Under the name</w:t>
      </w:r>
    </w:p>
    <w:p>
      <w:pPr>
        <w:spacing w:after="0" w:line="67"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of</w:t>
      </w:r>
    </w:p>
    <w:p>
      <w:pPr>
        <w:spacing w:after="0" w:line="91" w:lineRule="exact"/>
        <w:rPr>
          <w:sz w:val="20"/>
          <w:szCs w:val="20"/>
          <w:color w:val="auto"/>
        </w:rPr>
      </w:pPr>
    </w:p>
    <w:p>
      <w:pPr>
        <w:ind w:left="1280"/>
        <w:spacing w:after="0"/>
        <w:tabs>
          <w:tab w:leader="none" w:pos="5420" w:val="left"/>
          <w:tab w:leader="none" w:pos="6520" w:val="left"/>
          <w:tab w:leader="none" w:pos="7400" w:val="left"/>
          <w:tab w:leader="none" w:pos="8160" w:val="left"/>
          <w:tab w:leader="none" w:pos="8540" w:val="left"/>
          <w:tab w:leader="none" w:pos="9480" w:val="left"/>
          <w:tab w:leader="none" w:pos="10260" w:val="left"/>
        </w:tabs>
        <w:rPr>
          <w:sz w:val="20"/>
          <w:szCs w:val="20"/>
          <w:color w:val="auto"/>
        </w:rPr>
      </w:pPr>
      <w:r>
        <w:rPr>
          <w:rFonts w:ascii="Arial" w:cs="Arial" w:eastAsia="Arial" w:hAnsi="Arial"/>
          <w:sz w:val="17"/>
          <w:szCs w:val="17"/>
          <w:color w:val="auto"/>
        </w:rPr>
        <w:t>Molecular  Partners  AG  (Molecular  Partners  SA)</w:t>
      </w:r>
      <w:r>
        <w:rPr>
          <w:sz w:val="20"/>
          <w:szCs w:val="20"/>
          <w:color w:val="auto"/>
        </w:rPr>
        <w:tab/>
      </w:r>
      <w:r>
        <w:rPr>
          <w:rFonts w:ascii="Arial" w:cs="Arial" w:eastAsia="Arial" w:hAnsi="Arial"/>
          <w:sz w:val="27"/>
          <w:szCs w:val="27"/>
          <w:color w:val="auto"/>
          <w:vertAlign w:val="superscript"/>
        </w:rPr>
        <w:t>Incorporation</w:t>
      </w:r>
      <w:r>
        <w:rPr>
          <w:sz w:val="20"/>
          <w:szCs w:val="20"/>
          <w:color w:val="auto"/>
        </w:rPr>
        <w:tab/>
      </w:r>
      <w:r>
        <w:rPr>
          <w:rFonts w:ascii="Arial" w:cs="Arial" w:eastAsia="Arial" w:hAnsi="Arial"/>
          <w:sz w:val="17"/>
          <w:szCs w:val="17"/>
          <w:color w:val="auto"/>
        </w:rPr>
        <w:t>Molecular</w:t>
        <w:tab/>
        <w:t>Partners</w:t>
        <w:tab/>
        <w:t>AG</w:t>
        <w:tab/>
        <w:t>(Molecular</w:t>
        <w:tab/>
        <w:t>Partners</w:t>
      </w:r>
      <w:r>
        <w:rPr>
          <w:sz w:val="20"/>
          <w:szCs w:val="20"/>
          <w:color w:val="auto"/>
        </w:rPr>
        <w:tab/>
      </w:r>
      <w:r>
        <w:rPr>
          <w:rFonts w:ascii="Arial" w:cs="Arial" w:eastAsia="Arial" w:hAnsi="Arial"/>
          <w:sz w:val="16"/>
          <w:szCs w:val="16"/>
          <w:color w:val="auto"/>
        </w:rPr>
        <w:t>SA)</w:t>
      </w:r>
    </w:p>
    <w:p>
      <w:pPr>
        <w:ind w:left="1280"/>
        <w:spacing w:after="0"/>
        <w:tabs>
          <w:tab w:leader="none" w:pos="6520" w:val="left"/>
        </w:tabs>
        <w:rPr>
          <w:sz w:val="20"/>
          <w:szCs w:val="20"/>
          <w:color w:val="auto"/>
        </w:rPr>
      </w:pPr>
      <w:r>
        <w:rPr>
          <w:rFonts w:ascii="Arial" w:cs="Arial" w:eastAsia="Arial" w:hAnsi="Arial"/>
          <w:sz w:val="17"/>
          <w:szCs w:val="17"/>
          <w:color w:val="auto"/>
        </w:rPr>
        <w:t xml:space="preserve">(Molecular Partners Ltd) (die </w:t>
      </w:r>
      <w:r>
        <w:rPr>
          <w:rFonts w:ascii="Arial" w:cs="Arial" w:eastAsia="Arial" w:hAnsi="Arial"/>
          <w:sz w:val="17"/>
          <w:szCs w:val="17"/>
          <w:b w:val="1"/>
          <w:bCs w:val="1"/>
          <w:color w:val="auto"/>
        </w:rPr>
        <w:t>Gesellschaft</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xml:space="preserve">(Molecular Partners Ltd)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ectPr>
          <w:pgSz w:w="11900" w:h="16838" w:orient="portrait"/>
          <w:cols w:equalWidth="0" w:num="1">
            <w:col w:w="10560"/>
          </w:cols>
          <w:pgMar w:left="360" w:top="132" w:right="979" w:bottom="1440" w:gutter="0" w:footer="0" w:header="0"/>
          <w:type w:val="continuous"/>
        </w:sectPr>
      </w:pPr>
    </w:p>
    <w:p>
      <w:pPr>
        <w:spacing w:after="0" w:line="346" w:lineRule="exact"/>
        <w:rPr>
          <w:sz w:val="20"/>
          <w:szCs w:val="20"/>
          <w:color w:val="auto"/>
        </w:rPr>
      </w:pPr>
    </w:p>
    <w:p>
      <w:pPr>
        <w:jc w:val="both"/>
        <w:ind w:left="1280" w:right="300"/>
        <w:spacing w:after="0" w:line="301" w:lineRule="auto"/>
        <w:rPr>
          <w:sz w:val="20"/>
          <w:szCs w:val="20"/>
          <w:color w:val="auto"/>
        </w:rPr>
      </w:pPr>
      <w:r>
        <w:rPr>
          <w:rFonts w:ascii="Arial" w:cs="Arial" w:eastAsia="Arial" w:hAnsi="Arial"/>
          <w:sz w:val="17"/>
          <w:szCs w:val="17"/>
          <w:color w:val="auto"/>
        </w:rPr>
        <w:t xml:space="preserve">besteht eine Aktiengesellschaft, die den vorliegenden Statuten und den Vorschriften des 26. Titels des Schweizerischen Obligationenrechts (das </w:t>
      </w:r>
      <w:r>
        <w:rPr>
          <w:rFonts w:ascii="Arial" w:cs="Arial" w:eastAsia="Arial" w:hAnsi="Arial"/>
          <w:sz w:val="17"/>
          <w:szCs w:val="17"/>
          <w:b w:val="1"/>
          <w:bCs w:val="1"/>
          <w:color w:val="auto"/>
        </w:rPr>
        <w:t>OR</w:t>
      </w:r>
      <w:r>
        <w:rPr>
          <w:rFonts w:ascii="Arial" w:cs="Arial" w:eastAsia="Arial" w:hAnsi="Arial"/>
          <w:sz w:val="17"/>
          <w:szCs w:val="17"/>
          <w:color w:val="auto"/>
        </w:rPr>
        <w:t>) untersteht.</w:t>
      </w:r>
    </w:p>
    <w:p>
      <w:pPr>
        <w:spacing w:after="0" w:line="121" w:lineRule="exact"/>
        <w:rPr>
          <w:sz w:val="20"/>
          <w:szCs w:val="20"/>
          <w:color w:val="auto"/>
        </w:rPr>
      </w:pPr>
    </w:p>
    <w:p>
      <w:pPr>
        <w:ind w:left="1280" w:right="320" w:hanging="235"/>
        <w:spacing w:after="0" w:line="313" w:lineRule="auto"/>
        <w:tabs>
          <w:tab w:leader="none" w:pos="1280" w:val="left"/>
        </w:tabs>
        <w:numPr>
          <w:ilvl w:val="0"/>
          <w:numId w:val="101"/>
        </w:numPr>
        <w:rPr>
          <w:rFonts w:ascii="Arial" w:cs="Arial" w:eastAsia="Arial" w:hAnsi="Arial"/>
          <w:sz w:val="13"/>
          <w:szCs w:val="13"/>
          <w:color w:val="auto"/>
        </w:rPr>
      </w:pPr>
      <w:r>
        <w:rPr>
          <w:rFonts w:ascii="Arial" w:cs="Arial" w:eastAsia="Arial" w:hAnsi="Arial"/>
          <w:sz w:val="17"/>
          <w:szCs w:val="17"/>
          <w:color w:val="auto"/>
        </w:rPr>
        <w:t>Der Sitz der Gesellschaft ist in Schlieren, Kanton Zürich. Die Dauer der Gesellschaft ist unbeschränkt.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both"/>
        <w:ind w:left="240"/>
        <w:spacing w:after="0" w:line="304" w:lineRule="auto"/>
        <w:rPr>
          <w:sz w:val="20"/>
          <w:szCs w:val="20"/>
          <w:color w:val="auto"/>
        </w:rPr>
      </w:pPr>
      <w:r>
        <w:rPr>
          <w:rFonts w:ascii="Arial" w:cs="Arial" w:eastAsia="Arial" w:hAnsi="Arial"/>
          <w:sz w:val="17"/>
          <w:szCs w:val="17"/>
          <w:color w:val="auto"/>
        </w:rPr>
        <w:t>there exists a corporation as defined in title 26 of the Swiss Code of Obligations (</w:t>
      </w:r>
      <w:r>
        <w:rPr>
          <w:rFonts w:ascii="Arial" w:cs="Arial" w:eastAsia="Arial" w:hAnsi="Arial"/>
          <w:sz w:val="17"/>
          <w:szCs w:val="17"/>
          <w:b w:val="1"/>
          <w:bCs w:val="1"/>
          <w:color w:val="auto"/>
        </w:rPr>
        <w:t>CO</w:t>
      </w:r>
      <w:r>
        <w:rPr>
          <w:rFonts w:ascii="Arial" w:cs="Arial" w:eastAsia="Arial" w:hAnsi="Arial"/>
          <w:sz w:val="17"/>
          <w:szCs w:val="17"/>
          <w:color w:val="auto"/>
        </w:rPr>
        <w:t>) and in these Articles of Incorporation.</w:t>
      </w:r>
    </w:p>
    <w:p>
      <w:pPr>
        <w:spacing w:after="0" w:line="359" w:lineRule="exact"/>
        <w:rPr>
          <w:sz w:val="20"/>
          <w:szCs w:val="20"/>
          <w:color w:val="auto"/>
        </w:rPr>
      </w:pPr>
    </w:p>
    <w:p>
      <w:pPr>
        <w:jc w:val="both"/>
        <w:ind w:left="240" w:hanging="240"/>
        <w:spacing w:after="0" w:line="304" w:lineRule="auto"/>
        <w:tabs>
          <w:tab w:leader="none" w:pos="240" w:val="left"/>
        </w:tabs>
        <w:numPr>
          <w:ilvl w:val="0"/>
          <w:numId w:val="102"/>
        </w:numPr>
        <w:rPr>
          <w:rFonts w:ascii="Arial" w:cs="Arial" w:eastAsia="Arial" w:hAnsi="Arial"/>
          <w:sz w:val="13"/>
          <w:szCs w:val="13"/>
          <w:color w:val="auto"/>
        </w:rPr>
      </w:pPr>
      <w:r>
        <w:rPr>
          <w:rFonts w:ascii="Arial" w:cs="Arial" w:eastAsia="Arial" w:hAnsi="Arial"/>
          <w:sz w:val="17"/>
          <w:szCs w:val="17"/>
          <w:color w:val="auto"/>
        </w:rPr>
        <w:t>The registered office of the Company is in Schlieren, Canton of Zurich. The duration of the Company is unlimited.</w:t>
      </w:r>
    </w:p>
    <w:p>
      <w:pPr>
        <w:spacing w:after="0" w:line="200" w:lineRule="exact"/>
        <w:rPr>
          <w:sz w:val="20"/>
          <w:szCs w:val="20"/>
          <w:color w:val="auto"/>
        </w:rPr>
      </w:pPr>
    </w:p>
    <w:p>
      <w:pPr>
        <w:sectPr>
          <w:pgSz w:w="11900" w:h="16838" w:orient="portrait"/>
          <w:cols w:equalWidth="0" w:num="2">
            <w:col w:w="5580" w:space="720"/>
            <w:col w:w="4260"/>
          </w:cols>
          <w:pgMar w:left="360" w:top="132" w:right="979" w:bottom="1440" w:gutter="0" w:footer="0" w:header="0"/>
          <w:type w:val="continuous"/>
        </w:sectPr>
      </w:pPr>
    </w:p>
    <w:p>
      <w:pPr>
        <w:spacing w:after="0" w:line="248" w:lineRule="exact"/>
        <w:rPr>
          <w:sz w:val="20"/>
          <w:szCs w:val="20"/>
          <w:color w:val="auto"/>
        </w:rPr>
      </w:pPr>
    </w:p>
    <w:p>
      <w:pPr>
        <w:spacing w:after="0"/>
        <w:tabs>
          <w:tab w:leader="none" w:pos="1260" w:val="left"/>
          <w:tab w:leader="none" w:pos="5420" w:val="left"/>
          <w:tab w:leader="none" w:pos="6520" w:val="left"/>
        </w:tabs>
        <w:rPr>
          <w:sz w:val="20"/>
          <w:szCs w:val="20"/>
          <w:color w:val="auto"/>
        </w:rPr>
      </w:pPr>
      <w:r>
        <w:rPr>
          <w:rFonts w:ascii="Arial" w:cs="Arial" w:eastAsia="Arial" w:hAnsi="Arial"/>
          <w:sz w:val="13"/>
          <w:szCs w:val="13"/>
          <w:color w:val="auto"/>
        </w:rPr>
        <w:t>Zweck</w:t>
      </w:r>
      <w:r>
        <w:rPr>
          <w:sz w:val="20"/>
          <w:szCs w:val="20"/>
          <w:color w:val="auto"/>
        </w:rPr>
        <w:tab/>
      </w:r>
      <w:r>
        <w:rPr>
          <w:rFonts w:ascii="Arial" w:cs="Arial" w:eastAsia="Arial" w:hAnsi="Arial"/>
          <w:sz w:val="17"/>
          <w:szCs w:val="17"/>
          <w:b w:val="1"/>
          <w:bCs w:val="1"/>
          <w:color w:val="auto"/>
        </w:rPr>
        <w:t>Artikel 2</w:t>
      </w:r>
      <w:r>
        <w:rPr>
          <w:sz w:val="20"/>
          <w:szCs w:val="20"/>
          <w:color w:val="auto"/>
        </w:rPr>
        <w:tab/>
      </w:r>
      <w:r>
        <w:rPr>
          <w:rFonts w:ascii="Arial" w:cs="Arial" w:eastAsia="Arial" w:hAnsi="Arial"/>
          <w:sz w:val="13"/>
          <w:szCs w:val="13"/>
          <w:color w:val="auto"/>
        </w:rPr>
        <w:t>Purpose</w:t>
      </w:r>
      <w:r>
        <w:rPr>
          <w:sz w:val="20"/>
          <w:szCs w:val="20"/>
          <w:color w:val="auto"/>
        </w:rPr>
        <w:tab/>
      </w:r>
      <w:r>
        <w:rPr>
          <w:rFonts w:ascii="Arial" w:cs="Arial" w:eastAsia="Arial" w:hAnsi="Arial"/>
          <w:sz w:val="16"/>
          <w:szCs w:val="16"/>
          <w:b w:val="1"/>
          <w:bCs w:val="1"/>
          <w:color w:val="auto"/>
        </w:rPr>
        <w:t>Article 2</w:t>
      </w:r>
    </w:p>
    <w:p>
      <w:pPr>
        <w:sectPr>
          <w:pgSz w:w="11900" w:h="16838" w:orient="portrait"/>
          <w:cols w:equalWidth="0" w:num="1">
            <w:col w:w="10560"/>
          </w:cols>
          <w:pgMar w:left="360" w:top="132" w:right="979" w:bottom="1440" w:gutter="0" w:footer="0" w:header="0"/>
          <w:type w:val="continuous"/>
        </w:sectPr>
      </w:pPr>
    </w:p>
    <w:p>
      <w:pPr>
        <w:spacing w:after="0" w:line="197" w:lineRule="exact"/>
        <w:rPr>
          <w:sz w:val="20"/>
          <w:szCs w:val="20"/>
          <w:color w:val="auto"/>
        </w:rPr>
      </w:pPr>
    </w:p>
    <w:p>
      <w:pPr>
        <w:jc w:val="both"/>
        <w:ind w:left="1280" w:right="300" w:hanging="239"/>
        <w:spacing w:after="0" w:line="291" w:lineRule="auto"/>
        <w:tabs>
          <w:tab w:leader="none" w:pos="1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7"/>
          <w:szCs w:val="17"/>
          <w:color w:val="auto"/>
        </w:rPr>
        <w:t>Zweck der Gesellschaft ist die Forschung, Entwicklung, Herstellung und der Verkauf von Produkten in den Gebieten der Biotechnologie, der Pharmazie, Medizintechnologie, Diagnose und Therapie sowie der Kauf, Verkauf und die Verwendung von Patenten und Lizenzen auf diesem Gebiet. Die Gesellschaft kann alle Geschäfte tätigen, die geeignet erscheinen, den Zweck der Gesellschaft zu fördern, oder die mit diesem zusammenhängen.</w:t>
      </w:r>
    </w:p>
    <w:p>
      <w:pPr>
        <w:spacing w:after="0" w:line="134" w:lineRule="exact"/>
        <w:rPr>
          <w:sz w:val="20"/>
          <w:szCs w:val="20"/>
          <w:color w:val="auto"/>
        </w:rPr>
      </w:pPr>
    </w:p>
    <w:p>
      <w:pPr>
        <w:jc w:val="both"/>
        <w:ind w:left="1280" w:right="300" w:hanging="239"/>
        <w:spacing w:after="0" w:line="296" w:lineRule="auto"/>
        <w:tabs>
          <w:tab w:leader="none" w:pos="12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Die Gesellschaft kann Grundstücke im In- und Ausland erwerben, verwalten, belasten, verwerten und verkaufen sowie andere Gesellschaften finanzieren.</w:t>
      </w:r>
    </w:p>
    <w:p>
      <w:pPr>
        <w:spacing w:after="0" w:line="125" w:lineRule="exact"/>
        <w:rPr>
          <w:sz w:val="20"/>
          <w:szCs w:val="20"/>
          <w:color w:val="auto"/>
        </w:rPr>
      </w:pPr>
    </w:p>
    <w:p>
      <w:pPr>
        <w:jc w:val="both"/>
        <w:ind w:left="1280" w:right="300" w:hanging="235"/>
        <w:spacing w:after="0" w:line="287" w:lineRule="auto"/>
        <w:tabs>
          <w:tab w:leader="none" w:pos="1280" w:val="left"/>
        </w:tabs>
        <w:numPr>
          <w:ilvl w:val="0"/>
          <w:numId w:val="103"/>
        </w:numPr>
        <w:rPr>
          <w:rFonts w:ascii="Arial" w:cs="Arial" w:eastAsia="Arial" w:hAnsi="Arial"/>
          <w:sz w:val="13"/>
          <w:szCs w:val="13"/>
          <w:color w:val="auto"/>
        </w:rPr>
      </w:pPr>
      <w:r>
        <w:rPr>
          <w:rFonts w:ascii="Arial" w:cs="Arial" w:eastAsia="Arial" w:hAnsi="Arial"/>
          <w:sz w:val="17"/>
          <w:szCs w:val="17"/>
          <w:color w:val="auto"/>
        </w:rPr>
        <w:t>Die Gesellschaft kann Zweigniederlassungen und Tochtergesellschaften im In- und Ausland errichten</w:t>
      </w:r>
    </w:p>
    <w:p>
      <w:pPr>
        <w:spacing w:after="0" w:line="1" w:lineRule="exact"/>
        <w:rPr>
          <w:rFonts w:ascii="Arial" w:cs="Arial" w:eastAsia="Arial" w:hAnsi="Arial"/>
          <w:sz w:val="13"/>
          <w:szCs w:val="13"/>
          <w:color w:val="auto"/>
        </w:rPr>
      </w:pPr>
    </w:p>
    <w:p>
      <w:pPr>
        <w:ind w:left="1280" w:right="320"/>
        <w:spacing w:after="0" w:line="313" w:lineRule="auto"/>
        <w:rPr>
          <w:rFonts w:ascii="Arial" w:cs="Arial" w:eastAsia="Arial" w:hAnsi="Arial"/>
          <w:sz w:val="13"/>
          <w:szCs w:val="13"/>
          <w:color w:val="auto"/>
        </w:rPr>
      </w:pPr>
      <w:r>
        <w:rPr>
          <w:rFonts w:ascii="Arial" w:cs="Arial" w:eastAsia="Arial" w:hAnsi="Arial"/>
          <w:sz w:val="17"/>
          <w:szCs w:val="17"/>
          <w:color w:val="auto"/>
        </w:rPr>
        <w:t>und sich an anderen Unternehmen beteiligen oder mit diesen fusionieren.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left="240" w:right="20" w:hanging="240"/>
        <w:spacing w:after="0" w:line="287"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7"/>
          <w:szCs w:val="17"/>
          <w:color w:val="auto"/>
        </w:rPr>
        <w:t>The Company's purpose is to research, develop, produce and sell products in the fields of</w:t>
      </w:r>
    </w:p>
    <w:p>
      <w:pPr>
        <w:spacing w:after="0" w:line="1" w:lineRule="exact"/>
        <w:rPr>
          <w:rFonts w:ascii="Arial" w:cs="Arial" w:eastAsia="Arial" w:hAnsi="Arial"/>
          <w:sz w:val="13"/>
          <w:szCs w:val="13"/>
          <w:color w:val="auto"/>
        </w:rPr>
      </w:pPr>
    </w:p>
    <w:p>
      <w:pPr>
        <w:jc w:val="both"/>
        <w:ind w:left="240" w:right="20"/>
        <w:spacing w:after="0" w:line="287" w:lineRule="auto"/>
        <w:rPr>
          <w:rFonts w:ascii="Arial" w:cs="Arial" w:eastAsia="Arial" w:hAnsi="Arial"/>
          <w:sz w:val="13"/>
          <w:szCs w:val="13"/>
          <w:color w:val="auto"/>
        </w:rPr>
      </w:pPr>
      <w:r>
        <w:rPr>
          <w:rFonts w:ascii="Arial" w:cs="Arial" w:eastAsia="Arial" w:hAnsi="Arial"/>
          <w:sz w:val="17"/>
          <w:szCs w:val="17"/>
          <w:color w:val="auto"/>
        </w:rPr>
        <w:t>biotechnology, pharamceutica, medical technology, diagnosis and therapy as well as to purchase, sell</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and use patents and licences in this field. The Company may engage in all types of transactions</w:t>
      </w:r>
    </w:p>
    <w:p>
      <w:pPr>
        <w:spacing w:after="0" w:line="1" w:lineRule="exact"/>
        <w:rPr>
          <w:rFonts w:ascii="Arial" w:cs="Arial" w:eastAsia="Arial" w:hAnsi="Arial"/>
          <w:sz w:val="13"/>
          <w:szCs w:val="13"/>
          <w:color w:val="auto"/>
        </w:rPr>
      </w:pPr>
    </w:p>
    <w:p>
      <w:pPr>
        <w:ind w:left="240"/>
        <w:spacing w:after="0" w:line="313" w:lineRule="auto"/>
        <w:rPr>
          <w:rFonts w:ascii="Arial" w:cs="Arial" w:eastAsia="Arial" w:hAnsi="Arial"/>
          <w:sz w:val="13"/>
          <w:szCs w:val="13"/>
          <w:color w:val="auto"/>
        </w:rPr>
      </w:pPr>
      <w:r>
        <w:rPr>
          <w:rFonts w:ascii="Arial" w:cs="Arial" w:eastAsia="Arial" w:hAnsi="Arial"/>
          <w:sz w:val="17"/>
          <w:szCs w:val="17"/>
          <w:color w:val="auto"/>
        </w:rPr>
        <w:t>that appear appropriate to promote the purpose of the Company or that are related thereto.</w:t>
      </w:r>
    </w:p>
    <w:p>
      <w:pPr>
        <w:spacing w:after="0" w:line="351" w:lineRule="exact"/>
        <w:rPr>
          <w:sz w:val="20"/>
          <w:szCs w:val="20"/>
          <w:color w:val="auto"/>
        </w:rPr>
      </w:pPr>
    </w:p>
    <w:p>
      <w:pPr>
        <w:jc w:val="both"/>
        <w:ind w:left="240" w:hanging="240"/>
        <w:spacing w:after="0" w:line="304" w:lineRule="auto"/>
        <w:tabs>
          <w:tab w:leader="none" w:pos="240" w:val="left"/>
        </w:tabs>
        <w:numPr>
          <w:ilvl w:val="0"/>
          <w:numId w:val="105"/>
        </w:numPr>
        <w:rPr>
          <w:rFonts w:ascii="Arial" w:cs="Arial" w:eastAsia="Arial" w:hAnsi="Arial"/>
          <w:sz w:val="13"/>
          <w:szCs w:val="13"/>
          <w:color w:val="auto"/>
        </w:rPr>
      </w:pPr>
      <w:r>
        <w:rPr>
          <w:rFonts w:ascii="Arial" w:cs="Arial" w:eastAsia="Arial" w:hAnsi="Arial"/>
          <w:sz w:val="17"/>
          <w:szCs w:val="17"/>
          <w:color w:val="auto"/>
        </w:rPr>
        <w:t>The Company may acquire, administer, encumber, exploit or sell real estate in Switzerland and aborad and may also finance other companies.</w:t>
      </w:r>
    </w:p>
    <w:p>
      <w:pPr>
        <w:spacing w:after="0" w:line="346" w:lineRule="exact"/>
        <w:rPr>
          <w:sz w:val="20"/>
          <w:szCs w:val="20"/>
          <w:color w:val="auto"/>
        </w:rPr>
      </w:pPr>
    </w:p>
    <w:p>
      <w:pPr>
        <w:jc w:val="both"/>
        <w:ind w:left="240" w:right="20" w:hanging="239"/>
        <w:spacing w:after="0" w:line="304" w:lineRule="auto"/>
        <w:tabs>
          <w:tab w:leader="none" w:pos="22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The Company may establish branches and subsidiaries within Switzerland or abroad and may acquire participations in other companies.</w:t>
      </w:r>
    </w:p>
    <w:p>
      <w:pPr>
        <w:sectPr>
          <w:pgSz w:w="11900" w:h="16838" w:orient="portrait"/>
          <w:cols w:equalWidth="0" w:num="2">
            <w:col w:w="5580" w:space="720"/>
            <w:col w:w="4260"/>
          </w:cols>
          <w:pgMar w:left="360" w:top="132" w:right="979" w:bottom="1440" w:gutter="0" w:footer="0" w:header="0"/>
          <w:type w:val="continuous"/>
        </w:sectPr>
      </w:pPr>
    </w:p>
    <w:bookmarkStart w:id="224" w:name="page225"/>
    <w:bookmarkEnd w:id="224"/>
    <w:p>
      <w:pPr>
        <w:ind w:left="5460"/>
        <w:spacing w:after="0"/>
        <w:rPr>
          <w:sz w:val="20"/>
          <w:szCs w:val="20"/>
          <w:color w:val="auto"/>
        </w:rPr>
      </w:pPr>
      <w:r>
        <w:rPr>
          <w:rFonts w:ascii="Arial" w:cs="Arial" w:eastAsia="Arial" w:hAnsi="Arial"/>
          <w:sz w:val="13"/>
          <w:szCs w:val="13"/>
          <w:color w:val="auto"/>
        </w:rPr>
        <w:t>- 4 -</w:t>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right="300" w:hanging="243"/>
        <w:spacing w:after="0" w:line="304" w:lineRule="auto"/>
        <w:tabs>
          <w:tab w:leader="none" w:pos="1300" w:val="left"/>
        </w:tabs>
        <w:numPr>
          <w:ilvl w:val="0"/>
          <w:numId w:val="106"/>
        </w:numPr>
        <w:rPr>
          <w:rFonts w:ascii="Arial" w:cs="Arial" w:eastAsia="Arial" w:hAnsi="Arial"/>
          <w:sz w:val="13"/>
          <w:szCs w:val="13"/>
          <w:color w:val="auto"/>
        </w:rPr>
      </w:pPr>
      <w:r>
        <w:rPr>
          <w:rFonts w:ascii="Arial" w:cs="Arial" w:eastAsia="Arial" w:hAnsi="Arial"/>
          <w:sz w:val="17"/>
          <w:szCs w:val="17"/>
          <w:color w:val="auto"/>
        </w:rPr>
        <w:t>Bei der Verfolgung ihres Gesellschaftszwecks strebt die Gesellschaft die Schaffung von langfristigem, nachhaltigem Wert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238760</wp:posOffset>
            </wp:positionV>
            <wp:extent cx="25654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right="20" w:hanging="240"/>
        <w:spacing w:after="0" w:line="313" w:lineRule="auto"/>
        <w:tabs>
          <w:tab w:leader="none" w:pos="240" w:val="left"/>
        </w:tabs>
        <w:numPr>
          <w:ilvl w:val="0"/>
          <w:numId w:val="107"/>
        </w:numPr>
        <w:rPr>
          <w:rFonts w:ascii="Arial" w:cs="Arial" w:eastAsia="Arial" w:hAnsi="Arial"/>
          <w:sz w:val="13"/>
          <w:szCs w:val="13"/>
          <w:color w:val="auto"/>
        </w:rPr>
      </w:pPr>
      <w:r>
        <w:rPr>
          <w:rFonts w:ascii="Arial" w:cs="Arial" w:eastAsia="Arial" w:hAnsi="Arial"/>
          <w:sz w:val="17"/>
          <w:szCs w:val="17"/>
          <w:color w:val="auto"/>
        </w:rPr>
        <w:t>In pursuing its purpose, the Company strives to create long-term, sustainable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386715</wp:posOffset>
            </wp:positionV>
            <wp:extent cx="25895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5580" w:space="720"/>
            <w:col w:w="4260"/>
          </w:cols>
          <w:pgMar w:left="360" w:top="132" w:right="979" w:bottom="1440" w:gutter="0" w:footer="0" w:header="0"/>
          <w:type w:val="continuous"/>
        </w:sect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Abschnitt 2:</w:t>
      </w:r>
    </w:p>
    <w:p>
      <w:pPr>
        <w:spacing w:after="0" w:line="47"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auto"/>
        </w:rPr>
        <w:t>Aktienkapital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77470</wp:posOffset>
            </wp:positionV>
            <wp:extent cx="25654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Artikel 3</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25895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w:t>
      </w:r>
    </w:p>
    <w:p>
      <w:pPr>
        <w:spacing w:after="0" w:line="197" w:lineRule="exact"/>
        <w:rPr>
          <w:sz w:val="20"/>
          <w:szCs w:val="20"/>
          <w:color w:val="auto"/>
        </w:rPr>
      </w:pPr>
    </w:p>
    <w:p>
      <w:pPr>
        <w:sectPr>
          <w:pgSz w:w="11900" w:h="16838" w:orient="portrait"/>
          <w:cols w:equalWidth="0" w:num="2">
            <w:col w:w="5820" w:space="720"/>
            <w:col w:w="4020"/>
          </w:cols>
          <w:pgMar w:left="360" w:top="132" w:right="9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00" w:type="dxa"/>
            <w:vAlign w:val="bottom"/>
          </w:tcPr>
          <w:p>
            <w:pPr>
              <w:spacing w:after="0"/>
              <w:rPr>
                <w:sz w:val="20"/>
                <w:szCs w:val="20"/>
                <w:color w:val="auto"/>
              </w:rPr>
            </w:pPr>
            <w:r>
              <w:rPr>
                <w:rFonts w:ascii="Arial" w:cs="Arial" w:eastAsia="Arial" w:hAnsi="Arial"/>
                <w:sz w:val="13"/>
                <w:szCs w:val="13"/>
                <w:color w:val="auto"/>
              </w:rPr>
              <w:t>Aktienkapital</w:t>
            </w:r>
          </w:p>
        </w:tc>
        <w:tc>
          <w:tcPr>
            <w:tcW w:w="320" w:type="dxa"/>
            <w:vAlign w:val="bottom"/>
          </w:tcPr>
          <w:p>
            <w:pPr>
              <w:ind w:left="160"/>
              <w:spacing w:after="0"/>
              <w:rPr>
                <w:sz w:val="20"/>
                <w:szCs w:val="20"/>
                <w:color w:val="auto"/>
              </w:rPr>
            </w:pPr>
            <w:r>
              <w:rPr>
                <w:rFonts w:ascii="Arial" w:cs="Arial" w:eastAsia="Arial" w:hAnsi="Arial"/>
                <w:sz w:val="13"/>
                <w:szCs w:val="13"/>
                <w:color w:val="auto"/>
              </w:rPr>
              <w:t>1</w:t>
            </w:r>
          </w:p>
        </w:tc>
        <w:tc>
          <w:tcPr>
            <w:tcW w:w="460" w:type="dxa"/>
            <w:vAlign w:val="bottom"/>
          </w:tcPr>
          <w:p>
            <w:pPr>
              <w:ind w:left="80"/>
              <w:spacing w:after="0"/>
              <w:rPr>
                <w:sz w:val="20"/>
                <w:szCs w:val="20"/>
                <w:color w:val="auto"/>
              </w:rPr>
            </w:pPr>
            <w:r>
              <w:rPr>
                <w:rFonts w:ascii="Arial" w:cs="Arial" w:eastAsia="Arial" w:hAnsi="Arial"/>
                <w:sz w:val="17"/>
                <w:szCs w:val="17"/>
                <w:color w:val="auto"/>
              </w:rPr>
              <w:t>Das</w:t>
            </w: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Aktienkapital</w:t>
            </w:r>
          </w:p>
        </w:tc>
        <w:tc>
          <w:tcPr>
            <w:tcW w:w="1740" w:type="dxa"/>
            <w:vAlign w:val="bottom"/>
            <w:gridSpan w:val="2"/>
          </w:tcPr>
          <w:p>
            <w:pPr>
              <w:ind w:left="80"/>
              <w:spacing w:after="0"/>
              <w:rPr>
                <w:sz w:val="20"/>
                <w:szCs w:val="20"/>
                <w:color w:val="auto"/>
              </w:rPr>
            </w:pPr>
            <w:r>
              <w:rPr>
                <w:rFonts w:ascii="Arial" w:cs="Arial" w:eastAsia="Arial" w:hAnsi="Arial"/>
                <w:sz w:val="17"/>
                <w:szCs w:val="17"/>
                <w:color w:val="auto"/>
              </w:rPr>
              <w:t>der   Gesellschaft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w w:val="98"/>
              </w:rPr>
              <w:t>beträgt</w:t>
            </w:r>
          </w:p>
        </w:tc>
        <w:tc>
          <w:tcPr>
            <w:tcW w:w="720" w:type="dxa"/>
            <w:vAlign w:val="bottom"/>
          </w:tcPr>
          <w:p>
            <w:pPr>
              <w:ind w:left="80"/>
              <w:spacing w:after="0"/>
              <w:rPr>
                <w:sz w:val="20"/>
                <w:szCs w:val="20"/>
                <w:color w:val="auto"/>
              </w:rPr>
            </w:pPr>
            <w:r>
              <w:rPr>
                <w:rFonts w:ascii="Arial" w:cs="Arial" w:eastAsia="Arial" w:hAnsi="Arial"/>
                <w:sz w:val="13"/>
                <w:szCs w:val="13"/>
                <w:color w:val="auto"/>
              </w:rPr>
              <w:t>Share</w:t>
            </w:r>
          </w:p>
        </w:tc>
        <w:tc>
          <w:tcPr>
            <w:tcW w:w="4480" w:type="dxa"/>
            <w:vAlign w:val="bottom"/>
            <w:gridSpan w:val="6"/>
          </w:tcPr>
          <w:p>
            <w:pPr>
              <w:ind w:left="2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share  capital  of  the  Company  is  CHF</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CHF 4'036'309.50 und ist eingeteilt in 40'363’095</w:t>
            </w:r>
          </w:p>
        </w:tc>
        <w:tc>
          <w:tcPr>
            <w:tcW w:w="720" w:type="dxa"/>
            <w:vAlign w:val="bottom"/>
          </w:tcPr>
          <w:p>
            <w:pPr>
              <w:ind w:left="80"/>
              <w:spacing w:after="0"/>
              <w:rPr>
                <w:sz w:val="20"/>
                <w:szCs w:val="20"/>
                <w:color w:val="auto"/>
              </w:rPr>
            </w:pPr>
            <w:r>
              <w:rPr>
                <w:rFonts w:ascii="Arial" w:cs="Arial" w:eastAsia="Arial" w:hAnsi="Arial"/>
                <w:sz w:val="13"/>
                <w:szCs w:val="13"/>
                <w:color w:val="auto"/>
              </w:rPr>
              <w:t>Capital</w:t>
            </w: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4,036,309.50  and  is  divided  into  40,363,095</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Namenaktien mit einem Nennwert von je CHF 0.10.</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registered shares. Each registered share has a par</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2"/>
          </w:tcPr>
          <w:p>
            <w:pPr>
              <w:ind w:left="460"/>
              <w:spacing w:after="0"/>
              <w:rPr>
                <w:sz w:val="20"/>
                <w:szCs w:val="20"/>
                <w:color w:val="auto"/>
              </w:rPr>
            </w:pPr>
            <w:r>
              <w:rPr>
                <w:rFonts w:ascii="Arial" w:cs="Arial" w:eastAsia="Arial" w:hAnsi="Arial"/>
                <w:sz w:val="17"/>
                <w:szCs w:val="17"/>
                <w:color w:val="auto"/>
              </w:rPr>
              <w:t>value of CHF 0.10.</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93"/>
        </w:trPr>
        <w:tc>
          <w:tcPr>
            <w:tcW w:w="900" w:type="dxa"/>
            <w:vAlign w:val="bottom"/>
          </w:tcPr>
          <w:p>
            <w:pPr>
              <w:spacing w:after="0"/>
              <w:rPr>
                <w:sz w:val="24"/>
                <w:szCs w:val="24"/>
                <w:color w:val="auto"/>
              </w:rPr>
            </w:pPr>
          </w:p>
        </w:tc>
        <w:tc>
          <w:tcPr>
            <w:tcW w:w="2980" w:type="dxa"/>
            <w:vAlign w:val="bottom"/>
            <w:gridSpan w:val="4"/>
          </w:tcPr>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Die Aktien sind voll liberiert.</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gridSpan w:val="3"/>
          </w:tcPr>
          <w:p>
            <w:pPr>
              <w:ind w:left="22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The shares are fully paid up.</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30"/>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7"/>
                <w:szCs w:val="17"/>
                <w:b w:val="1"/>
                <w:bCs w:val="1"/>
                <w:color w:val="auto"/>
              </w:rPr>
              <w:t>Artikel 3a</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gridSpan w:val="2"/>
          </w:tcPr>
          <w:p>
            <w:pPr>
              <w:ind w:left="460"/>
              <w:spacing w:after="0"/>
              <w:rPr>
                <w:sz w:val="20"/>
                <w:szCs w:val="20"/>
                <w:color w:val="auto"/>
              </w:rPr>
            </w:pPr>
            <w:r>
              <w:rPr>
                <w:rFonts w:ascii="Arial" w:cs="Arial" w:eastAsia="Arial" w:hAnsi="Arial"/>
                <w:sz w:val="17"/>
                <w:szCs w:val="17"/>
                <w:b w:val="1"/>
                <w:bCs w:val="1"/>
                <w:color w:val="auto"/>
              </w:rPr>
              <w:t>Article 3a</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3"/>
                <w:szCs w:val="13"/>
                <w:color w:val="auto"/>
              </w:rPr>
              <w:t>Kapitalband</w:t>
            </w:r>
          </w:p>
        </w:tc>
        <w:tc>
          <w:tcPr>
            <w:tcW w:w="320" w:type="dxa"/>
            <w:vAlign w:val="bottom"/>
          </w:tcPr>
          <w:p>
            <w:pPr>
              <w:ind w:left="160"/>
              <w:spacing w:after="0"/>
              <w:rPr>
                <w:sz w:val="20"/>
                <w:szCs w:val="20"/>
                <w:color w:val="auto"/>
              </w:rPr>
            </w:pPr>
            <w:r>
              <w:rPr>
                <w:rFonts w:ascii="Arial" w:cs="Arial" w:eastAsia="Arial" w:hAnsi="Arial"/>
                <w:sz w:val="13"/>
                <w:szCs w:val="13"/>
                <w:color w:val="auto"/>
              </w:rPr>
              <w:t>1</w:t>
            </w:r>
          </w:p>
        </w:tc>
        <w:tc>
          <w:tcPr>
            <w:tcW w:w="460" w:type="dxa"/>
            <w:vAlign w:val="bottom"/>
          </w:tcPr>
          <w:p>
            <w:pPr>
              <w:ind w:left="80"/>
              <w:spacing w:after="0"/>
              <w:rPr>
                <w:sz w:val="20"/>
                <w:szCs w:val="20"/>
                <w:color w:val="auto"/>
              </w:rPr>
            </w:pPr>
            <w:r>
              <w:rPr>
                <w:rFonts w:ascii="Arial" w:cs="Arial" w:eastAsia="Arial" w:hAnsi="Arial"/>
                <w:sz w:val="17"/>
                <w:szCs w:val="17"/>
                <w:color w:val="auto"/>
              </w:rPr>
              <w:t>Die</w:t>
            </w:r>
          </w:p>
        </w:tc>
        <w:tc>
          <w:tcPr>
            <w:tcW w:w="3680" w:type="dxa"/>
            <w:vAlign w:val="bottom"/>
            <w:gridSpan w:val="4"/>
          </w:tcPr>
          <w:p>
            <w:pPr>
              <w:jc w:val="right"/>
              <w:ind w:right="16"/>
              <w:spacing w:after="0"/>
              <w:rPr>
                <w:sz w:val="20"/>
                <w:szCs w:val="20"/>
                <w:color w:val="auto"/>
              </w:rPr>
            </w:pPr>
            <w:r>
              <w:rPr>
                <w:rFonts w:ascii="Arial" w:cs="Arial" w:eastAsia="Arial" w:hAnsi="Arial"/>
                <w:sz w:val="17"/>
                <w:szCs w:val="17"/>
                <w:color w:val="auto"/>
              </w:rPr>
              <w:t>Gesellschaft  verfügt  über  ein  Kapitalband</w:t>
            </w:r>
          </w:p>
        </w:tc>
        <w:tc>
          <w:tcPr>
            <w:tcW w:w="720" w:type="dxa"/>
            <w:vAlign w:val="bottom"/>
          </w:tcPr>
          <w:p>
            <w:pPr>
              <w:ind w:left="80"/>
              <w:spacing w:after="0"/>
              <w:rPr>
                <w:sz w:val="20"/>
                <w:szCs w:val="20"/>
                <w:color w:val="auto"/>
              </w:rPr>
            </w:pPr>
            <w:r>
              <w:rPr>
                <w:rFonts w:ascii="Arial" w:cs="Arial" w:eastAsia="Arial" w:hAnsi="Arial"/>
                <w:sz w:val="13"/>
                <w:szCs w:val="13"/>
                <w:color w:val="auto"/>
              </w:rPr>
              <w:t>Capital</w:t>
            </w:r>
          </w:p>
        </w:tc>
        <w:tc>
          <w:tcPr>
            <w:tcW w:w="840" w:type="dxa"/>
            <w:vAlign w:val="bottom"/>
          </w:tcPr>
          <w:p>
            <w:pPr>
              <w:ind w:left="2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w:t>
            </w:r>
          </w:p>
        </w:tc>
        <w:tc>
          <w:tcPr>
            <w:tcW w:w="1380" w:type="dxa"/>
            <w:vAlign w:val="bottom"/>
          </w:tcPr>
          <w:p>
            <w:pPr>
              <w:jc w:val="center"/>
              <w:spacing w:after="0"/>
              <w:rPr>
                <w:sz w:val="20"/>
                <w:szCs w:val="20"/>
                <w:color w:val="auto"/>
              </w:rPr>
            </w:pPr>
            <w:r>
              <w:rPr>
                <w:rFonts w:ascii="Arial" w:cs="Arial" w:eastAsia="Arial" w:hAnsi="Arial"/>
                <w:sz w:val="17"/>
                <w:szCs w:val="17"/>
                <w:color w:val="auto"/>
              </w:rPr>
              <w:t>Company  has  a</w:t>
            </w:r>
          </w:p>
        </w:tc>
        <w:tc>
          <w:tcPr>
            <w:tcW w:w="620" w:type="dxa"/>
            <w:vAlign w:val="bottom"/>
          </w:tcPr>
          <w:p>
            <w:pPr>
              <w:ind w:left="80"/>
              <w:spacing w:after="0"/>
              <w:rPr>
                <w:sz w:val="20"/>
                <w:szCs w:val="20"/>
                <w:color w:val="auto"/>
              </w:rPr>
            </w:pPr>
            <w:r>
              <w:rPr>
                <w:rFonts w:ascii="Arial" w:cs="Arial" w:eastAsia="Arial" w:hAnsi="Arial"/>
                <w:sz w:val="17"/>
                <w:szCs w:val="17"/>
                <w:color w:val="auto"/>
              </w:rPr>
              <w:t>capital</w:t>
            </w:r>
          </w:p>
        </w:tc>
        <w:tc>
          <w:tcPr>
            <w:tcW w:w="560" w:type="dxa"/>
            <w:vAlign w:val="bottom"/>
          </w:tcPr>
          <w:p>
            <w:pPr>
              <w:jc w:val="center"/>
              <w:spacing w:after="0"/>
              <w:rPr>
                <w:sz w:val="20"/>
                <w:szCs w:val="20"/>
                <w:color w:val="auto"/>
              </w:rPr>
            </w:pPr>
            <w:r>
              <w:rPr>
                <w:rFonts w:ascii="Arial" w:cs="Arial" w:eastAsia="Arial" w:hAnsi="Arial"/>
                <w:sz w:val="17"/>
                <w:szCs w:val="17"/>
                <w:color w:val="auto"/>
              </w:rPr>
              <w:t>range</w:t>
            </w:r>
          </w:p>
        </w:tc>
        <w:tc>
          <w:tcPr>
            <w:tcW w:w="720" w:type="dxa"/>
            <w:vAlign w:val="bottom"/>
          </w:tcPr>
          <w:p>
            <w:pPr>
              <w:ind w:left="60"/>
              <w:spacing w:after="0"/>
              <w:rPr>
                <w:sz w:val="20"/>
                <w:szCs w:val="20"/>
                <w:color w:val="auto"/>
              </w:rPr>
            </w:pPr>
            <w:r>
              <w:rPr>
                <w:rFonts w:ascii="Arial" w:cs="Arial" w:eastAsia="Arial" w:hAnsi="Arial"/>
                <w:sz w:val="17"/>
                <w:szCs w:val="17"/>
                <w:color w:val="auto"/>
              </w:rPr>
              <w:t>ranging</w:t>
            </w:r>
          </w:p>
        </w:tc>
        <w:tc>
          <w:tcPr>
            <w:tcW w:w="360" w:type="dxa"/>
            <w:vAlign w:val="bottom"/>
          </w:tcPr>
          <w:p>
            <w:pPr>
              <w:jc w:val="right"/>
              <w:spacing w:after="0"/>
              <w:rPr>
                <w:sz w:val="20"/>
                <w:szCs w:val="20"/>
                <w:color w:val="auto"/>
              </w:rPr>
            </w:pPr>
            <w:r>
              <w:rPr>
                <w:rFonts w:ascii="Arial" w:cs="Arial" w:eastAsia="Arial" w:hAnsi="Arial"/>
                <w:sz w:val="17"/>
                <w:szCs w:val="17"/>
                <w:color w:val="auto"/>
                <w:w w:val="93"/>
              </w:rPr>
              <w:t>from</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zwischen CHF 3'672'010.70 (untere Grenze) und</w:t>
            </w:r>
          </w:p>
        </w:tc>
        <w:tc>
          <w:tcPr>
            <w:tcW w:w="720" w:type="dxa"/>
            <w:vAlign w:val="bottom"/>
          </w:tcPr>
          <w:p>
            <w:pPr>
              <w:ind w:left="80"/>
              <w:spacing w:after="0"/>
              <w:rPr>
                <w:sz w:val="20"/>
                <w:szCs w:val="20"/>
                <w:color w:val="auto"/>
              </w:rPr>
            </w:pPr>
            <w:r>
              <w:rPr>
                <w:rFonts w:ascii="Arial" w:cs="Arial" w:eastAsia="Arial" w:hAnsi="Arial"/>
                <w:sz w:val="13"/>
                <w:szCs w:val="13"/>
                <w:color w:val="auto"/>
              </w:rPr>
              <w:t>Range</w:t>
            </w:r>
          </w:p>
        </w:tc>
        <w:tc>
          <w:tcPr>
            <w:tcW w:w="840" w:type="dxa"/>
            <w:vAlign w:val="bottom"/>
          </w:tcPr>
          <w:p>
            <w:pPr>
              <w:ind w:left="460"/>
              <w:spacing w:after="0"/>
              <w:rPr>
                <w:sz w:val="20"/>
                <w:szCs w:val="20"/>
                <w:color w:val="auto"/>
              </w:rPr>
            </w:pPr>
            <w:r>
              <w:rPr>
                <w:rFonts w:ascii="Arial" w:cs="Arial" w:eastAsia="Arial" w:hAnsi="Arial"/>
                <w:sz w:val="17"/>
                <w:szCs w:val="17"/>
                <w:color w:val="auto"/>
              </w:rPr>
              <w:t>CHF</w:t>
            </w:r>
          </w:p>
        </w:tc>
        <w:tc>
          <w:tcPr>
            <w:tcW w:w="1380" w:type="dxa"/>
            <w:vAlign w:val="bottom"/>
          </w:tcPr>
          <w:p>
            <w:pPr>
              <w:jc w:val="right"/>
              <w:ind w:right="116"/>
              <w:spacing w:after="0"/>
              <w:rPr>
                <w:sz w:val="20"/>
                <w:szCs w:val="20"/>
                <w:color w:val="auto"/>
              </w:rPr>
            </w:pPr>
            <w:r>
              <w:rPr>
                <w:rFonts w:ascii="Arial" w:cs="Arial" w:eastAsia="Arial" w:hAnsi="Arial"/>
                <w:sz w:val="17"/>
                <w:szCs w:val="17"/>
                <w:color w:val="auto"/>
              </w:rPr>
              <w:t>3,672,010.70</w:t>
            </w:r>
          </w:p>
        </w:tc>
        <w:tc>
          <w:tcPr>
            <w:tcW w:w="620" w:type="dxa"/>
            <w:vAlign w:val="bottom"/>
          </w:tcPr>
          <w:p>
            <w:pPr>
              <w:ind w:left="40"/>
              <w:spacing w:after="0"/>
              <w:rPr>
                <w:sz w:val="20"/>
                <w:szCs w:val="20"/>
                <w:color w:val="auto"/>
              </w:rPr>
            </w:pPr>
            <w:r>
              <w:rPr>
                <w:rFonts w:ascii="Arial" w:cs="Arial" w:eastAsia="Arial" w:hAnsi="Arial"/>
                <w:sz w:val="17"/>
                <w:szCs w:val="17"/>
                <w:color w:val="auto"/>
              </w:rPr>
              <w:t>(lower</w:t>
            </w:r>
          </w:p>
        </w:tc>
        <w:tc>
          <w:tcPr>
            <w:tcW w:w="560" w:type="dxa"/>
            <w:vAlign w:val="bottom"/>
          </w:tcPr>
          <w:p>
            <w:pPr>
              <w:jc w:val="center"/>
              <w:spacing w:after="0"/>
              <w:rPr>
                <w:sz w:val="20"/>
                <w:szCs w:val="20"/>
                <w:color w:val="auto"/>
              </w:rPr>
            </w:pPr>
            <w:r>
              <w:rPr>
                <w:rFonts w:ascii="Arial" w:cs="Arial" w:eastAsia="Arial" w:hAnsi="Arial"/>
                <w:sz w:val="17"/>
                <w:szCs w:val="17"/>
                <w:color w:val="auto"/>
                <w:w w:val="94"/>
              </w:rPr>
              <w:t>limit)</w:t>
            </w:r>
          </w:p>
        </w:tc>
        <w:tc>
          <w:tcPr>
            <w:tcW w:w="720" w:type="dxa"/>
            <w:vAlign w:val="bottom"/>
          </w:tcPr>
          <w:p>
            <w:pPr>
              <w:ind w:left="140"/>
              <w:spacing w:after="0"/>
              <w:rPr>
                <w:sz w:val="20"/>
                <w:szCs w:val="20"/>
                <w:color w:val="auto"/>
              </w:rPr>
            </w:pPr>
            <w:r>
              <w:rPr>
                <w:rFonts w:ascii="Arial" w:cs="Arial" w:eastAsia="Arial" w:hAnsi="Arial"/>
                <w:sz w:val="17"/>
                <w:szCs w:val="17"/>
                <w:color w:val="auto"/>
              </w:rPr>
              <w:t>to   up</w:t>
            </w:r>
          </w:p>
        </w:tc>
        <w:tc>
          <w:tcPr>
            <w:tcW w:w="360" w:type="dxa"/>
            <w:vAlign w:val="bottom"/>
          </w:tcPr>
          <w:p>
            <w:pPr>
              <w:jc w:val="right"/>
              <w:spacing w:after="0"/>
              <w:rPr>
                <w:sz w:val="20"/>
                <w:szCs w:val="20"/>
                <w:color w:val="auto"/>
              </w:rPr>
            </w:pPr>
            <w:r>
              <w:rPr>
                <w:rFonts w:ascii="Arial" w:cs="Arial" w:eastAsia="Arial" w:hAnsi="Arial"/>
                <w:sz w:val="17"/>
                <w:szCs w:val="17"/>
                <w:color w:val="auto"/>
              </w:rPr>
              <w:t>to</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7"/>
                <w:szCs w:val="17"/>
                <w:color w:val="auto"/>
              </w:rPr>
              <w:t>CHF</w:t>
            </w:r>
          </w:p>
        </w:tc>
        <w:tc>
          <w:tcPr>
            <w:tcW w:w="1300" w:type="dxa"/>
            <w:vAlign w:val="bottom"/>
          </w:tcPr>
          <w:p>
            <w:pPr>
              <w:jc w:val="right"/>
              <w:spacing w:after="0"/>
              <w:rPr>
                <w:sz w:val="20"/>
                <w:szCs w:val="20"/>
                <w:color w:val="auto"/>
              </w:rPr>
            </w:pPr>
            <w:r>
              <w:rPr>
                <w:rFonts w:ascii="Arial" w:cs="Arial" w:eastAsia="Arial" w:hAnsi="Arial"/>
                <w:sz w:val="17"/>
                <w:szCs w:val="17"/>
                <w:color w:val="auto"/>
              </w:rPr>
              <w:t>5'489'725.55</w:t>
            </w:r>
          </w:p>
        </w:tc>
        <w:tc>
          <w:tcPr>
            <w:tcW w:w="900" w:type="dxa"/>
            <w:vAlign w:val="bottom"/>
          </w:tcPr>
          <w:p>
            <w:pPr>
              <w:ind w:left="240"/>
              <w:spacing w:after="0"/>
              <w:rPr>
                <w:sz w:val="20"/>
                <w:szCs w:val="20"/>
                <w:color w:val="auto"/>
              </w:rPr>
            </w:pPr>
            <w:r>
              <w:rPr>
                <w:rFonts w:ascii="Arial" w:cs="Arial" w:eastAsia="Arial" w:hAnsi="Arial"/>
                <w:sz w:val="17"/>
                <w:szCs w:val="17"/>
                <w:color w:val="auto"/>
              </w:rPr>
              <w:t>(obere</w:t>
            </w:r>
          </w:p>
        </w:tc>
        <w:tc>
          <w:tcPr>
            <w:tcW w:w="840" w:type="dxa"/>
            <w:vAlign w:val="bottom"/>
          </w:tcPr>
          <w:p>
            <w:pPr>
              <w:ind w:left="140"/>
              <w:spacing w:after="0"/>
              <w:rPr>
                <w:sz w:val="20"/>
                <w:szCs w:val="20"/>
                <w:color w:val="auto"/>
              </w:rPr>
            </w:pPr>
            <w:r>
              <w:rPr>
                <w:rFonts w:ascii="Arial" w:cs="Arial" w:eastAsia="Arial" w:hAnsi="Arial"/>
                <w:sz w:val="17"/>
                <w:szCs w:val="17"/>
                <w:color w:val="auto"/>
              </w:rPr>
              <w:t>Grenze).</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Der</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CHF  5,489,725.55  (upper  limit).  The  board  of</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Verwaltungsrat  ist  im  Rahmen  des  Kapitalbands</w:t>
            </w:r>
          </w:p>
        </w:tc>
        <w:tc>
          <w:tcPr>
            <w:tcW w:w="720" w:type="dxa"/>
            <w:vAlign w:val="bottom"/>
          </w:tcPr>
          <w:p>
            <w:pPr>
              <w:spacing w:after="0"/>
              <w:rPr>
                <w:sz w:val="19"/>
                <w:szCs w:val="19"/>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directors shall be authorized within the capital range</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ermächtigt, bis zum 17. April 2029 oder bis zu einem</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to increase or reduce the share capital once or</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früheren   Dahinfallen   des   Kapitalbands   das</w:t>
            </w:r>
          </w:p>
        </w:tc>
        <w:tc>
          <w:tcPr>
            <w:tcW w:w="720" w:type="dxa"/>
            <w:vAlign w:val="bottom"/>
          </w:tcPr>
          <w:p>
            <w:pPr>
              <w:spacing w:after="0"/>
              <w:rPr>
                <w:sz w:val="19"/>
                <w:szCs w:val="19"/>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several times and in any amounts or to acquire or</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Aktienkapital  einmal  oder  mehrmals  und  in</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dispose of shares directly or indirectly, until April 17,</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beliebigen Beträgen zu erhöhen oder herabzusetzen</w:t>
            </w:r>
          </w:p>
        </w:tc>
        <w:tc>
          <w:tcPr>
            <w:tcW w:w="720" w:type="dxa"/>
            <w:vAlign w:val="bottom"/>
          </w:tcPr>
          <w:p>
            <w:pPr>
              <w:spacing w:after="0"/>
              <w:rPr>
                <w:sz w:val="19"/>
                <w:szCs w:val="19"/>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2029 or until an earlier expiry of the capital range.</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oder Aktien direkt oder indirekt zu erwerben oder zu</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The capital increase or reduction may be effected by</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veräussern. Die Kapitalerhöhung oder -herabsetzung</w:t>
            </w:r>
          </w:p>
        </w:tc>
        <w:tc>
          <w:tcPr>
            <w:tcW w:w="720" w:type="dxa"/>
            <w:vAlign w:val="bottom"/>
          </w:tcPr>
          <w:p>
            <w:pPr>
              <w:spacing w:after="0"/>
              <w:rPr>
                <w:sz w:val="19"/>
                <w:szCs w:val="19"/>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issuing fully paid-in registered shares and cancelling</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kann  durch  Ausgabe  von  voll  zu  liberierenden</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registered shares, as applicable, or by increasing or</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Namenaktien  bzw.  Vernichtung  von  Namenaktien</w:t>
            </w:r>
          </w:p>
        </w:tc>
        <w:tc>
          <w:tcPr>
            <w:tcW w:w="720" w:type="dxa"/>
            <w:vAlign w:val="bottom"/>
          </w:tcPr>
          <w:p>
            <w:pPr>
              <w:spacing w:after="0"/>
              <w:rPr>
                <w:sz w:val="20"/>
                <w:szCs w:val="20"/>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reducing the par value of the existing shares within</w:t>
            </w: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oder durch eine Erhöhung bzw. Herabsetzung der</w:t>
            </w:r>
          </w:p>
        </w:tc>
        <w:tc>
          <w:tcPr>
            <w:tcW w:w="720" w:type="dxa"/>
            <w:vAlign w:val="bottom"/>
          </w:tcPr>
          <w:p>
            <w:pPr>
              <w:spacing w:after="0"/>
              <w:rPr>
                <w:sz w:val="19"/>
                <w:szCs w:val="19"/>
                <w:color w:val="auto"/>
              </w:rPr>
            </w:pPr>
          </w:p>
        </w:tc>
        <w:tc>
          <w:tcPr>
            <w:tcW w:w="4480" w:type="dxa"/>
            <w:vAlign w:val="bottom"/>
            <w:gridSpan w:val="6"/>
          </w:tcPr>
          <w:p>
            <w:pPr>
              <w:ind w:left="460"/>
              <w:spacing w:after="0"/>
              <w:rPr>
                <w:sz w:val="20"/>
                <w:szCs w:val="20"/>
                <w:color w:val="auto"/>
              </w:rPr>
            </w:pPr>
            <w:r>
              <w:rPr>
                <w:rFonts w:ascii="Arial" w:cs="Arial" w:eastAsia="Arial" w:hAnsi="Arial"/>
                <w:sz w:val="17"/>
                <w:szCs w:val="17"/>
                <w:color w:val="auto"/>
              </w:rPr>
              <w:t>the limits of the capital range or by simultaneous</w:t>
            </w: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Nennwerte  der  bestehenden  Namenaktien  im</w:t>
            </w:r>
          </w:p>
        </w:tc>
        <w:tc>
          <w:tcPr>
            <w:tcW w:w="720" w:type="dxa"/>
            <w:vAlign w:val="bottom"/>
          </w:tcPr>
          <w:p>
            <w:pPr>
              <w:spacing w:after="0"/>
              <w:rPr>
                <w:sz w:val="20"/>
                <w:szCs w:val="20"/>
                <w:color w:val="auto"/>
              </w:rPr>
            </w:pPr>
          </w:p>
        </w:tc>
        <w:tc>
          <w:tcPr>
            <w:tcW w:w="4120" w:type="dxa"/>
            <w:vAlign w:val="bottom"/>
            <w:gridSpan w:val="5"/>
          </w:tcPr>
          <w:p>
            <w:pPr>
              <w:ind w:left="460"/>
              <w:spacing w:after="0"/>
              <w:rPr>
                <w:sz w:val="20"/>
                <w:szCs w:val="20"/>
                <w:color w:val="auto"/>
              </w:rPr>
            </w:pPr>
            <w:r>
              <w:rPr>
                <w:rFonts w:ascii="Arial" w:cs="Arial" w:eastAsia="Arial" w:hAnsi="Arial"/>
                <w:sz w:val="17"/>
                <w:szCs w:val="17"/>
                <w:color w:val="auto"/>
              </w:rPr>
              <w:t>reduction and re-increase of the share capital.</w:t>
            </w:r>
          </w:p>
        </w:tc>
        <w:tc>
          <w:tcPr>
            <w:tcW w:w="360" w:type="dxa"/>
            <w:vAlign w:val="bottom"/>
          </w:tcPr>
          <w:p>
            <w:pPr>
              <w:spacing w:after="0"/>
              <w:rPr>
                <w:sz w:val="20"/>
                <w:szCs w:val="20"/>
                <w:color w:val="auto"/>
              </w:rPr>
            </w:pPr>
          </w:p>
        </w:tc>
      </w:tr>
      <w:tr>
        <w:trPr>
          <w:trHeight w:val="228"/>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5"/>
          </w:tcPr>
          <w:p>
            <w:pPr>
              <w:ind w:left="80"/>
              <w:spacing w:after="0"/>
              <w:rPr>
                <w:sz w:val="20"/>
                <w:szCs w:val="20"/>
                <w:color w:val="auto"/>
              </w:rPr>
            </w:pPr>
            <w:r>
              <w:rPr>
                <w:rFonts w:ascii="Arial" w:cs="Arial" w:eastAsia="Arial" w:hAnsi="Arial"/>
                <w:sz w:val="17"/>
                <w:szCs w:val="17"/>
                <w:color w:val="auto"/>
              </w:rPr>
              <w:t>Rahmen des Kapitalbands oder durch gleichzeitige</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1"/>
        </w:trPr>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gridSpan w:val="4"/>
          </w:tcPr>
          <w:p>
            <w:pPr>
              <w:ind w:left="80"/>
              <w:spacing w:after="0"/>
              <w:rPr>
                <w:sz w:val="20"/>
                <w:szCs w:val="20"/>
                <w:color w:val="auto"/>
              </w:rPr>
            </w:pPr>
            <w:r>
              <w:rPr>
                <w:rFonts w:ascii="Arial" w:cs="Arial" w:eastAsia="Arial" w:hAnsi="Arial"/>
                <w:sz w:val="17"/>
                <w:szCs w:val="17"/>
                <w:color w:val="auto"/>
                <w:w w:val="99"/>
              </w:rPr>
              <w:t>Herabsetzung und Wiedererhöhung erfolgen.</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70" w:lineRule="exact"/>
        <w:rPr>
          <w:sz w:val="20"/>
          <w:szCs w:val="20"/>
          <w:color w:val="auto"/>
        </w:rPr>
      </w:pPr>
    </w:p>
    <w:p>
      <w:pPr>
        <w:sectPr>
          <w:pgSz w:w="11900" w:h="16838" w:orient="portrait"/>
          <w:cols w:equalWidth="0" w:num="1">
            <w:col w:w="10560"/>
          </w:cols>
          <w:pgMar w:left="360" w:top="132" w:right="979" w:bottom="1440" w:gutter="0" w:footer="0" w:header="0"/>
          <w:type w:val="continuous"/>
        </w:sectPr>
      </w:pPr>
    </w:p>
    <w:p>
      <w:pPr>
        <w:jc w:val="both"/>
        <w:ind w:left="1300" w:right="320" w:hanging="239"/>
        <w:spacing w:after="0" w:line="296" w:lineRule="auto"/>
        <w:tabs>
          <w:tab w:leader="none" w:pos="12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Im Falle einer Ausgabe von Aktien unterliegen Zeichnung und Erwerb der neuen Aktien sowie jede nachfolgende Übertragung der Aktien den Beschränkungen von Artikel 5 dieser Statuten.</w:t>
      </w:r>
    </w:p>
    <w:p>
      <w:pPr>
        <w:spacing w:after="0" w:line="20" w:lineRule="exact"/>
        <w:rPr>
          <w:sz w:val="20"/>
          <w:szCs w:val="20"/>
          <w:color w:val="auto"/>
        </w:rPr>
      </w:pPr>
      <w:r>
        <w:rPr>
          <w:sz w:val="20"/>
          <w:szCs w:val="20"/>
          <w:color w:val="auto"/>
        </w:rPr>
        <w:br w:type="column"/>
      </w:r>
    </w:p>
    <w:p>
      <w:pPr>
        <w:jc w:val="both"/>
        <w:ind w:left="240" w:right="20" w:hanging="240"/>
        <w:spacing w:after="0" w:line="287" w:lineRule="auto"/>
        <w:tabs>
          <w:tab w:leader="none" w:pos="240" w:val="left"/>
        </w:tabs>
        <w:numPr>
          <w:ilvl w:val="0"/>
          <w:numId w:val="108"/>
        </w:numPr>
        <w:rPr>
          <w:rFonts w:ascii="Arial" w:cs="Arial" w:eastAsia="Arial" w:hAnsi="Arial"/>
          <w:sz w:val="13"/>
          <w:szCs w:val="13"/>
          <w:color w:val="auto"/>
        </w:rPr>
      </w:pPr>
      <w:r>
        <w:rPr>
          <w:rFonts w:ascii="Arial" w:cs="Arial" w:eastAsia="Arial" w:hAnsi="Arial"/>
          <w:sz w:val="17"/>
          <w:szCs w:val="17"/>
          <w:color w:val="auto"/>
        </w:rPr>
        <w:t>In the event of an issue of shares, the subscription and acquisition of the new shares as well as any</w:t>
      </w:r>
    </w:p>
    <w:p>
      <w:pPr>
        <w:spacing w:after="0" w:line="1" w:lineRule="exact"/>
        <w:rPr>
          <w:rFonts w:ascii="Arial" w:cs="Arial" w:eastAsia="Arial" w:hAnsi="Arial"/>
          <w:sz w:val="13"/>
          <w:szCs w:val="13"/>
          <w:color w:val="auto"/>
        </w:rPr>
      </w:pPr>
    </w:p>
    <w:p>
      <w:pPr>
        <w:jc w:val="both"/>
        <w:ind w:left="240"/>
        <w:spacing w:after="0" w:line="304" w:lineRule="auto"/>
        <w:rPr>
          <w:rFonts w:ascii="Arial" w:cs="Arial" w:eastAsia="Arial" w:hAnsi="Arial"/>
          <w:sz w:val="13"/>
          <w:szCs w:val="13"/>
          <w:color w:val="auto"/>
        </w:rPr>
      </w:pPr>
      <w:r>
        <w:rPr>
          <w:rFonts w:ascii="Arial" w:cs="Arial" w:eastAsia="Arial" w:hAnsi="Arial"/>
          <w:sz w:val="17"/>
          <w:szCs w:val="17"/>
          <w:color w:val="auto"/>
        </w:rPr>
        <w:t>each subsequent transfer of the shares shall be subject to the restrictions of Article 5 of these Articles of Incorporation.</w:t>
      </w:r>
    </w:p>
    <w:p>
      <w:pPr>
        <w:sectPr>
          <w:pgSz w:w="11900" w:h="16838" w:orient="portrait"/>
          <w:cols w:equalWidth="0" w:num="2">
            <w:col w:w="5580" w:space="720"/>
            <w:col w:w="4260"/>
          </w:cols>
          <w:pgMar w:left="360" w:top="132" w:right="979" w:bottom="1440" w:gutter="0" w:footer="0" w:header="0"/>
          <w:type w:val="continuous"/>
        </w:sectPr>
      </w:pPr>
    </w:p>
    <w:bookmarkStart w:id="225" w:name="page226"/>
    <w:bookmarkEnd w:id="225"/>
    <w:p>
      <w:pPr>
        <w:spacing w:after="0" w:line="196" w:lineRule="exact"/>
        <w:rPr>
          <w:sz w:val="20"/>
          <w:szCs w:val="20"/>
          <w:color w:val="auto"/>
        </w:rPr>
      </w:pPr>
    </w:p>
    <w:p>
      <w:pPr>
        <w:jc w:val="center"/>
        <w:ind w:right="445"/>
        <w:spacing w:after="0"/>
        <w:rPr>
          <w:sz w:val="20"/>
          <w:szCs w:val="20"/>
          <w:color w:val="auto"/>
        </w:rPr>
      </w:pPr>
      <w:r>
        <w:rPr>
          <w:rFonts w:ascii="Arial" w:cs="Arial" w:eastAsia="Arial" w:hAnsi="Arial"/>
          <w:sz w:val="13"/>
          <w:szCs w:val="13"/>
          <w:color w:val="auto"/>
        </w:rPr>
        <w:t>- 5 -</w:t>
      </w:r>
    </w:p>
    <w:p>
      <w:pPr>
        <w:sectPr>
          <w:pgSz w:w="11900" w:h="17035" w:orient="portrait"/>
          <w:cols w:equalWidth="0" w:num="1">
            <w:col w:w="9515"/>
          </w:cols>
          <w:pgMar w:left="1405" w:top="132" w:right="9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35" w:right="300" w:hanging="235"/>
        <w:spacing w:after="0" w:line="291" w:lineRule="auto"/>
        <w:tabs>
          <w:tab w:leader="none" w:pos="235" w:val="left"/>
        </w:tabs>
        <w:numPr>
          <w:ilvl w:val="0"/>
          <w:numId w:val="109"/>
        </w:numPr>
        <w:rPr>
          <w:rFonts w:ascii="Arial" w:cs="Arial" w:eastAsia="Arial" w:hAnsi="Arial"/>
          <w:sz w:val="13"/>
          <w:szCs w:val="13"/>
          <w:color w:val="auto"/>
        </w:rPr>
      </w:pPr>
      <w:r>
        <w:rPr>
          <w:rFonts w:ascii="Arial" w:cs="Arial" w:eastAsia="Arial" w:hAnsi="Arial"/>
          <w:sz w:val="16"/>
          <w:szCs w:val="16"/>
          <w:color w:val="auto"/>
        </w:rPr>
        <w:t>Bei einer Erhöhung des Aktienkapitals im Rahmen des Kapitalbands legt der Verwaltungsrat, soweit erforderlich, den Ausgabebetrag, die Art der Einlagen</w:t>
      </w:r>
    </w:p>
    <w:p>
      <w:pPr>
        <w:spacing w:after="0" w:line="1" w:lineRule="exact"/>
        <w:rPr>
          <w:rFonts w:ascii="Arial" w:cs="Arial" w:eastAsia="Arial" w:hAnsi="Arial"/>
          <w:sz w:val="13"/>
          <w:szCs w:val="13"/>
          <w:color w:val="auto"/>
        </w:rPr>
      </w:pPr>
    </w:p>
    <w:p>
      <w:pPr>
        <w:jc w:val="both"/>
        <w:ind w:left="235" w:right="300"/>
        <w:spacing w:after="0" w:line="291" w:lineRule="auto"/>
        <w:rPr>
          <w:rFonts w:ascii="Arial" w:cs="Arial" w:eastAsia="Arial" w:hAnsi="Arial"/>
          <w:sz w:val="13"/>
          <w:szCs w:val="13"/>
          <w:color w:val="auto"/>
        </w:rPr>
      </w:pPr>
      <w:r>
        <w:rPr>
          <w:rFonts w:ascii="Arial" w:cs="Arial" w:eastAsia="Arial" w:hAnsi="Arial"/>
          <w:sz w:val="16"/>
          <w:szCs w:val="16"/>
          <w:color w:val="auto"/>
        </w:rPr>
        <w:t>(einschliesslich Barliberierung, Sacheinlage, Verrechnung und Umwandlung von Reserven oder eines Gewinnvortrags in Aktienkapital), den Zeitpunkt</w:t>
      </w:r>
    </w:p>
    <w:p>
      <w:pPr>
        <w:spacing w:after="0" w:line="1" w:lineRule="exact"/>
        <w:rPr>
          <w:rFonts w:ascii="Arial" w:cs="Arial" w:eastAsia="Arial" w:hAnsi="Arial"/>
          <w:sz w:val="13"/>
          <w:szCs w:val="13"/>
          <w:color w:val="auto"/>
        </w:rPr>
      </w:pPr>
    </w:p>
    <w:p>
      <w:pPr>
        <w:jc w:val="both"/>
        <w:ind w:left="235" w:right="300"/>
        <w:spacing w:after="0" w:line="292" w:lineRule="auto"/>
        <w:rPr>
          <w:rFonts w:ascii="Arial" w:cs="Arial" w:eastAsia="Arial" w:hAnsi="Arial"/>
          <w:sz w:val="13"/>
          <w:szCs w:val="13"/>
          <w:color w:val="auto"/>
        </w:rPr>
      </w:pPr>
      <w:r>
        <w:rPr>
          <w:rFonts w:ascii="Arial" w:cs="Arial" w:eastAsia="Arial" w:hAnsi="Arial"/>
          <w:sz w:val="16"/>
          <w:szCs w:val="16"/>
          <w:color w:val="auto"/>
        </w:rPr>
        <w:t>der Ausgabe, die Bedingungen der Bezugsrechtsausübung und den Beginn der Dividendenberechtigung fest. Dabei kann der Verwaltungsrat neue Aktien mittels Festübernahme durch eine Bank, ein Bankenkonsortium oder einen anderen Dritten und anschliessendem Angebot an die bisherigen Aktionäre oder an Dritte (sofern die Bezugsrechte der bisherigen Aktionäre aufgehoben oder nicht gültig ausgeübt wurden) ausgeben. Der Verwaltungsrat ist ermächtigt, den Handel mit Bezugsrechten zu ermöglichen, zu beschränken oder</w:t>
      </w:r>
    </w:p>
    <w:p>
      <w:pPr>
        <w:spacing w:after="0" w:line="7" w:lineRule="exact"/>
        <w:rPr>
          <w:rFonts w:ascii="Arial" w:cs="Arial" w:eastAsia="Arial" w:hAnsi="Arial"/>
          <w:sz w:val="13"/>
          <w:szCs w:val="13"/>
          <w:color w:val="auto"/>
        </w:rPr>
      </w:pPr>
    </w:p>
    <w:p>
      <w:pPr>
        <w:jc w:val="both"/>
        <w:ind w:left="235" w:right="320"/>
        <w:spacing w:after="0" w:line="279" w:lineRule="auto"/>
        <w:rPr>
          <w:rFonts w:ascii="Arial" w:cs="Arial" w:eastAsia="Arial" w:hAnsi="Arial"/>
          <w:sz w:val="13"/>
          <w:szCs w:val="13"/>
          <w:color w:val="auto"/>
        </w:rPr>
      </w:pPr>
      <w:r>
        <w:rPr>
          <w:rFonts w:ascii="Arial" w:cs="Arial" w:eastAsia="Arial" w:hAnsi="Arial"/>
          <w:sz w:val="17"/>
          <w:szCs w:val="17"/>
          <w:color w:val="auto"/>
        </w:rPr>
        <w:t>auszuschliessen. Nicht gültig ausgeübte Bezugsrechte kann der Verwaltungsrat verfallen lassen, oder er kann diese bzw. Aktien, für welche Bezugsrechte eingeräumt, aber nicht gültig ausgeübt</w:t>
      </w:r>
    </w:p>
    <w:p>
      <w:pPr>
        <w:spacing w:after="0" w:line="2" w:lineRule="exact"/>
        <w:rPr>
          <w:rFonts w:ascii="Arial" w:cs="Arial" w:eastAsia="Arial" w:hAnsi="Arial"/>
          <w:sz w:val="13"/>
          <w:szCs w:val="13"/>
          <w:color w:val="auto"/>
        </w:rPr>
      </w:pPr>
    </w:p>
    <w:p>
      <w:pPr>
        <w:jc w:val="both"/>
        <w:ind w:left="235" w:right="320"/>
        <w:spacing w:after="0" w:line="296" w:lineRule="auto"/>
        <w:rPr>
          <w:rFonts w:ascii="Arial" w:cs="Arial" w:eastAsia="Arial" w:hAnsi="Arial"/>
          <w:sz w:val="13"/>
          <w:szCs w:val="13"/>
          <w:color w:val="auto"/>
        </w:rPr>
      </w:pPr>
      <w:r>
        <w:rPr>
          <w:rFonts w:ascii="Arial" w:cs="Arial" w:eastAsia="Arial" w:hAnsi="Arial"/>
          <w:sz w:val="17"/>
          <w:szCs w:val="17"/>
          <w:color w:val="auto"/>
        </w:rPr>
        <w:t>wurden, zu Marktkonditionen platzieren oder anderweitig im Interesse der Gesellschaft verwenden.</w:t>
      </w:r>
    </w:p>
    <w:p>
      <w:pPr>
        <w:spacing w:after="0" w:line="340" w:lineRule="exact"/>
        <w:rPr>
          <w:sz w:val="20"/>
          <w:szCs w:val="20"/>
          <w:color w:val="auto"/>
        </w:rPr>
      </w:pPr>
    </w:p>
    <w:p>
      <w:pPr>
        <w:jc w:val="both"/>
        <w:ind w:left="235" w:right="300" w:hanging="235"/>
        <w:spacing w:after="0" w:line="285" w:lineRule="auto"/>
        <w:tabs>
          <w:tab w:leader="none" w:pos="235" w:val="left"/>
        </w:tabs>
        <w:numPr>
          <w:ilvl w:val="0"/>
          <w:numId w:val="110"/>
        </w:numPr>
        <w:rPr>
          <w:rFonts w:ascii="Arial" w:cs="Arial" w:eastAsia="Arial" w:hAnsi="Arial"/>
          <w:sz w:val="13"/>
          <w:szCs w:val="13"/>
          <w:color w:val="auto"/>
        </w:rPr>
      </w:pPr>
      <w:r>
        <w:rPr>
          <w:rFonts w:ascii="Arial" w:cs="Arial" w:eastAsia="Arial" w:hAnsi="Arial"/>
          <w:sz w:val="17"/>
          <w:szCs w:val="17"/>
          <w:color w:val="auto"/>
        </w:rPr>
        <w:t>Der Verwaltungsrat ist im Fall einer Ausgabe von Aktien ermächtigt, das Bezugsrecht der bisherigen Aktionäre aufzuheben oder zu beschränken und</w:t>
      </w:r>
    </w:p>
    <w:p>
      <w:pPr>
        <w:ind w:left="235" w:right="320"/>
        <w:spacing w:after="0" w:line="297" w:lineRule="auto"/>
        <w:rPr>
          <w:rFonts w:ascii="Arial" w:cs="Arial" w:eastAsia="Arial" w:hAnsi="Arial"/>
          <w:sz w:val="13"/>
          <w:szCs w:val="13"/>
          <w:color w:val="auto"/>
        </w:rPr>
      </w:pPr>
      <w:r>
        <w:rPr>
          <w:rFonts w:ascii="Arial" w:cs="Arial" w:eastAsia="Arial" w:hAnsi="Arial"/>
          <w:sz w:val="17"/>
          <w:szCs w:val="17"/>
          <w:color w:val="auto"/>
        </w:rPr>
        <w:t>Dritten, der Gesellschaft oder einer ihrer Konzerngesellschaften zuzuweisen:</w:t>
      </w:r>
    </w:p>
    <w:p>
      <w:pPr>
        <w:spacing w:after="0" w:line="10" w:lineRule="exact"/>
        <w:rPr>
          <w:rFonts w:ascii="Arial" w:cs="Arial" w:eastAsia="Arial" w:hAnsi="Arial"/>
          <w:sz w:val="13"/>
          <w:szCs w:val="13"/>
          <w:color w:val="auto"/>
        </w:rPr>
      </w:pPr>
    </w:p>
    <w:p>
      <w:pPr>
        <w:ind w:left="655" w:hanging="415"/>
        <w:spacing w:after="0"/>
        <w:tabs>
          <w:tab w:leader="none" w:pos="65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für   die   Übernahme   von   Unternehmen,</w:t>
      </w:r>
    </w:p>
    <w:p>
      <w:pPr>
        <w:spacing w:after="0" w:line="45" w:lineRule="exact"/>
        <w:rPr>
          <w:rFonts w:ascii="Arial" w:cs="Arial" w:eastAsia="Arial" w:hAnsi="Arial"/>
          <w:sz w:val="17"/>
          <w:szCs w:val="17"/>
          <w:color w:val="auto"/>
        </w:rPr>
      </w:pPr>
    </w:p>
    <w:p>
      <w:pPr>
        <w:jc w:val="both"/>
        <w:ind w:left="655" w:right="320"/>
        <w:spacing w:after="0" w:line="287" w:lineRule="auto"/>
        <w:rPr>
          <w:rFonts w:ascii="Arial" w:cs="Arial" w:eastAsia="Arial" w:hAnsi="Arial"/>
          <w:sz w:val="17"/>
          <w:szCs w:val="17"/>
          <w:color w:val="auto"/>
        </w:rPr>
      </w:pPr>
      <w:r>
        <w:rPr>
          <w:rFonts w:ascii="Arial" w:cs="Arial" w:eastAsia="Arial" w:hAnsi="Arial"/>
          <w:sz w:val="17"/>
          <w:szCs w:val="17"/>
          <w:color w:val="auto"/>
        </w:rPr>
        <w:t>Unternehmensteilen oder Beteiligungen, den Erwerb von Produkten, Immaterialgütern oder</w:t>
      </w:r>
    </w:p>
    <w:p>
      <w:pPr>
        <w:spacing w:after="0" w:line="1" w:lineRule="exact"/>
        <w:rPr>
          <w:rFonts w:ascii="Arial" w:cs="Arial" w:eastAsia="Arial" w:hAnsi="Arial"/>
          <w:sz w:val="17"/>
          <w:szCs w:val="17"/>
          <w:color w:val="auto"/>
        </w:rPr>
      </w:pPr>
    </w:p>
    <w:p>
      <w:pPr>
        <w:jc w:val="both"/>
        <w:ind w:left="655" w:right="300"/>
        <w:spacing w:after="0" w:line="287" w:lineRule="auto"/>
        <w:rPr>
          <w:rFonts w:ascii="Arial" w:cs="Arial" w:eastAsia="Arial" w:hAnsi="Arial"/>
          <w:sz w:val="17"/>
          <w:szCs w:val="17"/>
          <w:color w:val="auto"/>
        </w:rPr>
      </w:pPr>
      <w:r>
        <w:rPr>
          <w:rFonts w:ascii="Arial" w:cs="Arial" w:eastAsia="Arial" w:hAnsi="Arial"/>
          <w:sz w:val="17"/>
          <w:szCs w:val="17"/>
          <w:color w:val="auto"/>
        </w:rPr>
        <w:t>Lizenzen oder für Investitionsvorhaben oder für die Finanzierung oder Refinanzierung solcher</w:t>
      </w:r>
    </w:p>
    <w:p>
      <w:pPr>
        <w:spacing w:after="0" w:line="1" w:lineRule="exact"/>
        <w:rPr>
          <w:rFonts w:ascii="Arial" w:cs="Arial" w:eastAsia="Arial" w:hAnsi="Arial"/>
          <w:sz w:val="17"/>
          <w:szCs w:val="17"/>
          <w:color w:val="auto"/>
        </w:rPr>
      </w:pPr>
    </w:p>
    <w:p>
      <w:pPr>
        <w:ind w:left="655" w:right="320"/>
        <w:spacing w:after="0" w:line="313" w:lineRule="auto"/>
        <w:rPr>
          <w:rFonts w:ascii="Arial" w:cs="Arial" w:eastAsia="Arial" w:hAnsi="Arial"/>
          <w:sz w:val="17"/>
          <w:szCs w:val="17"/>
          <w:color w:val="auto"/>
        </w:rPr>
      </w:pPr>
      <w:r>
        <w:rPr>
          <w:rFonts w:ascii="Arial" w:cs="Arial" w:eastAsia="Arial" w:hAnsi="Arial"/>
          <w:sz w:val="17"/>
          <w:szCs w:val="17"/>
          <w:color w:val="auto"/>
        </w:rPr>
        <w:t>Transaktionen durch eine Aktienplatzierung; oder</w:t>
      </w:r>
    </w:p>
    <w:p>
      <w:pPr>
        <w:spacing w:after="0" w:line="9" w:lineRule="exact"/>
        <w:rPr>
          <w:rFonts w:ascii="Arial" w:cs="Arial" w:eastAsia="Arial" w:hAnsi="Arial"/>
          <w:sz w:val="17"/>
          <w:szCs w:val="17"/>
          <w:color w:val="auto"/>
        </w:rPr>
      </w:pPr>
    </w:p>
    <w:p>
      <w:pPr>
        <w:jc w:val="both"/>
        <w:ind w:left="655" w:right="300" w:hanging="415"/>
        <w:spacing w:after="0" w:line="287" w:lineRule="auto"/>
        <w:tabs>
          <w:tab w:leader="none" w:pos="64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zum Zwecke der Erweiterung des Aktionärskreises der Gesellschaft in</w:t>
      </w:r>
    </w:p>
    <w:p>
      <w:pPr>
        <w:spacing w:after="0" w:line="1" w:lineRule="exact"/>
        <w:rPr>
          <w:rFonts w:ascii="Arial" w:cs="Arial" w:eastAsia="Arial" w:hAnsi="Arial"/>
          <w:sz w:val="17"/>
          <w:szCs w:val="17"/>
          <w:color w:val="auto"/>
        </w:rPr>
      </w:pPr>
    </w:p>
    <w:p>
      <w:pPr>
        <w:jc w:val="both"/>
        <w:ind w:left="655" w:right="320"/>
        <w:spacing w:after="0" w:line="287" w:lineRule="auto"/>
        <w:rPr>
          <w:rFonts w:ascii="Arial" w:cs="Arial" w:eastAsia="Arial" w:hAnsi="Arial"/>
          <w:sz w:val="17"/>
          <w:szCs w:val="17"/>
          <w:color w:val="auto"/>
        </w:rPr>
      </w:pPr>
      <w:r>
        <w:rPr>
          <w:rFonts w:ascii="Arial" w:cs="Arial" w:eastAsia="Arial" w:hAnsi="Arial"/>
          <w:sz w:val="17"/>
          <w:szCs w:val="17"/>
          <w:color w:val="auto"/>
        </w:rPr>
        <w:t>bestimmten Finanz- oder Investoren-Märkten, zur Beteiligung von strategischen Partnern</w:t>
      </w:r>
    </w:p>
    <w:p>
      <w:pPr>
        <w:spacing w:after="0" w:line="1" w:lineRule="exact"/>
        <w:rPr>
          <w:rFonts w:ascii="Arial" w:cs="Arial" w:eastAsia="Arial" w:hAnsi="Arial"/>
          <w:sz w:val="17"/>
          <w:szCs w:val="17"/>
          <w:color w:val="auto"/>
        </w:rPr>
      </w:pPr>
    </w:p>
    <w:p>
      <w:pPr>
        <w:jc w:val="both"/>
        <w:ind w:left="655" w:right="320"/>
        <w:spacing w:after="0" w:line="287" w:lineRule="auto"/>
        <w:rPr>
          <w:rFonts w:ascii="Arial" w:cs="Arial" w:eastAsia="Arial" w:hAnsi="Arial"/>
          <w:sz w:val="17"/>
          <w:szCs w:val="17"/>
          <w:color w:val="auto"/>
        </w:rPr>
      </w:pPr>
      <w:r>
        <w:rPr>
          <w:rFonts w:ascii="Arial" w:cs="Arial" w:eastAsia="Arial" w:hAnsi="Arial"/>
          <w:sz w:val="17"/>
          <w:szCs w:val="17"/>
          <w:color w:val="auto"/>
        </w:rPr>
        <w:t>einschliesslich Finanzinvestoren oder im Zusammenhang mit der Kotierung von neuen</w:t>
      </w:r>
    </w:p>
    <w:p>
      <w:pPr>
        <w:spacing w:after="0" w:line="1" w:lineRule="exact"/>
        <w:rPr>
          <w:rFonts w:ascii="Arial" w:cs="Arial" w:eastAsia="Arial" w:hAnsi="Arial"/>
          <w:sz w:val="17"/>
          <w:szCs w:val="17"/>
          <w:color w:val="auto"/>
        </w:rPr>
      </w:pPr>
    </w:p>
    <w:p>
      <w:pPr>
        <w:ind w:left="655" w:right="320"/>
        <w:spacing w:after="0" w:line="313" w:lineRule="auto"/>
        <w:rPr>
          <w:rFonts w:ascii="Arial" w:cs="Arial" w:eastAsia="Arial" w:hAnsi="Arial"/>
          <w:sz w:val="17"/>
          <w:szCs w:val="17"/>
          <w:color w:val="auto"/>
        </w:rPr>
      </w:pPr>
      <w:r>
        <w:rPr>
          <w:rFonts w:ascii="Arial" w:cs="Arial" w:eastAsia="Arial" w:hAnsi="Arial"/>
          <w:sz w:val="17"/>
          <w:szCs w:val="17"/>
          <w:color w:val="auto"/>
        </w:rPr>
        <w:t>Aktien an inländischen oder an ausländischen Börsen; oder</w:t>
      </w:r>
    </w:p>
    <w:p>
      <w:pPr>
        <w:spacing w:after="0" w:line="9" w:lineRule="exact"/>
        <w:rPr>
          <w:rFonts w:ascii="Arial" w:cs="Arial" w:eastAsia="Arial" w:hAnsi="Arial"/>
          <w:sz w:val="17"/>
          <w:szCs w:val="17"/>
          <w:color w:val="auto"/>
        </w:rPr>
      </w:pPr>
    </w:p>
    <w:p>
      <w:pPr>
        <w:ind w:left="655" w:hanging="415"/>
        <w:spacing w:after="0"/>
        <w:tabs>
          <w:tab w:leader="none" w:pos="65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wenn  der  Ausgabebetrag  der  neuen  Aktien</w:t>
      </w:r>
    </w:p>
    <w:p>
      <w:pPr>
        <w:spacing w:after="0" w:line="45" w:lineRule="exact"/>
        <w:rPr>
          <w:rFonts w:ascii="Arial" w:cs="Arial" w:eastAsia="Arial" w:hAnsi="Arial"/>
          <w:sz w:val="17"/>
          <w:szCs w:val="17"/>
          <w:color w:val="auto"/>
        </w:rPr>
      </w:pPr>
    </w:p>
    <w:p>
      <w:pPr>
        <w:ind w:left="655" w:right="320"/>
        <w:spacing w:after="0" w:line="313" w:lineRule="auto"/>
        <w:rPr>
          <w:rFonts w:ascii="Arial" w:cs="Arial" w:eastAsia="Arial" w:hAnsi="Arial"/>
          <w:sz w:val="17"/>
          <w:szCs w:val="17"/>
          <w:color w:val="auto"/>
        </w:rPr>
      </w:pPr>
      <w:r>
        <w:rPr>
          <w:rFonts w:ascii="Arial" w:cs="Arial" w:eastAsia="Arial" w:hAnsi="Arial"/>
          <w:sz w:val="17"/>
          <w:szCs w:val="17"/>
          <w:color w:val="auto"/>
        </w:rPr>
        <w:t>unter Berücksichtigung des Marktpreises festgesetzt wird; oder</w:t>
      </w:r>
    </w:p>
    <w:p>
      <w:pPr>
        <w:spacing w:after="0" w:line="9" w:lineRule="exact"/>
        <w:rPr>
          <w:rFonts w:ascii="Arial" w:cs="Arial" w:eastAsia="Arial" w:hAnsi="Arial"/>
          <w:sz w:val="17"/>
          <w:szCs w:val="17"/>
          <w:color w:val="auto"/>
        </w:rPr>
      </w:pPr>
    </w:p>
    <w:p>
      <w:pPr>
        <w:jc w:val="both"/>
        <w:ind w:left="655" w:right="320" w:hanging="415"/>
        <w:spacing w:after="0" w:line="287" w:lineRule="auto"/>
        <w:tabs>
          <w:tab w:leader="none" w:pos="64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für die Einräumung einer Mehrzuteilungsoption (Greenshoe) von bis zu 20% der zu</w:t>
      </w:r>
    </w:p>
    <w:p>
      <w:pPr>
        <w:spacing w:after="0" w:line="1" w:lineRule="exact"/>
        <w:rPr>
          <w:rFonts w:ascii="Arial" w:cs="Arial" w:eastAsia="Arial" w:hAnsi="Arial"/>
          <w:sz w:val="17"/>
          <w:szCs w:val="17"/>
          <w:color w:val="auto"/>
        </w:rPr>
      </w:pPr>
    </w:p>
    <w:p>
      <w:pPr>
        <w:ind w:left="655"/>
        <w:spacing w:after="0"/>
        <w:rPr>
          <w:rFonts w:ascii="Arial" w:cs="Arial" w:eastAsia="Arial" w:hAnsi="Arial"/>
          <w:sz w:val="17"/>
          <w:szCs w:val="17"/>
          <w:color w:val="auto"/>
        </w:rPr>
      </w:pPr>
      <w:r>
        <w:rPr>
          <w:rFonts w:ascii="Arial" w:cs="Arial" w:eastAsia="Arial" w:hAnsi="Arial"/>
          <w:sz w:val="17"/>
          <w:szCs w:val="17"/>
          <w:color w:val="auto"/>
        </w:rPr>
        <w:t>platzierenden oder zu verkaufenden Aktien an</w:t>
      </w:r>
    </w:p>
    <w:p>
      <w:pPr>
        <w:spacing w:after="0" w:line="32" w:lineRule="exact"/>
        <w:rPr>
          <w:rFonts w:ascii="Arial" w:cs="Arial" w:eastAsia="Arial" w:hAnsi="Arial"/>
          <w:sz w:val="17"/>
          <w:szCs w:val="17"/>
          <w:color w:val="auto"/>
        </w:rPr>
      </w:pPr>
    </w:p>
    <w:p>
      <w:pPr>
        <w:ind w:left="655"/>
        <w:spacing w:after="0"/>
        <w:rPr>
          <w:rFonts w:ascii="Arial" w:cs="Arial" w:eastAsia="Arial" w:hAnsi="Arial"/>
          <w:sz w:val="17"/>
          <w:szCs w:val="17"/>
          <w:color w:val="auto"/>
        </w:rPr>
      </w:pPr>
      <w:r>
        <w:rPr>
          <w:rFonts w:ascii="Arial" w:cs="Arial" w:eastAsia="Arial" w:hAnsi="Arial"/>
          <w:sz w:val="17"/>
          <w:szCs w:val="17"/>
          <w:color w:val="auto"/>
        </w:rPr>
        <w:t>diebetreffendenErstkäufer</w:t>
      </w:r>
      <w:r>
        <w:rPr>
          <w:rFonts w:ascii="Arial" w:cs="Arial" w:eastAsia="Arial" w:hAnsi="Arial"/>
          <w:sz w:val="16"/>
          <w:szCs w:val="16"/>
          <w:color w:val="auto"/>
        </w:rPr>
        <w:t>oder</w:t>
      </w:r>
    </w:p>
    <w:p>
      <w:pPr>
        <w:spacing w:after="0" w:line="45" w:lineRule="exact"/>
        <w:rPr>
          <w:rFonts w:ascii="Arial" w:cs="Arial" w:eastAsia="Arial" w:hAnsi="Arial"/>
          <w:sz w:val="17"/>
          <w:szCs w:val="17"/>
          <w:color w:val="auto"/>
        </w:rPr>
      </w:pPr>
    </w:p>
    <w:p>
      <w:pPr>
        <w:jc w:val="both"/>
        <w:ind w:left="655" w:right="300"/>
        <w:spacing w:after="0" w:line="304" w:lineRule="auto"/>
        <w:rPr>
          <w:rFonts w:ascii="Arial" w:cs="Arial" w:eastAsia="Arial" w:hAnsi="Arial"/>
          <w:sz w:val="17"/>
          <w:szCs w:val="17"/>
          <w:color w:val="auto"/>
        </w:rPr>
      </w:pPr>
      <w:r>
        <w:rPr>
          <w:rFonts w:ascii="Arial" w:cs="Arial" w:eastAsia="Arial" w:hAnsi="Arial"/>
          <w:sz w:val="17"/>
          <w:szCs w:val="17"/>
          <w:color w:val="auto"/>
        </w:rPr>
        <w:t>Festübernehmer im Rahmen einer Aktienplatzierung oder eines Aktienverkaufs; oder</w:t>
      </w:r>
    </w:p>
    <w:p>
      <w:pPr>
        <w:spacing w:after="0" w:line="4" w:lineRule="exact"/>
        <w:rPr>
          <w:rFonts w:ascii="Arial" w:cs="Arial" w:eastAsia="Arial" w:hAnsi="Arial"/>
          <w:sz w:val="17"/>
          <w:szCs w:val="17"/>
          <w:color w:val="auto"/>
        </w:rPr>
      </w:pPr>
    </w:p>
    <w:p>
      <w:pPr>
        <w:ind w:left="655" w:hanging="415"/>
        <w:spacing w:after="0"/>
        <w:tabs>
          <w:tab w:leader="none" w:pos="65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wenn ein Aktionär oder eine Gruppe von in</w:t>
      </w:r>
    </w:p>
    <w:p>
      <w:pPr>
        <w:spacing w:after="0" w:line="45" w:lineRule="exact"/>
        <w:rPr>
          <w:rFonts w:ascii="Arial" w:cs="Arial" w:eastAsia="Arial" w:hAnsi="Arial"/>
          <w:sz w:val="17"/>
          <w:szCs w:val="17"/>
          <w:color w:val="auto"/>
        </w:rPr>
      </w:pPr>
    </w:p>
    <w:p>
      <w:pPr>
        <w:jc w:val="both"/>
        <w:ind w:left="655" w:right="300"/>
        <w:spacing w:after="0" w:line="287" w:lineRule="auto"/>
        <w:rPr>
          <w:rFonts w:ascii="Arial" w:cs="Arial" w:eastAsia="Arial" w:hAnsi="Arial"/>
          <w:sz w:val="17"/>
          <w:szCs w:val="17"/>
          <w:color w:val="auto"/>
        </w:rPr>
      </w:pPr>
      <w:r>
        <w:rPr>
          <w:rFonts w:ascii="Arial" w:cs="Arial" w:eastAsia="Arial" w:hAnsi="Arial"/>
          <w:sz w:val="17"/>
          <w:szCs w:val="17"/>
          <w:color w:val="auto"/>
        </w:rPr>
        <w:t>gemeinsamer Absprache handelnden Aktionären mehr als 15% des im</w:t>
      </w:r>
    </w:p>
    <w:p>
      <w:pPr>
        <w:spacing w:after="0" w:line="1" w:lineRule="exact"/>
        <w:rPr>
          <w:rFonts w:ascii="Arial" w:cs="Arial" w:eastAsia="Arial" w:hAnsi="Arial"/>
          <w:sz w:val="17"/>
          <w:szCs w:val="17"/>
          <w:color w:val="auto"/>
        </w:rPr>
      </w:pPr>
    </w:p>
    <w:p>
      <w:pPr>
        <w:jc w:val="both"/>
        <w:ind w:left="655" w:right="320"/>
        <w:spacing w:after="0" w:line="290" w:lineRule="auto"/>
        <w:rPr>
          <w:rFonts w:ascii="Arial" w:cs="Arial" w:eastAsia="Arial" w:hAnsi="Arial"/>
          <w:sz w:val="17"/>
          <w:szCs w:val="17"/>
          <w:color w:val="auto"/>
        </w:rPr>
      </w:pPr>
      <w:r>
        <w:rPr>
          <w:rFonts w:ascii="Arial" w:cs="Arial" w:eastAsia="Arial" w:hAnsi="Arial"/>
          <w:sz w:val="17"/>
          <w:szCs w:val="17"/>
          <w:color w:val="auto"/>
        </w:rPr>
        <w:t>Handelsregister eingetragenen Aktienkapitals der Gesellschaft auf sich vereinigt hat, ohne allen übrigen Aktionären ein vom</w:t>
      </w:r>
    </w:p>
    <w:p>
      <w:pPr>
        <w:jc w:val="both"/>
        <w:ind w:left="655" w:right="320"/>
        <w:spacing w:after="0" w:line="338" w:lineRule="auto"/>
        <w:rPr>
          <w:rFonts w:ascii="Arial" w:cs="Arial" w:eastAsia="Arial" w:hAnsi="Arial"/>
          <w:sz w:val="17"/>
          <w:szCs w:val="17"/>
          <w:color w:val="auto"/>
        </w:rPr>
      </w:pPr>
      <w:r>
        <w:rPr>
          <w:rFonts w:ascii="Arial" w:cs="Arial" w:eastAsia="Arial" w:hAnsi="Arial"/>
          <w:sz w:val="16"/>
          <w:szCs w:val="16"/>
          <w:color w:val="auto"/>
        </w:rPr>
        <w:t>Verwaltungsrat empfohlenes Übernahmeangebot unterbreitet zu haben; oder</w:t>
      </w:r>
    </w:p>
    <w:p>
      <w:pPr>
        <w:ind w:left="655" w:hanging="415"/>
        <w:spacing w:after="0"/>
        <w:tabs>
          <w:tab w:leader="none" w:pos="65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zur Abwehr eines unterbreiteten, angedrohten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40" w:right="20" w:hanging="240"/>
        <w:spacing w:after="0" w:line="287" w:lineRule="auto"/>
        <w:tabs>
          <w:tab w:leader="none" w:pos="240" w:val="left"/>
        </w:tabs>
        <w:numPr>
          <w:ilvl w:val="0"/>
          <w:numId w:val="111"/>
        </w:numPr>
        <w:rPr>
          <w:rFonts w:ascii="Arial" w:cs="Arial" w:eastAsia="Arial" w:hAnsi="Arial"/>
          <w:sz w:val="13"/>
          <w:szCs w:val="13"/>
          <w:color w:val="auto"/>
        </w:rPr>
      </w:pPr>
      <w:r>
        <w:rPr>
          <w:rFonts w:ascii="Arial" w:cs="Arial" w:eastAsia="Arial" w:hAnsi="Arial"/>
          <w:sz w:val="17"/>
          <w:szCs w:val="17"/>
          <w:color w:val="auto"/>
        </w:rPr>
        <w:t>In the event of a capital increase within the capital range, the board of directors shall, to the extent</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necessary, determine the issue price, the type of contribution (including cash contributions,</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contributions in kind, set-off and conversion of reserves or of profit carried forward into share</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capital), the date of issue, the conditions for the exercise of subscription rights and the beginning date</w:t>
      </w:r>
    </w:p>
    <w:p>
      <w:pPr>
        <w:spacing w:after="0" w:line="1" w:lineRule="exact"/>
        <w:rPr>
          <w:rFonts w:ascii="Arial" w:cs="Arial" w:eastAsia="Arial" w:hAnsi="Arial"/>
          <w:sz w:val="13"/>
          <w:szCs w:val="13"/>
          <w:color w:val="auto"/>
        </w:rPr>
      </w:pPr>
    </w:p>
    <w:p>
      <w:pPr>
        <w:jc w:val="both"/>
        <w:ind w:left="240" w:right="20"/>
        <w:spacing w:after="0" w:line="290" w:lineRule="auto"/>
        <w:rPr>
          <w:rFonts w:ascii="Arial" w:cs="Arial" w:eastAsia="Arial" w:hAnsi="Arial"/>
          <w:sz w:val="13"/>
          <w:szCs w:val="13"/>
          <w:color w:val="auto"/>
        </w:rPr>
      </w:pPr>
      <w:r>
        <w:rPr>
          <w:rFonts w:ascii="Arial" w:cs="Arial" w:eastAsia="Arial" w:hAnsi="Arial"/>
          <w:sz w:val="17"/>
          <w:szCs w:val="17"/>
          <w:color w:val="auto"/>
        </w:rPr>
        <w:t>for dividend entitlement. In this regard, the board of directors may issue new shares by means of a firm underwriting through a financial institution, a</w:t>
      </w:r>
    </w:p>
    <w:p>
      <w:pPr>
        <w:jc w:val="both"/>
        <w:ind w:left="240" w:right="20"/>
        <w:spacing w:after="0" w:line="287" w:lineRule="auto"/>
        <w:rPr>
          <w:rFonts w:ascii="Arial" w:cs="Arial" w:eastAsia="Arial" w:hAnsi="Arial"/>
          <w:sz w:val="13"/>
          <w:szCs w:val="13"/>
          <w:color w:val="auto"/>
        </w:rPr>
      </w:pPr>
      <w:r>
        <w:rPr>
          <w:rFonts w:ascii="Arial" w:cs="Arial" w:eastAsia="Arial" w:hAnsi="Arial"/>
          <w:sz w:val="17"/>
          <w:szCs w:val="17"/>
          <w:color w:val="auto"/>
        </w:rPr>
        <w:t>syndicate of financial institutions or another third party and a subsequent offer of these shares to the</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existing shareholders or third parties (if the subscription rights of the existing shareholders have</w:t>
      </w:r>
    </w:p>
    <w:p>
      <w:pPr>
        <w:spacing w:after="0" w:line="1" w:lineRule="exact"/>
        <w:rPr>
          <w:rFonts w:ascii="Arial" w:cs="Arial" w:eastAsia="Arial" w:hAnsi="Arial"/>
          <w:sz w:val="13"/>
          <w:szCs w:val="13"/>
          <w:color w:val="auto"/>
        </w:rPr>
      </w:pPr>
    </w:p>
    <w:p>
      <w:pPr>
        <w:jc w:val="both"/>
        <w:ind w:left="240" w:right="20"/>
        <w:spacing w:after="0" w:line="287" w:lineRule="auto"/>
        <w:rPr>
          <w:rFonts w:ascii="Arial" w:cs="Arial" w:eastAsia="Arial" w:hAnsi="Arial"/>
          <w:sz w:val="13"/>
          <w:szCs w:val="13"/>
          <w:color w:val="auto"/>
        </w:rPr>
      </w:pPr>
      <w:r>
        <w:rPr>
          <w:rFonts w:ascii="Arial" w:cs="Arial" w:eastAsia="Arial" w:hAnsi="Arial"/>
          <w:sz w:val="17"/>
          <w:szCs w:val="17"/>
          <w:color w:val="auto"/>
        </w:rPr>
        <w:t>been withdrawn or have not been duly exercised). The board of directors is entitled to permit, to restrict</w:t>
      </w:r>
    </w:p>
    <w:p>
      <w:pPr>
        <w:spacing w:after="0" w:line="1" w:lineRule="exact"/>
        <w:rPr>
          <w:rFonts w:ascii="Arial" w:cs="Arial" w:eastAsia="Arial" w:hAnsi="Arial"/>
          <w:sz w:val="13"/>
          <w:szCs w:val="13"/>
          <w:color w:val="auto"/>
        </w:rPr>
      </w:pPr>
    </w:p>
    <w:p>
      <w:pPr>
        <w:jc w:val="both"/>
        <w:ind w:left="240"/>
        <w:spacing w:after="0" w:line="287" w:lineRule="auto"/>
        <w:rPr>
          <w:rFonts w:ascii="Arial" w:cs="Arial" w:eastAsia="Arial" w:hAnsi="Arial"/>
          <w:sz w:val="13"/>
          <w:szCs w:val="13"/>
          <w:color w:val="auto"/>
        </w:rPr>
      </w:pPr>
      <w:r>
        <w:rPr>
          <w:rFonts w:ascii="Arial" w:cs="Arial" w:eastAsia="Arial" w:hAnsi="Arial"/>
          <w:sz w:val="17"/>
          <w:szCs w:val="17"/>
          <w:color w:val="auto"/>
        </w:rPr>
        <w:t>or to exclude the trade with subscription rights. It may permit the expiration of subscription rights that have</w:t>
      </w:r>
    </w:p>
    <w:p>
      <w:pPr>
        <w:spacing w:after="0" w:line="1" w:lineRule="exact"/>
        <w:rPr>
          <w:rFonts w:ascii="Arial" w:cs="Arial" w:eastAsia="Arial" w:hAnsi="Arial"/>
          <w:sz w:val="13"/>
          <w:szCs w:val="13"/>
          <w:color w:val="auto"/>
        </w:rPr>
      </w:pPr>
    </w:p>
    <w:p>
      <w:pPr>
        <w:jc w:val="both"/>
        <w:ind w:left="240" w:right="20"/>
        <w:spacing w:after="0" w:line="287" w:lineRule="auto"/>
        <w:rPr>
          <w:rFonts w:ascii="Arial" w:cs="Arial" w:eastAsia="Arial" w:hAnsi="Arial"/>
          <w:sz w:val="13"/>
          <w:szCs w:val="13"/>
          <w:color w:val="auto"/>
        </w:rPr>
      </w:pPr>
      <w:r>
        <w:rPr>
          <w:rFonts w:ascii="Arial" w:cs="Arial" w:eastAsia="Arial" w:hAnsi="Arial"/>
          <w:sz w:val="17"/>
          <w:szCs w:val="17"/>
          <w:color w:val="auto"/>
        </w:rPr>
        <w:t>not been duly exercised, or it may place such rights or shares as to which subscription rights have been</w:t>
      </w:r>
    </w:p>
    <w:p>
      <w:pPr>
        <w:spacing w:after="0" w:line="1" w:lineRule="exact"/>
        <w:rPr>
          <w:rFonts w:ascii="Arial" w:cs="Arial" w:eastAsia="Arial" w:hAnsi="Arial"/>
          <w:sz w:val="13"/>
          <w:szCs w:val="13"/>
          <w:color w:val="auto"/>
        </w:rPr>
      </w:pPr>
    </w:p>
    <w:p>
      <w:pPr>
        <w:jc w:val="both"/>
        <w:ind w:left="240"/>
        <w:spacing w:after="0" w:line="304" w:lineRule="auto"/>
        <w:rPr>
          <w:rFonts w:ascii="Arial" w:cs="Arial" w:eastAsia="Arial" w:hAnsi="Arial"/>
          <w:sz w:val="13"/>
          <w:szCs w:val="13"/>
          <w:color w:val="auto"/>
        </w:rPr>
      </w:pPr>
      <w:r>
        <w:rPr>
          <w:rFonts w:ascii="Arial" w:cs="Arial" w:eastAsia="Arial" w:hAnsi="Arial"/>
          <w:sz w:val="17"/>
          <w:szCs w:val="17"/>
          <w:color w:val="auto"/>
        </w:rPr>
        <w:t>granted, but not duly exercised, at market conditions or may use them otherwise in the interest of the Company.</w:t>
      </w:r>
    </w:p>
    <w:p>
      <w:pPr>
        <w:spacing w:after="0" w:line="118" w:lineRule="exact"/>
        <w:rPr>
          <w:sz w:val="20"/>
          <w:szCs w:val="20"/>
          <w:color w:val="auto"/>
        </w:rPr>
      </w:pPr>
    </w:p>
    <w:p>
      <w:pPr>
        <w:jc w:val="both"/>
        <w:ind w:left="240" w:hanging="240"/>
        <w:spacing w:after="0" w:line="287" w:lineRule="auto"/>
        <w:tabs>
          <w:tab w:leader="none" w:pos="240" w:val="left"/>
        </w:tabs>
        <w:numPr>
          <w:ilvl w:val="0"/>
          <w:numId w:val="112"/>
        </w:numPr>
        <w:rPr>
          <w:rFonts w:ascii="Arial" w:cs="Arial" w:eastAsia="Arial" w:hAnsi="Arial"/>
          <w:sz w:val="13"/>
          <w:szCs w:val="13"/>
          <w:color w:val="auto"/>
        </w:rPr>
      </w:pPr>
      <w:r>
        <w:rPr>
          <w:rFonts w:ascii="Arial" w:cs="Arial" w:eastAsia="Arial" w:hAnsi="Arial"/>
          <w:sz w:val="17"/>
          <w:szCs w:val="17"/>
          <w:color w:val="auto"/>
        </w:rPr>
        <w:t>In the event of a share issue the board of directors is authorized to withdraw or restrict subscription rights</w:t>
      </w:r>
    </w:p>
    <w:p>
      <w:pPr>
        <w:spacing w:after="0" w:line="1" w:lineRule="exact"/>
        <w:rPr>
          <w:rFonts w:ascii="Arial" w:cs="Arial" w:eastAsia="Arial" w:hAnsi="Arial"/>
          <w:sz w:val="13"/>
          <w:szCs w:val="13"/>
          <w:color w:val="auto"/>
        </w:rPr>
      </w:pPr>
    </w:p>
    <w:p>
      <w:pPr>
        <w:jc w:val="both"/>
        <w:ind w:left="240"/>
        <w:spacing w:after="0" w:line="304" w:lineRule="auto"/>
        <w:rPr>
          <w:rFonts w:ascii="Arial" w:cs="Arial" w:eastAsia="Arial" w:hAnsi="Arial"/>
          <w:sz w:val="13"/>
          <w:szCs w:val="13"/>
          <w:color w:val="auto"/>
        </w:rPr>
      </w:pPr>
      <w:r>
        <w:rPr>
          <w:rFonts w:ascii="Arial" w:cs="Arial" w:eastAsia="Arial" w:hAnsi="Arial"/>
          <w:sz w:val="17"/>
          <w:szCs w:val="17"/>
          <w:color w:val="auto"/>
        </w:rPr>
        <w:t>of existing shareholders and allocate such rights to third parties, the Company or any of its group companies:</w:t>
      </w:r>
    </w:p>
    <w:p>
      <w:pPr>
        <w:spacing w:after="0" w:line="4" w:lineRule="exact"/>
        <w:rPr>
          <w:rFonts w:ascii="Arial" w:cs="Arial" w:eastAsia="Arial" w:hAnsi="Arial"/>
          <w:sz w:val="13"/>
          <w:szCs w:val="13"/>
          <w:color w:val="auto"/>
        </w:rPr>
      </w:pPr>
    </w:p>
    <w:p>
      <w:pPr>
        <w:ind w:left="640" w:hanging="399"/>
        <w:spacing w:after="0"/>
        <w:tabs>
          <w:tab w:leader="none" w:pos="6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the  acquisition  of  companies,  parts  of</w:t>
      </w:r>
    </w:p>
    <w:p>
      <w:pPr>
        <w:spacing w:after="0" w:line="45" w:lineRule="exact"/>
        <w:rPr>
          <w:rFonts w:ascii="Arial" w:cs="Arial" w:eastAsia="Arial" w:hAnsi="Arial"/>
          <w:sz w:val="17"/>
          <w:szCs w:val="17"/>
          <w:color w:val="auto"/>
        </w:rPr>
      </w:pPr>
    </w:p>
    <w:p>
      <w:pPr>
        <w:jc w:val="both"/>
        <w:ind w:left="660" w:right="20"/>
        <w:spacing w:after="0" w:line="287" w:lineRule="auto"/>
        <w:rPr>
          <w:rFonts w:ascii="Arial" w:cs="Arial" w:eastAsia="Arial" w:hAnsi="Arial"/>
          <w:sz w:val="17"/>
          <w:szCs w:val="17"/>
          <w:color w:val="auto"/>
        </w:rPr>
      </w:pPr>
      <w:r>
        <w:rPr>
          <w:rFonts w:ascii="Arial" w:cs="Arial" w:eastAsia="Arial" w:hAnsi="Arial"/>
          <w:sz w:val="17"/>
          <w:szCs w:val="17"/>
          <w:color w:val="auto"/>
        </w:rPr>
        <w:t>companies or participations, for the acquisition of products, intellectual property or licenses, or</w:t>
      </w:r>
    </w:p>
    <w:p>
      <w:pPr>
        <w:spacing w:after="0" w:line="1" w:lineRule="exact"/>
        <w:rPr>
          <w:rFonts w:ascii="Arial" w:cs="Arial" w:eastAsia="Arial" w:hAnsi="Arial"/>
          <w:sz w:val="17"/>
          <w:szCs w:val="17"/>
          <w:color w:val="auto"/>
        </w:rPr>
      </w:pPr>
    </w:p>
    <w:p>
      <w:pPr>
        <w:jc w:val="both"/>
        <w:ind w:left="660" w:right="20"/>
        <w:spacing w:after="0" w:line="304" w:lineRule="auto"/>
        <w:rPr>
          <w:rFonts w:ascii="Arial" w:cs="Arial" w:eastAsia="Arial" w:hAnsi="Arial"/>
          <w:sz w:val="17"/>
          <w:szCs w:val="17"/>
          <w:color w:val="auto"/>
        </w:rPr>
      </w:pPr>
      <w:r>
        <w:rPr>
          <w:rFonts w:ascii="Arial" w:cs="Arial" w:eastAsia="Arial" w:hAnsi="Arial"/>
          <w:sz w:val="17"/>
          <w:szCs w:val="17"/>
          <w:color w:val="auto"/>
        </w:rPr>
        <w:t>for investment projects or for the financing or refinancing of such transactions through a placement of shares; or</w:t>
      </w:r>
    </w:p>
    <w:p>
      <w:pPr>
        <w:spacing w:after="0" w:line="17" w:lineRule="exact"/>
        <w:rPr>
          <w:rFonts w:ascii="Arial" w:cs="Arial" w:eastAsia="Arial" w:hAnsi="Arial"/>
          <w:sz w:val="17"/>
          <w:szCs w:val="17"/>
          <w:color w:val="auto"/>
        </w:rPr>
      </w:pPr>
    </w:p>
    <w:p>
      <w:pPr>
        <w:jc w:val="both"/>
        <w:ind w:left="660" w:right="20" w:hanging="419"/>
        <w:spacing w:after="0" w:line="305" w:lineRule="auto"/>
        <w:tabs>
          <w:tab w:leader="none" w:pos="65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for the purpose of broadening the shareholder constituency of the Company in certain financial</w:t>
      </w:r>
    </w:p>
    <w:p>
      <w:pPr>
        <w:jc w:val="both"/>
        <w:ind w:left="660"/>
        <w:spacing w:after="0" w:line="287" w:lineRule="auto"/>
        <w:rPr>
          <w:rFonts w:ascii="Arial" w:cs="Arial" w:eastAsia="Arial" w:hAnsi="Arial"/>
          <w:sz w:val="16"/>
          <w:szCs w:val="16"/>
          <w:color w:val="auto"/>
        </w:rPr>
      </w:pPr>
      <w:r>
        <w:rPr>
          <w:rFonts w:ascii="Arial" w:cs="Arial" w:eastAsia="Arial" w:hAnsi="Arial"/>
          <w:sz w:val="17"/>
          <w:szCs w:val="17"/>
          <w:color w:val="auto"/>
        </w:rPr>
        <w:t>or investor markets, for purposes of the participation of strategic partners including</w:t>
      </w:r>
    </w:p>
    <w:p>
      <w:pPr>
        <w:spacing w:after="0" w:line="1" w:lineRule="exact"/>
        <w:rPr>
          <w:rFonts w:ascii="Arial" w:cs="Arial" w:eastAsia="Arial" w:hAnsi="Arial"/>
          <w:sz w:val="16"/>
          <w:szCs w:val="16"/>
          <w:color w:val="auto"/>
        </w:rPr>
      </w:pPr>
    </w:p>
    <w:p>
      <w:pPr>
        <w:jc w:val="both"/>
        <w:ind w:left="660"/>
        <w:spacing w:after="0" w:line="304" w:lineRule="auto"/>
        <w:rPr>
          <w:rFonts w:ascii="Arial" w:cs="Arial" w:eastAsia="Arial" w:hAnsi="Arial"/>
          <w:sz w:val="16"/>
          <w:szCs w:val="16"/>
          <w:color w:val="auto"/>
        </w:rPr>
      </w:pPr>
      <w:r>
        <w:rPr>
          <w:rFonts w:ascii="Arial" w:cs="Arial" w:eastAsia="Arial" w:hAnsi="Arial"/>
          <w:sz w:val="17"/>
          <w:szCs w:val="17"/>
          <w:color w:val="auto"/>
        </w:rPr>
        <w:t>financial investors, or in connection with a listing of new shares on domestic or foreign stock exchanges; or</w:t>
      </w:r>
    </w:p>
    <w:p>
      <w:pPr>
        <w:spacing w:after="0" w:line="4" w:lineRule="exact"/>
        <w:rPr>
          <w:rFonts w:ascii="Arial" w:cs="Arial" w:eastAsia="Arial" w:hAnsi="Arial"/>
          <w:sz w:val="16"/>
          <w:szCs w:val="16"/>
          <w:color w:val="auto"/>
        </w:rPr>
      </w:pPr>
    </w:p>
    <w:p>
      <w:pPr>
        <w:ind w:left="660" w:right="20" w:hanging="419"/>
        <w:spacing w:after="0" w:line="318" w:lineRule="auto"/>
        <w:tabs>
          <w:tab w:leader="none" w:pos="65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if the issue price of the new Shares is determined by reference to the market price; or</w:t>
      </w:r>
    </w:p>
    <w:p>
      <w:pPr>
        <w:spacing w:after="0" w:line="1" w:lineRule="exact"/>
        <w:rPr>
          <w:rFonts w:ascii="Arial" w:cs="Arial" w:eastAsia="Arial" w:hAnsi="Arial"/>
          <w:sz w:val="17"/>
          <w:szCs w:val="17"/>
          <w:color w:val="auto"/>
        </w:rPr>
      </w:pPr>
    </w:p>
    <w:p>
      <w:pPr>
        <w:ind w:left="640" w:hanging="399"/>
        <w:spacing w:after="0"/>
        <w:tabs>
          <w:tab w:leader="none" w:pos="6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purposes  of  granting  an  over-allotment</w:t>
      </w:r>
    </w:p>
    <w:p>
      <w:pPr>
        <w:spacing w:after="0" w:line="45" w:lineRule="exact"/>
        <w:rPr>
          <w:rFonts w:ascii="Arial" w:cs="Arial" w:eastAsia="Arial" w:hAnsi="Arial"/>
          <w:sz w:val="17"/>
          <w:szCs w:val="17"/>
          <w:color w:val="auto"/>
        </w:rPr>
      </w:pPr>
    </w:p>
    <w:p>
      <w:pPr>
        <w:jc w:val="both"/>
        <w:ind w:left="660"/>
        <w:spacing w:after="0" w:line="287" w:lineRule="auto"/>
        <w:rPr>
          <w:rFonts w:ascii="Arial" w:cs="Arial" w:eastAsia="Arial" w:hAnsi="Arial"/>
          <w:sz w:val="17"/>
          <w:szCs w:val="17"/>
          <w:color w:val="auto"/>
        </w:rPr>
      </w:pPr>
      <w:r>
        <w:rPr>
          <w:rFonts w:ascii="Arial" w:cs="Arial" w:eastAsia="Arial" w:hAnsi="Arial"/>
          <w:sz w:val="17"/>
          <w:szCs w:val="17"/>
          <w:color w:val="auto"/>
        </w:rPr>
        <w:t>option (Greenshoe) of up to 20% of the total number of Shares in a placement or sale of</w:t>
      </w:r>
    </w:p>
    <w:p>
      <w:pPr>
        <w:spacing w:after="0" w:line="1" w:lineRule="exact"/>
        <w:rPr>
          <w:rFonts w:ascii="Arial" w:cs="Arial" w:eastAsia="Arial" w:hAnsi="Arial"/>
          <w:sz w:val="17"/>
          <w:szCs w:val="17"/>
          <w:color w:val="auto"/>
        </w:rPr>
      </w:pPr>
    </w:p>
    <w:p>
      <w:pPr>
        <w:ind w:left="660"/>
        <w:spacing w:after="0" w:line="313" w:lineRule="auto"/>
        <w:rPr>
          <w:rFonts w:ascii="Arial" w:cs="Arial" w:eastAsia="Arial" w:hAnsi="Arial"/>
          <w:sz w:val="17"/>
          <w:szCs w:val="17"/>
          <w:color w:val="auto"/>
        </w:rPr>
      </w:pPr>
      <w:r>
        <w:rPr>
          <w:rFonts w:ascii="Arial" w:cs="Arial" w:eastAsia="Arial" w:hAnsi="Arial"/>
          <w:sz w:val="17"/>
          <w:szCs w:val="17"/>
          <w:color w:val="auto"/>
        </w:rPr>
        <w:t>Shares to the respective initial purchasers or underwriters; or</w:t>
      </w:r>
    </w:p>
    <w:p>
      <w:pPr>
        <w:spacing w:after="0" w:line="9" w:lineRule="exact"/>
        <w:rPr>
          <w:rFonts w:ascii="Arial" w:cs="Arial" w:eastAsia="Arial" w:hAnsi="Arial"/>
          <w:sz w:val="17"/>
          <w:szCs w:val="17"/>
          <w:color w:val="auto"/>
        </w:rPr>
      </w:pPr>
    </w:p>
    <w:p>
      <w:pPr>
        <w:jc w:val="both"/>
        <w:ind w:left="660" w:hanging="419"/>
        <w:spacing w:after="0" w:line="290" w:lineRule="auto"/>
        <w:tabs>
          <w:tab w:leader="none" w:pos="65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w:t>
      </w:r>
    </w:p>
    <w:p>
      <w:pPr>
        <w:jc w:val="both"/>
        <w:ind w:left="660"/>
        <w:spacing w:after="0" w:line="287" w:lineRule="auto"/>
        <w:rPr>
          <w:rFonts w:ascii="Arial" w:cs="Arial" w:eastAsia="Arial" w:hAnsi="Arial"/>
          <w:sz w:val="17"/>
          <w:szCs w:val="17"/>
          <w:color w:val="auto"/>
        </w:rPr>
      </w:pPr>
      <w:r>
        <w:rPr>
          <w:rFonts w:ascii="Arial" w:cs="Arial" w:eastAsia="Arial" w:hAnsi="Arial"/>
          <w:sz w:val="17"/>
          <w:szCs w:val="17"/>
          <w:color w:val="auto"/>
        </w:rPr>
        <w:t>the share capital registered in the commercial register without having submitted to all other</w:t>
      </w:r>
    </w:p>
    <w:p>
      <w:pPr>
        <w:spacing w:after="0" w:line="1" w:lineRule="exact"/>
        <w:rPr>
          <w:rFonts w:ascii="Arial" w:cs="Arial" w:eastAsia="Arial" w:hAnsi="Arial"/>
          <w:sz w:val="17"/>
          <w:szCs w:val="17"/>
          <w:color w:val="auto"/>
        </w:rPr>
      </w:pPr>
    </w:p>
    <w:p>
      <w:pPr>
        <w:ind w:left="660"/>
        <w:spacing w:after="0" w:line="313" w:lineRule="auto"/>
        <w:rPr>
          <w:rFonts w:ascii="Arial" w:cs="Arial" w:eastAsia="Arial" w:hAnsi="Arial"/>
          <w:sz w:val="17"/>
          <w:szCs w:val="17"/>
          <w:color w:val="auto"/>
        </w:rPr>
      </w:pPr>
      <w:r>
        <w:rPr>
          <w:rFonts w:ascii="Arial" w:cs="Arial" w:eastAsia="Arial" w:hAnsi="Arial"/>
          <w:sz w:val="17"/>
          <w:szCs w:val="17"/>
          <w:color w:val="auto"/>
        </w:rPr>
        <w:t>shareholders a takeover offer recommended by the board of directors; or</w:t>
      </w:r>
    </w:p>
    <w:p>
      <w:pPr>
        <w:spacing w:after="0" w:line="9" w:lineRule="exact"/>
        <w:rPr>
          <w:rFonts w:ascii="Arial" w:cs="Arial" w:eastAsia="Arial" w:hAnsi="Arial"/>
          <w:sz w:val="17"/>
          <w:szCs w:val="17"/>
          <w:color w:val="auto"/>
        </w:rPr>
      </w:pPr>
    </w:p>
    <w:p>
      <w:pPr>
        <w:jc w:val="both"/>
        <w:ind w:left="660" w:hanging="419"/>
        <w:spacing w:after="0" w:line="287" w:lineRule="auto"/>
        <w:tabs>
          <w:tab w:leader="none" w:pos="65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the defense of an actual, threatened or potential takeover bid, in relation to which the</w:t>
      </w:r>
    </w:p>
    <w:p>
      <w:pPr>
        <w:spacing w:after="0" w:line="1" w:lineRule="exact"/>
        <w:rPr>
          <w:rFonts w:ascii="Arial" w:cs="Arial" w:eastAsia="Arial" w:hAnsi="Arial"/>
          <w:sz w:val="17"/>
          <w:szCs w:val="17"/>
          <w:color w:val="auto"/>
        </w:rPr>
      </w:pPr>
    </w:p>
    <w:p>
      <w:pPr>
        <w:jc w:val="both"/>
        <w:ind w:left="660" w:right="20"/>
        <w:spacing w:after="0" w:line="305" w:lineRule="auto"/>
        <w:rPr>
          <w:rFonts w:ascii="Arial" w:cs="Arial" w:eastAsia="Arial" w:hAnsi="Arial"/>
          <w:sz w:val="17"/>
          <w:szCs w:val="17"/>
          <w:color w:val="auto"/>
        </w:rPr>
      </w:pPr>
      <w:r>
        <w:rPr>
          <w:rFonts w:ascii="Arial" w:cs="Arial" w:eastAsia="Arial" w:hAnsi="Arial"/>
          <w:sz w:val="16"/>
          <w:szCs w:val="16"/>
          <w:color w:val="auto"/>
        </w:rPr>
        <w:t>board of directors, upon consultation with an independent financial adviser retained by it, has</w:t>
      </w:r>
    </w:p>
    <w:p>
      <w:pPr>
        <w:jc w:val="both"/>
        <w:ind w:left="660" w:right="20"/>
        <w:spacing w:after="0" w:line="304" w:lineRule="auto"/>
        <w:rPr>
          <w:rFonts w:ascii="Arial" w:cs="Arial" w:eastAsia="Arial" w:hAnsi="Arial"/>
          <w:sz w:val="17"/>
          <w:szCs w:val="17"/>
          <w:color w:val="auto"/>
        </w:rPr>
      </w:pPr>
      <w:r>
        <w:rPr>
          <w:rFonts w:ascii="Arial" w:cs="Arial" w:eastAsia="Arial" w:hAnsi="Arial"/>
          <w:sz w:val="17"/>
          <w:szCs w:val="17"/>
          <w:color w:val="auto"/>
        </w:rPr>
        <w:t>not recommended to the shareholders acceptance on the basis that the board of directors has not found the takeover bid to be</w:t>
      </w:r>
    </w:p>
    <w:p>
      <w:pPr>
        <w:sectPr>
          <w:pgSz w:w="11900" w:h="17035" w:orient="portrait"/>
          <w:cols w:equalWidth="0" w:num="2">
            <w:col w:w="4535" w:space="720"/>
            <w:col w:w="4260"/>
          </w:cols>
          <w:pgMar w:left="1405" w:top="132" w:right="979" w:bottom="0" w:gutter="0" w:footer="0" w:header="0"/>
          <w:type w:val="continuous"/>
        </w:sectPr>
      </w:pPr>
    </w:p>
    <w:bookmarkStart w:id="226" w:name="page227"/>
    <w:bookmarkEnd w:id="226"/>
    <w:p>
      <w:pPr>
        <w:jc w:val="both"/>
        <w:ind w:left="620" w:right="541"/>
        <w:spacing w:after="0" w:line="291" w:lineRule="auto"/>
        <w:rPr>
          <w:sz w:val="20"/>
          <w:szCs w:val="20"/>
          <w:color w:val="auto"/>
        </w:rPr>
      </w:pPr>
      <w:r>
        <w:rPr>
          <w:rFonts w:ascii="Arial" w:cs="Arial" w:eastAsia="Arial" w:hAnsi="Arial"/>
          <w:sz w:val="17"/>
          <w:szCs w:val="17"/>
          <w:color w:val="auto"/>
        </w:rPr>
        <w:t>oder potenziellen Übernahmeangebotes, welches der Verwaltungsrat, nach Konsultation mit einem von ihm beigezogenen unabhängigen Finanzberater, den Aktionären nicht zur Annahme empfohlen hat bzw. nicht empfehlen wird, weil der Verwaltungsrat das Übernahmeangebot in finanzieller Hinsicht gegenüber den Aktionären nicht als fair beurteilt hat; oder</w:t>
      </w:r>
    </w:p>
    <w:p>
      <w:pPr>
        <w:spacing w:after="0" w:line="32" w:lineRule="exact"/>
        <w:rPr>
          <w:sz w:val="20"/>
          <w:szCs w:val="20"/>
          <w:color w:val="auto"/>
        </w:rPr>
      </w:pPr>
    </w:p>
    <w:p>
      <w:pPr>
        <w:jc w:val="both"/>
        <w:ind w:left="620" w:right="561" w:hanging="415"/>
        <w:spacing w:after="0" w:line="287" w:lineRule="auto"/>
        <w:tabs>
          <w:tab w:leader="none" w:pos="61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die Beschaffung von Eigenkapital auf eine schnelle und flexible Weise, welche ohne den</w:t>
      </w:r>
    </w:p>
    <w:p>
      <w:pPr>
        <w:spacing w:after="0" w:line="1" w:lineRule="exact"/>
        <w:rPr>
          <w:rFonts w:ascii="Arial" w:cs="Arial" w:eastAsia="Arial" w:hAnsi="Arial"/>
          <w:sz w:val="17"/>
          <w:szCs w:val="17"/>
          <w:color w:val="auto"/>
        </w:rPr>
      </w:pPr>
    </w:p>
    <w:p>
      <w:pPr>
        <w:jc w:val="both"/>
        <w:ind w:left="620" w:right="561"/>
        <w:spacing w:after="0" w:line="301" w:lineRule="auto"/>
        <w:rPr>
          <w:rFonts w:ascii="Arial" w:cs="Arial" w:eastAsia="Arial" w:hAnsi="Arial"/>
          <w:sz w:val="17"/>
          <w:szCs w:val="17"/>
          <w:color w:val="auto"/>
        </w:rPr>
      </w:pPr>
      <w:r>
        <w:rPr>
          <w:rFonts w:ascii="Arial" w:cs="Arial" w:eastAsia="Arial" w:hAnsi="Arial"/>
          <w:sz w:val="17"/>
          <w:szCs w:val="17"/>
          <w:color w:val="auto"/>
        </w:rPr>
        <w:t>Ausschluss der Bezugsrechte der bisherigen Aktionäre nicht oder nur schwer oder zu wesentlich schlechteren Bedingungen möglich wäre; oder</w:t>
      </w:r>
    </w:p>
    <w:p>
      <w:pPr>
        <w:spacing w:after="0" w:line="7" w:lineRule="exact"/>
        <w:rPr>
          <w:rFonts w:ascii="Arial" w:cs="Arial" w:eastAsia="Arial" w:hAnsi="Arial"/>
          <w:sz w:val="17"/>
          <w:szCs w:val="17"/>
          <w:color w:val="auto"/>
        </w:rPr>
      </w:pPr>
    </w:p>
    <w:p>
      <w:pPr>
        <w:ind w:left="620" w:hanging="415"/>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für  die  Beteiligung  von  Mitgliedern  des</w:t>
      </w:r>
    </w:p>
    <w:p>
      <w:pPr>
        <w:spacing w:after="0" w:line="45"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Verwaltungsrates,Mitgliedernder</w:t>
      </w:r>
    </w:p>
    <w:p>
      <w:pPr>
        <w:spacing w:after="0" w:line="3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Geschäftsleitung,</w:t>
      </w:r>
      <w:r>
        <w:rPr>
          <w:rFonts w:ascii="Arial" w:cs="Arial" w:eastAsia="Arial" w:hAnsi="Arial"/>
          <w:sz w:val="16"/>
          <w:szCs w:val="16"/>
          <w:color w:val="auto"/>
        </w:rPr>
        <w:t>Mitarbeitende,</w:t>
      </w:r>
    </w:p>
    <w:p>
      <w:pPr>
        <w:spacing w:after="0" w:line="45" w:lineRule="exact"/>
        <w:rPr>
          <w:rFonts w:ascii="Arial" w:cs="Arial" w:eastAsia="Arial" w:hAnsi="Arial"/>
          <w:sz w:val="17"/>
          <w:szCs w:val="17"/>
          <w:color w:val="auto"/>
        </w:rPr>
      </w:pPr>
    </w:p>
    <w:p>
      <w:pPr>
        <w:jc w:val="both"/>
        <w:ind w:left="620" w:right="561"/>
        <w:spacing w:after="0" w:line="287" w:lineRule="auto"/>
        <w:rPr>
          <w:rFonts w:ascii="Arial" w:cs="Arial" w:eastAsia="Arial" w:hAnsi="Arial"/>
          <w:sz w:val="17"/>
          <w:szCs w:val="17"/>
          <w:color w:val="auto"/>
        </w:rPr>
      </w:pPr>
      <w:r>
        <w:rPr>
          <w:rFonts w:ascii="Arial" w:cs="Arial" w:eastAsia="Arial" w:hAnsi="Arial"/>
          <w:sz w:val="17"/>
          <w:szCs w:val="17"/>
          <w:color w:val="auto"/>
        </w:rPr>
        <w:t>Vertragspartner, Beratern oder anderen Personen, die für die Gesellschaft oder eine</w:t>
      </w:r>
    </w:p>
    <w:p>
      <w:pPr>
        <w:spacing w:after="0" w:line="1" w:lineRule="exact"/>
        <w:rPr>
          <w:rFonts w:ascii="Arial" w:cs="Arial" w:eastAsia="Arial" w:hAnsi="Arial"/>
          <w:sz w:val="17"/>
          <w:szCs w:val="17"/>
          <w:color w:val="auto"/>
        </w:rPr>
      </w:pPr>
    </w:p>
    <w:p>
      <w:pPr>
        <w:ind w:left="620" w:right="561"/>
        <w:spacing w:after="0" w:line="313" w:lineRule="auto"/>
        <w:rPr>
          <w:rFonts w:ascii="Arial" w:cs="Arial" w:eastAsia="Arial" w:hAnsi="Arial"/>
          <w:sz w:val="17"/>
          <w:szCs w:val="17"/>
          <w:color w:val="auto"/>
        </w:rPr>
      </w:pPr>
      <w:r>
        <w:rPr>
          <w:rFonts w:ascii="Arial" w:cs="Arial" w:eastAsia="Arial" w:hAnsi="Arial"/>
          <w:sz w:val="17"/>
          <w:szCs w:val="17"/>
          <w:color w:val="auto"/>
        </w:rPr>
        <w:t>ihrer Konzerngesellschaften Leistungen erbringen.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19"/>
        <w:spacing w:after="0"/>
        <w:rPr>
          <w:sz w:val="20"/>
          <w:szCs w:val="20"/>
          <w:color w:val="auto"/>
        </w:rPr>
      </w:pPr>
      <w:r>
        <w:rPr>
          <w:rFonts w:ascii="Arial" w:cs="Arial" w:eastAsia="Arial" w:hAnsi="Arial"/>
          <w:sz w:val="17"/>
          <w:szCs w:val="17"/>
          <w:color w:val="auto"/>
        </w:rPr>
        <w:t>financially fair to the shareholders; or</w:t>
      </w:r>
    </w:p>
    <w:p>
      <w:pPr>
        <w:spacing w:after="0" w:line="96" w:lineRule="exact"/>
        <w:rPr>
          <w:sz w:val="20"/>
          <w:szCs w:val="20"/>
          <w:color w:val="auto"/>
        </w:rPr>
      </w:pPr>
    </w:p>
    <w:p>
      <w:pPr>
        <w:jc w:val="both"/>
        <w:ind w:left="419" w:hanging="419"/>
        <w:spacing w:after="0" w:line="290" w:lineRule="auto"/>
        <w:tabs>
          <w:tab w:leader="none" w:pos="41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raising equity capital in a fast and flexible manner, which would not be possible, or would only be possible with great difficulty or at</w:t>
      </w:r>
    </w:p>
    <w:p>
      <w:pPr>
        <w:jc w:val="both"/>
        <w:ind w:left="419"/>
        <w:spacing w:after="0" w:line="304" w:lineRule="auto"/>
        <w:rPr>
          <w:rFonts w:ascii="Arial" w:cs="Arial" w:eastAsia="Arial" w:hAnsi="Arial"/>
          <w:sz w:val="17"/>
          <w:szCs w:val="17"/>
          <w:color w:val="auto"/>
        </w:rPr>
      </w:pPr>
      <w:r>
        <w:rPr>
          <w:rFonts w:ascii="Arial" w:cs="Arial" w:eastAsia="Arial" w:hAnsi="Arial"/>
          <w:sz w:val="17"/>
          <w:szCs w:val="17"/>
          <w:color w:val="auto"/>
        </w:rPr>
        <w:t>significantly less favorable conditions, without the exclusion of the subscription rights of existing shareholders; or</w:t>
      </w:r>
    </w:p>
    <w:p>
      <w:pPr>
        <w:spacing w:after="0" w:line="4" w:lineRule="exact"/>
        <w:rPr>
          <w:rFonts w:ascii="Arial" w:cs="Arial" w:eastAsia="Arial" w:hAnsi="Arial"/>
          <w:sz w:val="17"/>
          <w:szCs w:val="17"/>
          <w:color w:val="auto"/>
        </w:rPr>
      </w:pPr>
    </w:p>
    <w:p>
      <w:pPr>
        <w:ind w:left="399" w:hanging="399"/>
        <w:spacing w:after="0"/>
        <w:tabs>
          <w:tab w:leader="none" w:pos="39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 the participation of members of the board of</w:t>
      </w:r>
    </w:p>
    <w:p>
      <w:pPr>
        <w:spacing w:after="0" w:line="45" w:lineRule="exact"/>
        <w:rPr>
          <w:rFonts w:ascii="Arial" w:cs="Arial" w:eastAsia="Arial" w:hAnsi="Arial"/>
          <w:sz w:val="17"/>
          <w:szCs w:val="17"/>
          <w:color w:val="auto"/>
        </w:rPr>
      </w:pPr>
    </w:p>
    <w:p>
      <w:pPr>
        <w:ind w:left="419"/>
        <w:spacing w:after="0"/>
        <w:rPr>
          <w:rFonts w:ascii="Arial" w:cs="Arial" w:eastAsia="Arial" w:hAnsi="Arial"/>
          <w:sz w:val="17"/>
          <w:szCs w:val="17"/>
          <w:color w:val="auto"/>
        </w:rPr>
      </w:pPr>
      <w:r>
        <w:rPr>
          <w:rFonts w:ascii="Arial" w:cs="Arial" w:eastAsia="Arial" w:hAnsi="Arial"/>
          <w:sz w:val="17"/>
          <w:szCs w:val="17"/>
          <w:color w:val="auto"/>
        </w:rPr>
        <w:t>directors,   members   of   the   Executive</w:t>
      </w:r>
    </w:p>
    <w:p>
      <w:pPr>
        <w:spacing w:after="0" w:line="32" w:lineRule="exact"/>
        <w:rPr>
          <w:rFonts w:ascii="Arial" w:cs="Arial" w:eastAsia="Arial" w:hAnsi="Arial"/>
          <w:sz w:val="17"/>
          <w:szCs w:val="17"/>
          <w:color w:val="auto"/>
        </w:rPr>
      </w:pPr>
    </w:p>
    <w:p>
      <w:pPr>
        <w:ind w:left="419"/>
        <w:spacing w:after="0"/>
        <w:rPr>
          <w:rFonts w:ascii="Arial" w:cs="Arial" w:eastAsia="Arial" w:hAnsi="Arial"/>
          <w:sz w:val="17"/>
          <w:szCs w:val="17"/>
          <w:color w:val="auto"/>
        </w:rPr>
      </w:pPr>
      <w:r>
        <w:rPr>
          <w:rFonts w:ascii="Arial" w:cs="Arial" w:eastAsia="Arial" w:hAnsi="Arial"/>
          <w:sz w:val="17"/>
          <w:szCs w:val="17"/>
          <w:color w:val="auto"/>
        </w:rPr>
        <w:t>Committee,employees,</w:t>
      </w:r>
      <w:r>
        <w:rPr>
          <w:rFonts w:ascii="Arial" w:cs="Arial" w:eastAsia="Arial" w:hAnsi="Arial"/>
          <w:sz w:val="16"/>
          <w:szCs w:val="16"/>
          <w:color w:val="auto"/>
        </w:rPr>
        <w:t>contractors,</w:t>
      </w:r>
    </w:p>
    <w:p>
      <w:pPr>
        <w:spacing w:after="0" w:line="45" w:lineRule="exact"/>
        <w:rPr>
          <w:rFonts w:ascii="Arial" w:cs="Arial" w:eastAsia="Arial" w:hAnsi="Arial"/>
          <w:sz w:val="17"/>
          <w:szCs w:val="17"/>
          <w:color w:val="auto"/>
        </w:rPr>
      </w:pPr>
    </w:p>
    <w:p>
      <w:pPr>
        <w:jc w:val="both"/>
        <w:ind w:left="419" w:right="20"/>
        <w:spacing w:after="0" w:line="304" w:lineRule="auto"/>
        <w:rPr>
          <w:rFonts w:ascii="Arial" w:cs="Arial" w:eastAsia="Arial" w:hAnsi="Arial"/>
          <w:sz w:val="17"/>
          <w:szCs w:val="17"/>
          <w:color w:val="auto"/>
        </w:rPr>
      </w:pPr>
      <w:r>
        <w:rPr>
          <w:rFonts w:ascii="Arial" w:cs="Arial" w:eastAsia="Arial" w:hAnsi="Arial"/>
          <w:sz w:val="17"/>
          <w:szCs w:val="17"/>
          <w:color w:val="auto"/>
        </w:rPr>
        <w:t>consultants or other persons performing services for the benefit of the Company or any of its group companies.</w:t>
      </w:r>
    </w:p>
    <w:p>
      <w:pPr>
        <w:sectPr>
          <w:pgSz w:w="11900" w:h="16838" w:orient="portrait"/>
          <w:cols w:equalWidth="0" w:num="2">
            <w:col w:w="4741" w:space="720"/>
            <w:col w:w="4019"/>
          </w:cols>
          <w:pgMar w:left="1440" w:top="186" w:right="979" w:bottom="1440" w:gutter="0" w:footer="0" w:header="0"/>
        </w:sectPr>
      </w:pPr>
    </w:p>
    <w:bookmarkStart w:id="227" w:name="page228"/>
    <w:bookmarkEnd w:id="227"/>
    <w:p>
      <w:pPr>
        <w:ind w:left="5460"/>
        <w:spacing w:after="0"/>
        <w:rPr>
          <w:sz w:val="20"/>
          <w:szCs w:val="20"/>
          <w:color w:val="auto"/>
        </w:rPr>
      </w:pPr>
      <w:r>
        <w:rPr>
          <w:rFonts w:ascii="Arial" w:cs="Arial" w:eastAsia="Arial" w:hAnsi="Arial"/>
          <w:sz w:val="13"/>
          <w:szCs w:val="13"/>
          <w:color w:val="auto"/>
        </w:rPr>
        <w:t>- 6 -</w:t>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580" w:right="312" w:hanging="231"/>
        <w:spacing w:after="0" w:line="330" w:lineRule="auto"/>
        <w:tabs>
          <w:tab w:leader="none" w:pos="1580" w:val="left"/>
        </w:tabs>
        <w:numPr>
          <w:ilvl w:val="0"/>
          <w:numId w:val="115"/>
        </w:numPr>
        <w:rPr>
          <w:rFonts w:ascii="Arial" w:cs="Arial" w:eastAsia="Arial" w:hAnsi="Arial"/>
          <w:sz w:val="13"/>
          <w:szCs w:val="13"/>
          <w:color w:val="auto"/>
        </w:rPr>
      </w:pPr>
      <w:r>
        <w:rPr>
          <w:rFonts w:ascii="Arial" w:cs="Arial" w:eastAsia="Arial" w:hAnsi="Arial"/>
          <w:sz w:val="16"/>
          <w:szCs w:val="16"/>
          <w:color w:val="auto"/>
        </w:rPr>
        <w:t>Nach einer Nennwertveränderung sind neue Aktien im Rahmen des Kapitalbands mit gleichem Nennwert auszugeben wie die bestehenden Aktien.</w:t>
      </w:r>
    </w:p>
    <w:p>
      <w:pPr>
        <w:spacing w:after="0" w:line="102" w:lineRule="exact"/>
        <w:rPr>
          <w:sz w:val="20"/>
          <w:szCs w:val="20"/>
          <w:color w:val="auto"/>
        </w:rPr>
      </w:pPr>
    </w:p>
    <w:p>
      <w:pPr>
        <w:jc w:val="both"/>
        <w:ind w:left="1580" w:right="312" w:hanging="239"/>
        <w:spacing w:after="0" w:line="296" w:lineRule="auto"/>
        <w:tabs>
          <w:tab w:leader="none" w:pos="1560" w:val="left"/>
        </w:tabs>
        <w:rPr>
          <w:sz w:val="20"/>
          <w:szCs w:val="20"/>
          <w:color w:val="auto"/>
        </w:rPr>
      </w:pPr>
      <w:r>
        <w:rPr>
          <w:rFonts w:ascii="Arial" w:cs="Arial" w:eastAsia="Arial" w:hAnsi="Arial"/>
          <w:sz w:val="13"/>
          <w:szCs w:val="13"/>
          <w:color w:val="auto"/>
        </w:rPr>
        <w:t>6</w:t>
      </w:r>
      <w:r>
        <w:rPr>
          <w:sz w:val="20"/>
          <w:szCs w:val="20"/>
          <w:color w:val="auto"/>
        </w:rPr>
        <w:tab/>
      </w:r>
      <w:r>
        <w:rPr>
          <w:rFonts w:ascii="Arial" w:cs="Arial" w:eastAsia="Arial" w:hAnsi="Arial"/>
          <w:sz w:val="17"/>
          <w:szCs w:val="17"/>
          <w:color w:val="auto"/>
        </w:rPr>
        <w:t>Erhöht sich das Aktienkapital aufgrund einer Erhöhung aus bedingtem Kapital nach Artikel 3b und Artikel 3c dieser Statuten, so erhöht sich die obere Grenze des Kapitalbands entsprechend dem Umfang der Erhöhung des Aktienkapitals.</w:t>
      </w:r>
    </w:p>
    <w:p>
      <w:pPr>
        <w:spacing w:after="0" w:line="352" w:lineRule="exact"/>
        <w:rPr>
          <w:sz w:val="20"/>
          <w:szCs w:val="20"/>
          <w:color w:val="auto"/>
        </w:rPr>
      </w:pPr>
    </w:p>
    <w:p>
      <w:pPr>
        <w:jc w:val="both"/>
        <w:ind w:left="1580" w:right="312" w:hanging="239"/>
        <w:spacing w:after="0" w:line="290" w:lineRule="auto"/>
        <w:tabs>
          <w:tab w:leader="none" w:pos="1560" w:val="left"/>
        </w:tabs>
        <w:rPr>
          <w:sz w:val="20"/>
          <w:szCs w:val="20"/>
          <w:color w:val="auto"/>
        </w:rPr>
      </w:pPr>
      <w:r>
        <w:rPr>
          <w:rFonts w:ascii="Arial" w:cs="Arial" w:eastAsia="Arial" w:hAnsi="Arial"/>
          <w:sz w:val="13"/>
          <w:szCs w:val="13"/>
          <w:color w:val="auto"/>
        </w:rPr>
        <w:t>7</w:t>
      </w:r>
      <w:r>
        <w:rPr>
          <w:sz w:val="20"/>
          <w:szCs w:val="20"/>
          <w:color w:val="auto"/>
        </w:rPr>
        <w:tab/>
      </w:r>
      <w:r>
        <w:rPr>
          <w:rFonts w:ascii="Arial" w:cs="Arial" w:eastAsia="Arial" w:hAnsi="Arial"/>
          <w:sz w:val="17"/>
          <w:szCs w:val="17"/>
          <w:color w:val="auto"/>
        </w:rPr>
        <w:t>Bei einer Herabsetzung des Aktienkapitals im Rahmen des Kapitalbands legt der Verwaltungsrat, soweit erforderlich, die Verwendung des Herabsetzungsbetrags fest. Der Verwaltungsrat kann den Herabsetzungsbetrag auch zur teilweisen oder vollständigen Beseitigung einer Unterbilanz im Sinne von Artikel 653p OR verwenden oder das Aktienkapital im Sinne von Artikel 653q OR gleichzeitig herabsetzen und mindestens auf den bisherigen Betrag erhöhen.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48" w:right="20" w:hanging="248"/>
        <w:spacing w:after="0" w:line="304" w:lineRule="auto"/>
        <w:tabs>
          <w:tab w:leader="none" w:pos="248" w:val="left"/>
        </w:tabs>
        <w:numPr>
          <w:ilvl w:val="0"/>
          <w:numId w:val="116"/>
        </w:numPr>
        <w:rPr>
          <w:rFonts w:ascii="Arial" w:cs="Arial" w:eastAsia="Arial" w:hAnsi="Arial"/>
          <w:sz w:val="13"/>
          <w:szCs w:val="13"/>
          <w:color w:val="auto"/>
        </w:rPr>
      </w:pPr>
      <w:r>
        <w:rPr>
          <w:rFonts w:ascii="Arial" w:cs="Arial" w:eastAsia="Arial" w:hAnsi="Arial"/>
          <w:sz w:val="17"/>
          <w:szCs w:val="17"/>
          <w:color w:val="auto"/>
        </w:rPr>
        <w:t>After a change of the par value, new shares shall be issued within the capital range with the same par value as the existing shares.</w:t>
      </w:r>
    </w:p>
    <w:p>
      <w:pPr>
        <w:spacing w:after="0" w:line="118" w:lineRule="exact"/>
        <w:rPr>
          <w:sz w:val="20"/>
          <w:szCs w:val="20"/>
          <w:color w:val="auto"/>
        </w:rPr>
      </w:pPr>
    </w:p>
    <w:p>
      <w:pPr>
        <w:jc w:val="both"/>
        <w:ind w:left="248" w:right="20" w:hanging="248"/>
        <w:spacing w:after="0" w:line="305" w:lineRule="auto"/>
        <w:tabs>
          <w:tab w:leader="none" w:pos="248" w:val="left"/>
        </w:tabs>
        <w:numPr>
          <w:ilvl w:val="0"/>
          <w:numId w:val="117"/>
        </w:numPr>
        <w:rPr>
          <w:rFonts w:ascii="Arial" w:cs="Arial" w:eastAsia="Arial" w:hAnsi="Arial"/>
          <w:sz w:val="13"/>
          <w:szCs w:val="13"/>
          <w:color w:val="auto"/>
        </w:rPr>
      </w:pPr>
      <w:r>
        <w:rPr>
          <w:rFonts w:ascii="Arial" w:cs="Arial" w:eastAsia="Arial" w:hAnsi="Arial"/>
          <w:sz w:val="16"/>
          <w:szCs w:val="16"/>
          <w:color w:val="auto"/>
        </w:rPr>
        <w:t>If the share capital increases as a result of an increase from conditional capital pursuant to Article</w:t>
      </w:r>
    </w:p>
    <w:p>
      <w:pPr>
        <w:jc w:val="both"/>
        <w:ind w:left="248"/>
        <w:spacing w:after="0" w:line="287" w:lineRule="auto"/>
        <w:rPr>
          <w:rFonts w:ascii="Arial" w:cs="Arial" w:eastAsia="Arial" w:hAnsi="Arial"/>
          <w:sz w:val="13"/>
          <w:szCs w:val="13"/>
          <w:color w:val="auto"/>
        </w:rPr>
      </w:pPr>
      <w:r>
        <w:rPr>
          <w:rFonts w:ascii="Arial" w:cs="Arial" w:eastAsia="Arial" w:hAnsi="Arial"/>
          <w:sz w:val="17"/>
          <w:szCs w:val="17"/>
          <w:color w:val="auto"/>
        </w:rPr>
        <w:t>3b and Article 3c of these Articles of Incorporation, the upper limit of the capital range shall increase in</w:t>
      </w:r>
    </w:p>
    <w:p>
      <w:pPr>
        <w:spacing w:after="0" w:line="1" w:lineRule="exact"/>
        <w:rPr>
          <w:rFonts w:ascii="Arial" w:cs="Arial" w:eastAsia="Arial" w:hAnsi="Arial"/>
          <w:sz w:val="13"/>
          <w:szCs w:val="13"/>
          <w:color w:val="auto"/>
        </w:rPr>
      </w:pPr>
    </w:p>
    <w:p>
      <w:pPr>
        <w:ind w:left="248" w:right="20"/>
        <w:spacing w:after="0" w:line="313" w:lineRule="auto"/>
        <w:rPr>
          <w:rFonts w:ascii="Arial" w:cs="Arial" w:eastAsia="Arial" w:hAnsi="Arial"/>
          <w:sz w:val="13"/>
          <w:szCs w:val="13"/>
          <w:color w:val="auto"/>
        </w:rPr>
      </w:pPr>
      <w:r>
        <w:rPr>
          <w:rFonts w:ascii="Arial" w:cs="Arial" w:eastAsia="Arial" w:hAnsi="Arial"/>
          <w:sz w:val="17"/>
          <w:szCs w:val="17"/>
          <w:color w:val="auto"/>
        </w:rPr>
        <w:t>an amount corresponding to such increase in the share capital.</w:t>
      </w:r>
    </w:p>
    <w:p>
      <w:pPr>
        <w:spacing w:after="0" w:line="111" w:lineRule="exact"/>
        <w:rPr>
          <w:sz w:val="20"/>
          <w:szCs w:val="20"/>
          <w:color w:val="auto"/>
        </w:rPr>
      </w:pPr>
    </w:p>
    <w:p>
      <w:pPr>
        <w:jc w:val="both"/>
        <w:ind w:left="248" w:right="20" w:hanging="248"/>
        <w:spacing w:after="0" w:line="305" w:lineRule="auto"/>
        <w:tabs>
          <w:tab w:leader="none" w:pos="248" w:val="left"/>
        </w:tabs>
        <w:numPr>
          <w:ilvl w:val="0"/>
          <w:numId w:val="118"/>
        </w:numPr>
        <w:rPr>
          <w:rFonts w:ascii="Arial" w:cs="Arial" w:eastAsia="Arial" w:hAnsi="Arial"/>
          <w:sz w:val="13"/>
          <w:szCs w:val="13"/>
          <w:color w:val="auto"/>
        </w:rPr>
      </w:pPr>
      <w:r>
        <w:rPr>
          <w:rFonts w:ascii="Arial" w:cs="Arial" w:eastAsia="Arial" w:hAnsi="Arial"/>
          <w:sz w:val="16"/>
          <w:szCs w:val="16"/>
          <w:color w:val="auto"/>
        </w:rPr>
        <w:t>In the event of a reduction of the share capital within the capital range, the board of directors shall,</w:t>
      </w:r>
    </w:p>
    <w:p>
      <w:pPr>
        <w:jc w:val="both"/>
        <w:ind w:left="248"/>
        <w:spacing w:after="0" w:line="287" w:lineRule="auto"/>
        <w:rPr>
          <w:rFonts w:ascii="Arial" w:cs="Arial" w:eastAsia="Arial" w:hAnsi="Arial"/>
          <w:sz w:val="13"/>
          <w:szCs w:val="13"/>
          <w:color w:val="auto"/>
        </w:rPr>
      </w:pPr>
      <w:r>
        <w:rPr>
          <w:rFonts w:ascii="Arial" w:cs="Arial" w:eastAsia="Arial" w:hAnsi="Arial"/>
          <w:sz w:val="17"/>
          <w:szCs w:val="17"/>
          <w:color w:val="auto"/>
        </w:rPr>
        <w:t>to the extent necessary, determine the use of the reduction amount. The board of directors may also</w:t>
      </w:r>
    </w:p>
    <w:p>
      <w:pPr>
        <w:spacing w:after="0" w:line="1" w:lineRule="exact"/>
        <w:rPr>
          <w:rFonts w:ascii="Arial" w:cs="Arial" w:eastAsia="Arial" w:hAnsi="Arial"/>
          <w:sz w:val="13"/>
          <w:szCs w:val="13"/>
          <w:color w:val="auto"/>
        </w:rPr>
      </w:pPr>
    </w:p>
    <w:p>
      <w:pPr>
        <w:jc w:val="both"/>
        <w:ind w:left="248"/>
        <w:spacing w:after="0" w:line="287" w:lineRule="auto"/>
        <w:rPr>
          <w:rFonts w:ascii="Arial" w:cs="Arial" w:eastAsia="Arial" w:hAnsi="Arial"/>
          <w:sz w:val="13"/>
          <w:szCs w:val="13"/>
          <w:color w:val="auto"/>
        </w:rPr>
      </w:pPr>
      <w:r>
        <w:rPr>
          <w:rFonts w:ascii="Arial" w:cs="Arial" w:eastAsia="Arial" w:hAnsi="Arial"/>
          <w:sz w:val="17"/>
          <w:szCs w:val="17"/>
          <w:color w:val="auto"/>
        </w:rPr>
        <w:t>use the reduction amount for the partial or full elimination of a share capital shortfall in the sense</w:t>
      </w:r>
    </w:p>
    <w:p>
      <w:pPr>
        <w:spacing w:after="0" w:line="1" w:lineRule="exact"/>
        <w:rPr>
          <w:rFonts w:ascii="Arial" w:cs="Arial" w:eastAsia="Arial" w:hAnsi="Arial"/>
          <w:sz w:val="13"/>
          <w:szCs w:val="13"/>
          <w:color w:val="auto"/>
        </w:rPr>
      </w:pPr>
    </w:p>
    <w:p>
      <w:pPr>
        <w:jc w:val="both"/>
        <w:ind w:left="248" w:right="20"/>
        <w:spacing w:after="0" w:line="287" w:lineRule="auto"/>
        <w:rPr>
          <w:rFonts w:ascii="Arial" w:cs="Arial" w:eastAsia="Arial" w:hAnsi="Arial"/>
          <w:sz w:val="13"/>
          <w:szCs w:val="13"/>
          <w:color w:val="auto"/>
        </w:rPr>
      </w:pPr>
      <w:r>
        <w:rPr>
          <w:rFonts w:ascii="Arial" w:cs="Arial" w:eastAsia="Arial" w:hAnsi="Arial"/>
          <w:sz w:val="17"/>
          <w:szCs w:val="17"/>
          <w:color w:val="auto"/>
        </w:rPr>
        <w:t>of Article 653p CO or may, in the sense of Article 653q CO, simultaneously reduce and</w:t>
      </w:r>
    </w:p>
    <w:p>
      <w:pPr>
        <w:spacing w:after="0" w:line="1" w:lineRule="exact"/>
        <w:rPr>
          <w:rFonts w:ascii="Arial" w:cs="Arial" w:eastAsia="Arial" w:hAnsi="Arial"/>
          <w:sz w:val="13"/>
          <w:szCs w:val="13"/>
          <w:color w:val="auto"/>
        </w:rPr>
      </w:pPr>
    </w:p>
    <w:p>
      <w:pPr>
        <w:ind w:left="248"/>
        <w:spacing w:after="0" w:line="313" w:lineRule="auto"/>
        <w:rPr>
          <w:rFonts w:ascii="Arial" w:cs="Arial" w:eastAsia="Arial" w:hAnsi="Arial"/>
          <w:sz w:val="13"/>
          <w:szCs w:val="13"/>
          <w:color w:val="auto"/>
        </w:rPr>
      </w:pPr>
      <w:r>
        <w:rPr>
          <w:rFonts w:ascii="Arial" w:cs="Arial" w:eastAsia="Arial" w:hAnsi="Arial"/>
          <w:sz w:val="17"/>
          <w:szCs w:val="17"/>
          <w:color w:val="auto"/>
        </w:rPr>
        <w:t>increase the share capital to at least the previous amount.</w:t>
      </w:r>
    </w:p>
    <w:p>
      <w:pPr>
        <w:spacing w:after="0" w:line="200" w:lineRule="exact"/>
        <w:rPr>
          <w:sz w:val="20"/>
          <w:szCs w:val="20"/>
          <w:color w:val="auto"/>
        </w:rPr>
      </w:pPr>
    </w:p>
    <w:p>
      <w:pPr>
        <w:sectPr>
          <w:pgSz w:w="11900" w:h="16838" w:orient="portrait"/>
          <w:cols w:equalWidth="0" w:num="2">
            <w:col w:w="5732" w:space="720"/>
            <w:col w:w="4108"/>
          </w:cols>
          <w:pgMar w:left="360" w:top="132" w:right="979" w:bottom="1440" w:gutter="0" w:footer="0" w:header="0"/>
          <w:type w:val="continuous"/>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Arial" w:cs="Arial" w:eastAsia="Arial" w:hAnsi="Arial"/>
                <w:sz w:val="17"/>
                <w:szCs w:val="17"/>
                <w:b w:val="1"/>
                <w:bCs w:val="1"/>
                <w:color w:val="auto"/>
              </w:rPr>
              <w:t>Artikel 3b</w:t>
            </w:r>
          </w:p>
        </w:tc>
        <w:tc>
          <w:tcPr>
            <w:tcW w:w="1020" w:type="dxa"/>
            <w:vAlign w:val="bottom"/>
          </w:tcPr>
          <w:p>
            <w:pPr>
              <w:spacing w:after="0"/>
              <w:rPr>
                <w:sz w:val="20"/>
                <w:szCs w:val="20"/>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3"/>
                <w:szCs w:val="13"/>
                <w:color w:val="auto"/>
              </w:rPr>
              <w:t>Bedingtes</w:t>
            </w:r>
          </w:p>
        </w:tc>
        <w:tc>
          <w:tcPr>
            <w:tcW w:w="4180" w:type="dxa"/>
            <w:vAlign w:val="bottom"/>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Das Aktienkapital kann sich durch Ausgabe von</w:t>
            </w:r>
          </w:p>
        </w:tc>
        <w:tc>
          <w:tcPr>
            <w:tcW w:w="1020" w:type="dxa"/>
            <w:vAlign w:val="bottom"/>
          </w:tcPr>
          <w:p>
            <w:pPr>
              <w:ind w:left="80"/>
              <w:spacing w:after="0"/>
              <w:rPr>
                <w:sz w:val="20"/>
                <w:szCs w:val="20"/>
                <w:color w:val="auto"/>
              </w:rPr>
            </w:pPr>
            <w:r>
              <w:rPr>
                <w:rFonts w:ascii="Arial" w:cs="Arial" w:eastAsia="Arial" w:hAnsi="Arial"/>
                <w:sz w:val="13"/>
                <w:szCs w:val="13"/>
                <w:color w:val="auto"/>
              </w:rPr>
              <w:t>Conditional   1</w:t>
            </w:r>
          </w:p>
        </w:tc>
      </w:tr>
      <w:tr>
        <w:trPr>
          <w:trHeight w:val="228"/>
        </w:trPr>
        <w:tc>
          <w:tcPr>
            <w:tcW w:w="1320" w:type="dxa"/>
            <w:vAlign w:val="bottom"/>
          </w:tcPr>
          <w:p>
            <w:pPr>
              <w:spacing w:after="0"/>
              <w:rPr>
                <w:sz w:val="20"/>
                <w:szCs w:val="20"/>
                <w:color w:val="auto"/>
              </w:rPr>
            </w:pPr>
            <w:r>
              <w:rPr>
                <w:rFonts w:ascii="Arial" w:cs="Arial" w:eastAsia="Arial" w:hAnsi="Arial"/>
                <w:sz w:val="13"/>
                <w:szCs w:val="13"/>
                <w:color w:val="auto"/>
              </w:rPr>
              <w:t>Aktienkapital für</w:t>
            </w:r>
          </w:p>
        </w:tc>
        <w:tc>
          <w:tcPr>
            <w:tcW w:w="4180" w:type="dxa"/>
            <w:vAlign w:val="bottom"/>
          </w:tcPr>
          <w:p>
            <w:pPr>
              <w:ind w:left="260"/>
              <w:spacing w:after="0"/>
              <w:rPr>
                <w:sz w:val="20"/>
                <w:szCs w:val="20"/>
                <w:color w:val="auto"/>
              </w:rPr>
            </w:pPr>
            <w:r>
              <w:rPr>
                <w:rFonts w:ascii="Arial" w:cs="Arial" w:eastAsia="Arial" w:hAnsi="Arial"/>
                <w:sz w:val="17"/>
                <w:szCs w:val="17"/>
                <w:color w:val="auto"/>
              </w:rPr>
              <w:t>höchstens   3'634’190   voll   zu   liberierenden</w:t>
            </w:r>
          </w:p>
        </w:tc>
        <w:tc>
          <w:tcPr>
            <w:tcW w:w="1020" w:type="dxa"/>
            <w:vAlign w:val="bottom"/>
          </w:tcPr>
          <w:p>
            <w:pPr>
              <w:ind w:left="80"/>
              <w:spacing w:after="0"/>
              <w:rPr>
                <w:sz w:val="20"/>
                <w:szCs w:val="20"/>
                <w:color w:val="auto"/>
              </w:rPr>
            </w:pPr>
            <w:r>
              <w:rPr>
                <w:rFonts w:ascii="Arial" w:cs="Arial" w:eastAsia="Arial" w:hAnsi="Arial"/>
                <w:sz w:val="13"/>
                <w:szCs w:val="13"/>
                <w:color w:val="auto"/>
              </w:rPr>
              <w:t>Share</w:t>
            </w:r>
          </w:p>
        </w:tc>
      </w:tr>
      <w:tr>
        <w:trPr>
          <w:trHeight w:val="241"/>
        </w:trPr>
        <w:tc>
          <w:tcPr>
            <w:tcW w:w="1320" w:type="dxa"/>
            <w:vAlign w:val="bottom"/>
          </w:tcPr>
          <w:p>
            <w:pPr>
              <w:spacing w:after="0"/>
              <w:rPr>
                <w:sz w:val="20"/>
                <w:szCs w:val="20"/>
                <w:color w:val="auto"/>
              </w:rPr>
            </w:pPr>
            <w:r>
              <w:rPr>
                <w:rFonts w:ascii="Arial" w:cs="Arial" w:eastAsia="Arial" w:hAnsi="Arial"/>
                <w:sz w:val="13"/>
                <w:szCs w:val="13"/>
                <w:color w:val="auto"/>
              </w:rPr>
              <w:t>Mitarbeiterbeteiligung</w:t>
            </w:r>
          </w:p>
        </w:tc>
        <w:tc>
          <w:tcPr>
            <w:tcW w:w="4180" w:type="dxa"/>
            <w:vAlign w:val="bottom"/>
          </w:tcPr>
          <w:p>
            <w:pPr>
              <w:ind w:left="260"/>
              <w:spacing w:after="0"/>
              <w:rPr>
                <w:sz w:val="20"/>
                <w:szCs w:val="20"/>
                <w:color w:val="auto"/>
              </w:rPr>
            </w:pPr>
            <w:r>
              <w:rPr>
                <w:rFonts w:ascii="Arial" w:cs="Arial" w:eastAsia="Arial" w:hAnsi="Arial"/>
                <w:sz w:val="17"/>
                <w:szCs w:val="17"/>
                <w:color w:val="auto"/>
              </w:rPr>
              <w:t>Namenaktien im Nennwert von je CHF 0.10 um</w:t>
            </w:r>
          </w:p>
        </w:tc>
        <w:tc>
          <w:tcPr>
            <w:tcW w:w="1020" w:type="dxa"/>
            <w:vAlign w:val="bottom"/>
          </w:tcPr>
          <w:p>
            <w:pPr>
              <w:ind w:left="80"/>
              <w:spacing w:after="0"/>
              <w:rPr>
                <w:sz w:val="20"/>
                <w:szCs w:val="20"/>
                <w:color w:val="auto"/>
              </w:rPr>
            </w:pPr>
            <w:r>
              <w:rPr>
                <w:rFonts w:ascii="Arial" w:cs="Arial" w:eastAsia="Arial" w:hAnsi="Arial"/>
                <w:sz w:val="13"/>
                <w:szCs w:val="13"/>
                <w:color w:val="auto"/>
              </w:rPr>
              <w:t>Capital for</w:t>
            </w:r>
          </w:p>
        </w:tc>
      </w:tr>
      <w:tr>
        <w:trPr>
          <w:trHeight w:val="228"/>
        </w:trPr>
        <w:tc>
          <w:tcPr>
            <w:tcW w:w="132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höchstens  CHF  363’419  erhöhen  durch  direkte</w:t>
            </w:r>
          </w:p>
        </w:tc>
        <w:tc>
          <w:tcPr>
            <w:tcW w:w="1020" w:type="dxa"/>
            <w:vAlign w:val="bottom"/>
          </w:tcPr>
          <w:p>
            <w:pPr>
              <w:ind w:left="80"/>
              <w:spacing w:after="0"/>
              <w:rPr>
                <w:sz w:val="20"/>
                <w:szCs w:val="20"/>
                <w:color w:val="auto"/>
              </w:rPr>
            </w:pPr>
            <w:r>
              <w:rPr>
                <w:rFonts w:ascii="Arial" w:cs="Arial" w:eastAsia="Arial" w:hAnsi="Arial"/>
                <w:sz w:val="13"/>
                <w:szCs w:val="13"/>
                <w:color w:val="auto"/>
              </w:rPr>
              <w:t>Employee</w:t>
            </w:r>
          </w:p>
        </w:tc>
      </w:tr>
      <w:tr>
        <w:trPr>
          <w:trHeight w:val="241"/>
        </w:trPr>
        <w:tc>
          <w:tcPr>
            <w:tcW w:w="13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oder indirekte Ausgabe von Aktien, Optionen oder</w:t>
            </w:r>
          </w:p>
        </w:tc>
        <w:tc>
          <w:tcPr>
            <w:tcW w:w="1020" w:type="dxa"/>
            <w:vAlign w:val="bottom"/>
          </w:tcPr>
          <w:p>
            <w:pPr>
              <w:ind w:left="80"/>
              <w:spacing w:after="0"/>
              <w:rPr>
                <w:sz w:val="20"/>
                <w:szCs w:val="20"/>
                <w:color w:val="auto"/>
              </w:rPr>
            </w:pPr>
            <w:r>
              <w:rPr>
                <w:rFonts w:ascii="Arial" w:cs="Arial" w:eastAsia="Arial" w:hAnsi="Arial"/>
                <w:sz w:val="13"/>
                <w:szCs w:val="13"/>
                <w:color w:val="auto"/>
              </w:rPr>
              <w:t>Participation</w:t>
            </w:r>
          </w:p>
        </w:tc>
      </w:tr>
      <w:tr>
        <w:trPr>
          <w:trHeight w:val="228"/>
        </w:trPr>
        <w:tc>
          <w:tcPr>
            <w:tcW w:w="132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diesbezüglichen Bezugsrechten an Mitarbeiter und</w:t>
            </w:r>
          </w:p>
        </w:tc>
        <w:tc>
          <w:tcPr>
            <w:tcW w:w="1020" w:type="dxa"/>
            <w:vAlign w:val="bottom"/>
          </w:tcPr>
          <w:p>
            <w:pPr>
              <w:spacing w:after="0"/>
              <w:rPr>
                <w:sz w:val="19"/>
                <w:szCs w:val="19"/>
                <w:color w:val="auto"/>
              </w:rPr>
            </w:pPr>
          </w:p>
        </w:tc>
      </w:tr>
      <w:tr>
        <w:trPr>
          <w:trHeight w:val="241"/>
        </w:trPr>
        <w:tc>
          <w:tcPr>
            <w:tcW w:w="13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Mitglieder  des  Verwaltungsrats  der  Gesellschaft</w:t>
            </w:r>
          </w:p>
        </w:tc>
        <w:tc>
          <w:tcPr>
            <w:tcW w:w="1020" w:type="dxa"/>
            <w:vAlign w:val="bottom"/>
          </w:tcPr>
          <w:p>
            <w:pPr>
              <w:spacing w:after="0"/>
              <w:rPr>
                <w:sz w:val="20"/>
                <w:szCs w:val="20"/>
                <w:color w:val="auto"/>
              </w:rPr>
            </w:pPr>
          </w:p>
        </w:tc>
      </w:tr>
      <w:tr>
        <w:trPr>
          <w:trHeight w:val="228"/>
        </w:trPr>
        <w:tc>
          <w:tcPr>
            <w:tcW w:w="132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und   ihrer   Konzerngesellschaften   sowie   an</w:t>
            </w:r>
          </w:p>
        </w:tc>
        <w:tc>
          <w:tcPr>
            <w:tcW w:w="1020" w:type="dxa"/>
            <w:vAlign w:val="bottom"/>
          </w:tcPr>
          <w:p>
            <w:pPr>
              <w:spacing w:after="0"/>
              <w:rPr>
                <w:sz w:val="19"/>
                <w:szCs w:val="19"/>
                <w:color w:val="auto"/>
              </w:rPr>
            </w:pPr>
          </w:p>
        </w:tc>
      </w:tr>
      <w:tr>
        <w:trPr>
          <w:trHeight w:val="241"/>
        </w:trPr>
        <w:tc>
          <w:tcPr>
            <w:tcW w:w="13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Arial" w:cs="Arial" w:eastAsia="Arial" w:hAnsi="Arial"/>
                <w:sz w:val="17"/>
                <w:szCs w:val="17"/>
                <w:color w:val="auto"/>
              </w:rPr>
              <w:t>Mitglieder von Beiräten.</w:t>
            </w: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3b</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share capital may be increased in an amount not to exceed CHF 363,419 through the issuance of up to 3,634,190 fully paid up registered shares with a par value of CHF 0.10 per share through the direct or indirect issuance of shares, options or preemptive rights thereof granted to employees and members of the board of directors of the Company or its subsidiaries as well as to members of any advisory boards.</w:t>
      </w:r>
    </w:p>
    <w:p>
      <w:pPr>
        <w:spacing w:after="0" w:line="134" w:lineRule="exact"/>
        <w:rPr>
          <w:sz w:val="20"/>
          <w:szCs w:val="20"/>
          <w:color w:val="auto"/>
        </w:rPr>
      </w:pPr>
    </w:p>
    <w:p>
      <w:pPr>
        <w:sectPr>
          <w:pgSz w:w="11900" w:h="16838" w:orient="portrait"/>
          <w:cols w:equalWidth="0" w:num="2">
            <w:col w:w="6520" w:space="180"/>
            <w:col w:w="3860"/>
          </w:cols>
          <w:pgMar w:left="360" w:top="132" w:right="979" w:bottom="1440" w:gutter="0" w:footer="0" w:header="0"/>
          <w:type w:val="continuous"/>
        </w:sectPr>
      </w:pPr>
    </w:p>
    <w:p>
      <w:pPr>
        <w:jc w:val="both"/>
        <w:ind w:left="1580" w:right="312" w:hanging="239"/>
        <w:spacing w:after="0" w:line="311" w:lineRule="auto"/>
        <w:tabs>
          <w:tab w:leader="none" w:pos="15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6"/>
          <w:szCs w:val="16"/>
          <w:color w:val="auto"/>
        </w:rPr>
        <w:t>Bei der Ausgabe von Aktien, Optionen oder diesbezüglichen Bezugsrechten sind das Bezugsrecht wie auch das Vorwegzeichnungsrecht der Aktionäre der Gesellschaft ausgeschlossen. Die Ausgabe von Aktien, Optionen oder diesbezüglichen Bezugsrechten erfolgt gemäss einem oder mehreren vom Verwaltungsrat oder, soweit an ihn delegiert, vom Vergütungsausschuss zu erlassenden Beteiligungsplänen, Reglementen oder Beschlüssen und unter Beachtung von Abschnitt 4 dieser Statuten.</w:t>
      </w:r>
    </w:p>
    <w:p>
      <w:pPr>
        <w:spacing w:after="0" w:line="20" w:lineRule="exact"/>
        <w:rPr>
          <w:sz w:val="20"/>
          <w:szCs w:val="20"/>
          <w:color w:val="auto"/>
        </w:rPr>
      </w:pPr>
      <w:r>
        <w:rPr>
          <w:sz w:val="20"/>
          <w:szCs w:val="20"/>
          <w:color w:val="auto"/>
        </w:rPr>
        <w:br w:type="column"/>
      </w:r>
    </w:p>
    <w:p>
      <w:pPr>
        <w:jc w:val="both"/>
        <w:ind w:left="248" w:hanging="248"/>
        <w:spacing w:after="0" w:line="287" w:lineRule="auto"/>
        <w:tabs>
          <w:tab w:leader="none" w:pos="248" w:val="left"/>
        </w:tabs>
        <w:numPr>
          <w:ilvl w:val="0"/>
          <w:numId w:val="119"/>
        </w:numPr>
        <w:rPr>
          <w:rFonts w:ascii="Arial" w:cs="Arial" w:eastAsia="Arial" w:hAnsi="Arial"/>
          <w:sz w:val="13"/>
          <w:szCs w:val="13"/>
          <w:color w:val="auto"/>
        </w:rPr>
      </w:pPr>
      <w:r>
        <w:rPr>
          <w:rFonts w:ascii="Arial" w:cs="Arial" w:eastAsia="Arial" w:hAnsi="Arial"/>
          <w:sz w:val="17"/>
          <w:szCs w:val="17"/>
          <w:color w:val="auto"/>
        </w:rPr>
        <w:t>The preemptive rights and advance subscription rights of the shareholders of the Company shall be</w:t>
      </w:r>
    </w:p>
    <w:p>
      <w:pPr>
        <w:spacing w:after="0" w:line="1" w:lineRule="exact"/>
        <w:rPr>
          <w:rFonts w:ascii="Arial" w:cs="Arial" w:eastAsia="Arial" w:hAnsi="Arial"/>
          <w:sz w:val="13"/>
          <w:szCs w:val="13"/>
          <w:color w:val="auto"/>
        </w:rPr>
      </w:pPr>
    </w:p>
    <w:p>
      <w:pPr>
        <w:jc w:val="both"/>
        <w:ind w:left="248"/>
        <w:spacing w:after="0" w:line="287" w:lineRule="auto"/>
        <w:rPr>
          <w:rFonts w:ascii="Arial" w:cs="Arial" w:eastAsia="Arial" w:hAnsi="Arial"/>
          <w:sz w:val="13"/>
          <w:szCs w:val="13"/>
          <w:color w:val="auto"/>
        </w:rPr>
      </w:pPr>
      <w:r>
        <w:rPr>
          <w:rFonts w:ascii="Arial" w:cs="Arial" w:eastAsia="Arial" w:hAnsi="Arial"/>
          <w:sz w:val="17"/>
          <w:szCs w:val="17"/>
          <w:color w:val="auto"/>
        </w:rPr>
        <w:t>excluded in connection with the issuance of any shares, options or preemptive rights thereof.</w:t>
      </w:r>
    </w:p>
    <w:p>
      <w:pPr>
        <w:spacing w:after="0" w:line="1" w:lineRule="exact"/>
        <w:rPr>
          <w:rFonts w:ascii="Arial" w:cs="Arial" w:eastAsia="Arial" w:hAnsi="Arial"/>
          <w:sz w:val="13"/>
          <w:szCs w:val="13"/>
          <w:color w:val="auto"/>
        </w:rPr>
      </w:pPr>
    </w:p>
    <w:p>
      <w:pPr>
        <w:jc w:val="both"/>
        <w:ind w:left="248"/>
        <w:spacing w:after="0" w:line="287" w:lineRule="auto"/>
        <w:rPr>
          <w:rFonts w:ascii="Arial" w:cs="Arial" w:eastAsia="Arial" w:hAnsi="Arial"/>
          <w:sz w:val="13"/>
          <w:szCs w:val="13"/>
          <w:color w:val="auto"/>
        </w:rPr>
      </w:pPr>
      <w:r>
        <w:rPr>
          <w:rFonts w:ascii="Arial" w:cs="Arial" w:eastAsia="Arial" w:hAnsi="Arial"/>
          <w:sz w:val="17"/>
          <w:szCs w:val="17"/>
          <w:color w:val="auto"/>
        </w:rPr>
        <w:t>Shares, options or preemptive rights thereof shall be issued in accordance with one or more</w:t>
      </w:r>
    </w:p>
    <w:p>
      <w:pPr>
        <w:spacing w:after="0" w:line="1" w:lineRule="exact"/>
        <w:rPr>
          <w:rFonts w:ascii="Arial" w:cs="Arial" w:eastAsia="Arial" w:hAnsi="Arial"/>
          <w:sz w:val="13"/>
          <w:szCs w:val="13"/>
          <w:color w:val="auto"/>
        </w:rPr>
      </w:pPr>
    </w:p>
    <w:p>
      <w:pPr>
        <w:jc w:val="both"/>
        <w:ind w:left="248" w:right="20"/>
        <w:spacing w:after="0" w:line="287" w:lineRule="auto"/>
        <w:rPr>
          <w:rFonts w:ascii="Arial" w:cs="Arial" w:eastAsia="Arial" w:hAnsi="Arial"/>
          <w:sz w:val="13"/>
          <w:szCs w:val="13"/>
          <w:color w:val="auto"/>
        </w:rPr>
      </w:pPr>
      <w:r>
        <w:rPr>
          <w:rFonts w:ascii="Arial" w:cs="Arial" w:eastAsia="Arial" w:hAnsi="Arial"/>
          <w:sz w:val="17"/>
          <w:szCs w:val="17"/>
          <w:color w:val="auto"/>
        </w:rPr>
        <w:t>participation plans, policies or resolutions to be issued by the board of directors or, to the extent</w:t>
      </w:r>
    </w:p>
    <w:p>
      <w:pPr>
        <w:spacing w:after="0" w:line="1" w:lineRule="exact"/>
        <w:rPr>
          <w:rFonts w:ascii="Arial" w:cs="Arial" w:eastAsia="Arial" w:hAnsi="Arial"/>
          <w:sz w:val="13"/>
          <w:szCs w:val="13"/>
          <w:color w:val="auto"/>
        </w:rPr>
      </w:pPr>
    </w:p>
    <w:p>
      <w:pPr>
        <w:jc w:val="both"/>
        <w:ind w:left="248" w:right="20"/>
        <w:spacing w:after="0" w:line="304" w:lineRule="auto"/>
        <w:rPr>
          <w:rFonts w:ascii="Arial" w:cs="Arial" w:eastAsia="Arial" w:hAnsi="Arial"/>
          <w:sz w:val="13"/>
          <w:szCs w:val="13"/>
          <w:color w:val="auto"/>
        </w:rPr>
      </w:pPr>
      <w:r>
        <w:rPr>
          <w:rFonts w:ascii="Arial" w:cs="Arial" w:eastAsia="Arial" w:hAnsi="Arial"/>
          <w:sz w:val="17"/>
          <w:szCs w:val="17"/>
          <w:color w:val="auto"/>
        </w:rPr>
        <w:t>delegated to it, the compensation committee and in accordance with Section 4 of these Articles of Incorporation.</w:t>
      </w:r>
    </w:p>
    <w:p>
      <w:pPr>
        <w:sectPr>
          <w:pgSz w:w="11900" w:h="16838" w:orient="portrait"/>
          <w:cols w:equalWidth="0" w:num="2">
            <w:col w:w="5732" w:space="720"/>
            <w:col w:w="4108"/>
          </w:cols>
          <w:pgMar w:left="360" w:top="132" w:right="979" w:bottom="1440" w:gutter="0" w:footer="0" w:header="0"/>
          <w:type w:val="continuous"/>
        </w:sectPr>
      </w:pPr>
    </w:p>
    <w:bookmarkStart w:id="228" w:name="page229"/>
    <w:bookmarkEnd w:id="228"/>
    <w:p>
      <w:pPr>
        <w:ind w:left="5460"/>
        <w:spacing w:after="0"/>
        <w:rPr>
          <w:sz w:val="20"/>
          <w:szCs w:val="20"/>
          <w:color w:val="auto"/>
        </w:rPr>
      </w:pPr>
      <w:r>
        <w:rPr>
          <w:rFonts w:ascii="Arial" w:cs="Arial" w:eastAsia="Arial" w:hAnsi="Arial"/>
          <w:sz w:val="13"/>
          <w:szCs w:val="13"/>
          <w:color w:val="auto"/>
        </w:rPr>
        <w:t>- 7 -</w:t>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right="313" w:hanging="243"/>
        <w:spacing w:after="0" w:line="287" w:lineRule="auto"/>
        <w:tabs>
          <w:tab w:leader="none" w:pos="1300" w:val="left"/>
        </w:tabs>
        <w:numPr>
          <w:ilvl w:val="0"/>
          <w:numId w:val="120"/>
        </w:numPr>
        <w:rPr>
          <w:rFonts w:ascii="Arial" w:cs="Arial" w:eastAsia="Arial" w:hAnsi="Arial"/>
          <w:sz w:val="13"/>
          <w:szCs w:val="13"/>
          <w:color w:val="auto"/>
        </w:rPr>
      </w:pPr>
      <w:r>
        <w:rPr>
          <w:rFonts w:ascii="Arial" w:cs="Arial" w:eastAsia="Arial" w:hAnsi="Arial"/>
          <w:sz w:val="17"/>
          <w:szCs w:val="17"/>
          <w:color w:val="auto"/>
        </w:rPr>
        <w:t>Die Erklärung über den Erwerb von Aktien gestützt auf diesen Artikel 3b hat auf diesen Artikel 3b</w:t>
      </w:r>
    </w:p>
    <w:p>
      <w:pPr>
        <w:spacing w:after="0" w:line="1" w:lineRule="exact"/>
        <w:rPr>
          <w:rFonts w:ascii="Arial" w:cs="Arial" w:eastAsia="Arial" w:hAnsi="Arial"/>
          <w:sz w:val="13"/>
          <w:szCs w:val="13"/>
          <w:color w:val="auto"/>
        </w:rPr>
      </w:pPr>
    </w:p>
    <w:p>
      <w:pPr>
        <w:jc w:val="both"/>
        <w:ind w:left="1300" w:right="313"/>
        <w:spacing w:after="0" w:line="287" w:lineRule="auto"/>
        <w:rPr>
          <w:rFonts w:ascii="Arial" w:cs="Arial" w:eastAsia="Arial" w:hAnsi="Arial"/>
          <w:sz w:val="13"/>
          <w:szCs w:val="13"/>
          <w:color w:val="auto"/>
        </w:rPr>
      </w:pPr>
      <w:r>
        <w:rPr>
          <w:rFonts w:ascii="Arial" w:cs="Arial" w:eastAsia="Arial" w:hAnsi="Arial"/>
          <w:sz w:val="17"/>
          <w:szCs w:val="17"/>
          <w:color w:val="auto"/>
        </w:rPr>
        <w:t>hinzuweisen und in einer Form, die den Nachweis durch Text ermöglicht, zu erfolgen. Ein Verzicht auf</w:t>
      </w:r>
    </w:p>
    <w:p>
      <w:pPr>
        <w:spacing w:after="0" w:line="1" w:lineRule="exact"/>
        <w:rPr>
          <w:rFonts w:ascii="Arial" w:cs="Arial" w:eastAsia="Arial" w:hAnsi="Arial"/>
          <w:sz w:val="13"/>
          <w:szCs w:val="13"/>
          <w:color w:val="auto"/>
        </w:rPr>
      </w:pPr>
    </w:p>
    <w:p>
      <w:pPr>
        <w:jc w:val="both"/>
        <w:ind w:left="1300" w:right="313"/>
        <w:spacing w:after="0" w:line="287" w:lineRule="auto"/>
        <w:rPr>
          <w:rFonts w:ascii="Arial" w:cs="Arial" w:eastAsia="Arial" w:hAnsi="Arial"/>
          <w:sz w:val="13"/>
          <w:szCs w:val="13"/>
          <w:color w:val="auto"/>
        </w:rPr>
      </w:pPr>
      <w:r>
        <w:rPr>
          <w:rFonts w:ascii="Arial" w:cs="Arial" w:eastAsia="Arial" w:hAnsi="Arial"/>
          <w:sz w:val="17"/>
          <w:szCs w:val="17"/>
          <w:color w:val="auto"/>
        </w:rPr>
        <w:t>ein Recht auf Erwerb von Aktien gestützt auf diesen Artikel 3b kann auch formlos oder durch Zeitablauf</w:t>
      </w:r>
    </w:p>
    <w:p>
      <w:pPr>
        <w:spacing w:after="0" w:line="1" w:lineRule="exact"/>
        <w:rPr>
          <w:rFonts w:ascii="Arial" w:cs="Arial" w:eastAsia="Arial" w:hAnsi="Arial"/>
          <w:sz w:val="13"/>
          <w:szCs w:val="13"/>
          <w:color w:val="auto"/>
        </w:rPr>
      </w:pPr>
    </w:p>
    <w:p>
      <w:pPr>
        <w:ind w:left="1300" w:right="313"/>
        <w:spacing w:after="0" w:line="313" w:lineRule="auto"/>
        <w:rPr>
          <w:rFonts w:ascii="Arial" w:cs="Arial" w:eastAsia="Arial" w:hAnsi="Arial"/>
          <w:sz w:val="13"/>
          <w:szCs w:val="13"/>
          <w:color w:val="auto"/>
        </w:rPr>
      </w:pPr>
      <w:r>
        <w:rPr>
          <w:rFonts w:ascii="Arial" w:cs="Arial" w:eastAsia="Arial" w:hAnsi="Arial"/>
          <w:sz w:val="17"/>
          <w:szCs w:val="17"/>
          <w:color w:val="auto"/>
        </w:rPr>
        <w:t>erfolgen; das gilt auch für den Verzicht auf die Ausübung und den Verfall dieses Rechts.</w:t>
      </w:r>
    </w:p>
    <w:p>
      <w:pPr>
        <w:spacing w:after="0" w:line="111" w:lineRule="exact"/>
        <w:rPr>
          <w:sz w:val="20"/>
          <w:szCs w:val="20"/>
          <w:color w:val="auto"/>
        </w:rPr>
      </w:pPr>
    </w:p>
    <w:p>
      <w:pPr>
        <w:jc w:val="both"/>
        <w:ind w:left="1300" w:right="313" w:hanging="239"/>
        <w:spacing w:after="0" w:line="285" w:lineRule="auto"/>
        <w:tabs>
          <w:tab w:leader="none" w:pos="128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7"/>
          <w:szCs w:val="17"/>
          <w:color w:val="auto"/>
        </w:rPr>
        <w:t>Die neuen Aktien, welche durch Mitarbeiter, Mitglieder des Verwaltungsrats der Gesellschaft und ihrer Konzerngesellschaften oder Mitglieder von</w:t>
      </w:r>
    </w:p>
    <w:p>
      <w:pPr>
        <w:jc w:val="both"/>
        <w:ind w:left="1300" w:right="313"/>
        <w:spacing w:after="0" w:line="296" w:lineRule="auto"/>
        <w:rPr>
          <w:sz w:val="20"/>
          <w:szCs w:val="20"/>
          <w:color w:val="auto"/>
        </w:rPr>
      </w:pPr>
      <w:r>
        <w:rPr>
          <w:rFonts w:ascii="Arial" w:cs="Arial" w:eastAsia="Arial" w:hAnsi="Arial"/>
          <w:sz w:val="17"/>
          <w:szCs w:val="17"/>
          <w:color w:val="auto"/>
        </w:rPr>
        <w:t>Beiräten im Rahmen eines Mitarbeiterbeteiligungsprogramms direkt oder indirekt erworben werden, sowie jede nachfolgende Übertragung der Aktien unterliegen den Beschränkungen von Artikel 5 dieser Statuten.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47" w:hanging="247"/>
        <w:spacing w:after="0" w:line="287" w:lineRule="auto"/>
        <w:tabs>
          <w:tab w:leader="none" w:pos="247" w:val="left"/>
        </w:tabs>
        <w:numPr>
          <w:ilvl w:val="0"/>
          <w:numId w:val="121"/>
        </w:numPr>
        <w:rPr>
          <w:rFonts w:ascii="Arial" w:cs="Arial" w:eastAsia="Arial" w:hAnsi="Arial"/>
          <w:sz w:val="13"/>
          <w:szCs w:val="13"/>
          <w:color w:val="auto"/>
        </w:rPr>
      </w:pPr>
      <w:r>
        <w:rPr>
          <w:rFonts w:ascii="Arial" w:cs="Arial" w:eastAsia="Arial" w:hAnsi="Arial"/>
          <w:sz w:val="17"/>
          <w:szCs w:val="17"/>
          <w:color w:val="auto"/>
        </w:rPr>
        <w:t>The declaration of acquisition of the shares based on this Article 3b shall refer to this Article 3b and be</w:t>
      </w:r>
    </w:p>
    <w:p>
      <w:pPr>
        <w:spacing w:after="0" w:line="1" w:lineRule="exact"/>
        <w:rPr>
          <w:rFonts w:ascii="Arial" w:cs="Arial" w:eastAsia="Arial" w:hAnsi="Arial"/>
          <w:sz w:val="13"/>
          <w:szCs w:val="13"/>
          <w:color w:val="auto"/>
        </w:rPr>
      </w:pPr>
    </w:p>
    <w:p>
      <w:pPr>
        <w:jc w:val="both"/>
        <w:ind w:left="247" w:right="20"/>
        <w:spacing w:after="0" w:line="287" w:lineRule="auto"/>
        <w:rPr>
          <w:rFonts w:ascii="Arial" w:cs="Arial" w:eastAsia="Arial" w:hAnsi="Arial"/>
          <w:sz w:val="13"/>
          <w:szCs w:val="13"/>
          <w:color w:val="auto"/>
        </w:rPr>
      </w:pPr>
      <w:r>
        <w:rPr>
          <w:rFonts w:ascii="Arial" w:cs="Arial" w:eastAsia="Arial" w:hAnsi="Arial"/>
          <w:sz w:val="17"/>
          <w:szCs w:val="17"/>
          <w:color w:val="auto"/>
        </w:rPr>
        <w:t>made in a form that allows proof by text. A waiver of the right to acquire shares based on this Article 3b</w:t>
      </w:r>
    </w:p>
    <w:p>
      <w:pPr>
        <w:spacing w:after="0" w:line="1" w:lineRule="exact"/>
        <w:rPr>
          <w:rFonts w:ascii="Arial" w:cs="Arial" w:eastAsia="Arial" w:hAnsi="Arial"/>
          <w:sz w:val="13"/>
          <w:szCs w:val="13"/>
          <w:color w:val="auto"/>
        </w:rPr>
      </w:pPr>
    </w:p>
    <w:p>
      <w:pPr>
        <w:jc w:val="both"/>
        <w:ind w:left="247" w:right="20"/>
        <w:spacing w:after="0" w:line="304" w:lineRule="auto"/>
        <w:rPr>
          <w:rFonts w:ascii="Arial" w:cs="Arial" w:eastAsia="Arial" w:hAnsi="Arial"/>
          <w:sz w:val="13"/>
          <w:szCs w:val="13"/>
          <w:color w:val="auto"/>
        </w:rPr>
      </w:pPr>
      <w:r>
        <w:rPr>
          <w:rFonts w:ascii="Arial" w:cs="Arial" w:eastAsia="Arial" w:hAnsi="Arial"/>
          <w:sz w:val="17"/>
          <w:szCs w:val="17"/>
          <w:color w:val="auto"/>
        </w:rPr>
        <w:t>may also occur informally or by lapse of time; this also applies to the waiver of the exercise and forfeiture of this right.</w:t>
      </w:r>
    </w:p>
    <w:p>
      <w:pPr>
        <w:spacing w:after="0" w:line="346" w:lineRule="exact"/>
        <w:rPr>
          <w:sz w:val="20"/>
          <w:szCs w:val="20"/>
          <w:color w:val="auto"/>
        </w:rPr>
      </w:pPr>
    </w:p>
    <w:p>
      <w:pPr>
        <w:jc w:val="both"/>
        <w:ind w:left="247" w:right="20" w:hanging="247"/>
        <w:spacing w:after="0" w:line="287" w:lineRule="auto"/>
        <w:tabs>
          <w:tab w:leader="none" w:pos="247" w:val="left"/>
        </w:tabs>
        <w:numPr>
          <w:ilvl w:val="0"/>
          <w:numId w:val="122"/>
        </w:numPr>
        <w:rPr>
          <w:rFonts w:ascii="Arial" w:cs="Arial" w:eastAsia="Arial" w:hAnsi="Arial"/>
          <w:sz w:val="13"/>
          <w:szCs w:val="13"/>
          <w:color w:val="auto"/>
        </w:rPr>
      </w:pPr>
      <w:r>
        <w:rPr>
          <w:rFonts w:ascii="Arial" w:cs="Arial" w:eastAsia="Arial" w:hAnsi="Arial"/>
          <w:sz w:val="17"/>
          <w:szCs w:val="17"/>
          <w:color w:val="auto"/>
        </w:rPr>
        <w:t>The new shares directly or indirectly acquired by employees, members of the board of directors of the</w:t>
      </w:r>
    </w:p>
    <w:p>
      <w:pPr>
        <w:spacing w:after="0" w:line="1" w:lineRule="exact"/>
        <w:rPr>
          <w:rFonts w:ascii="Arial" w:cs="Arial" w:eastAsia="Arial" w:hAnsi="Arial"/>
          <w:sz w:val="13"/>
          <w:szCs w:val="13"/>
          <w:color w:val="auto"/>
        </w:rPr>
      </w:pPr>
    </w:p>
    <w:p>
      <w:pPr>
        <w:jc w:val="both"/>
        <w:ind w:left="247"/>
        <w:spacing w:after="0" w:line="287" w:lineRule="auto"/>
        <w:rPr>
          <w:rFonts w:ascii="Arial" w:cs="Arial" w:eastAsia="Arial" w:hAnsi="Arial"/>
          <w:sz w:val="13"/>
          <w:szCs w:val="13"/>
          <w:color w:val="auto"/>
        </w:rPr>
      </w:pPr>
      <w:r>
        <w:rPr>
          <w:rFonts w:ascii="Arial" w:cs="Arial" w:eastAsia="Arial" w:hAnsi="Arial"/>
          <w:sz w:val="17"/>
          <w:szCs w:val="17"/>
          <w:color w:val="auto"/>
        </w:rPr>
        <w:t>Company or its subsidiaries or members of any advisory boards in connection with an employee</w:t>
      </w:r>
    </w:p>
    <w:p>
      <w:pPr>
        <w:spacing w:after="0" w:line="1" w:lineRule="exact"/>
        <w:rPr>
          <w:rFonts w:ascii="Arial" w:cs="Arial" w:eastAsia="Arial" w:hAnsi="Arial"/>
          <w:sz w:val="13"/>
          <w:szCs w:val="13"/>
          <w:color w:val="auto"/>
        </w:rPr>
      </w:pPr>
    </w:p>
    <w:p>
      <w:pPr>
        <w:jc w:val="both"/>
        <w:ind w:left="247"/>
        <w:spacing w:after="0" w:line="304" w:lineRule="auto"/>
        <w:rPr>
          <w:rFonts w:ascii="Arial" w:cs="Arial" w:eastAsia="Arial" w:hAnsi="Arial"/>
          <w:sz w:val="13"/>
          <w:szCs w:val="13"/>
          <w:color w:val="auto"/>
        </w:rPr>
      </w:pPr>
      <w:r>
        <w:rPr>
          <w:rFonts w:ascii="Arial" w:cs="Arial" w:eastAsia="Arial" w:hAnsi="Arial"/>
          <w:sz w:val="17"/>
          <w:szCs w:val="17"/>
          <w:color w:val="auto"/>
        </w:rPr>
        <w:t>participation program and any subsequent transfer of such shares shall be restricted by Article 5 of these Articles of Incorporation.</w:t>
      </w:r>
    </w:p>
    <w:p>
      <w:pPr>
        <w:spacing w:after="0" w:line="422" w:lineRule="exact"/>
        <w:rPr>
          <w:sz w:val="20"/>
          <w:szCs w:val="20"/>
          <w:color w:val="auto"/>
        </w:rPr>
      </w:pPr>
    </w:p>
    <w:p>
      <w:pPr>
        <w:sectPr>
          <w:pgSz w:w="11900" w:h="16838" w:orient="portrait"/>
          <w:cols w:equalWidth="0" w:num="2">
            <w:col w:w="5593" w:space="720"/>
            <w:col w:w="4247"/>
          </w:cols>
          <w:pgMar w:left="360" w:top="132" w:right="979" w:bottom="1440" w:gutter="0" w:footer="0" w:header="0"/>
          <w:type w:val="continuous"/>
        </w:sect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7"/>
                <w:szCs w:val="17"/>
                <w:b w:val="1"/>
                <w:bCs w:val="1"/>
                <w:color w:val="auto"/>
              </w:rPr>
              <w:t>Artikel 3c</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20" w:type="dxa"/>
            <w:vAlign w:val="bottom"/>
          </w:tcPr>
          <w:p>
            <w:pPr>
              <w:ind w:left="320"/>
              <w:spacing w:after="0"/>
              <w:rPr>
                <w:sz w:val="20"/>
                <w:szCs w:val="20"/>
                <w:color w:val="auto"/>
              </w:rPr>
            </w:pPr>
            <w:r>
              <w:rPr>
                <w:rFonts w:ascii="Arial" w:cs="Arial" w:eastAsia="Arial" w:hAnsi="Arial"/>
                <w:sz w:val="17"/>
                <w:szCs w:val="17"/>
                <w:b w:val="1"/>
                <w:bCs w:val="1"/>
                <w:color w:val="auto"/>
              </w:rPr>
              <w:t>Article 3c</w:t>
            </w:r>
          </w:p>
        </w:tc>
      </w:tr>
      <w:tr>
        <w:trPr>
          <w:trHeight w:val="385"/>
        </w:trPr>
        <w:tc>
          <w:tcPr>
            <w:tcW w:w="1000" w:type="dxa"/>
            <w:vAlign w:val="bottom"/>
          </w:tcPr>
          <w:p>
            <w:pPr>
              <w:spacing w:after="0"/>
              <w:rPr>
                <w:sz w:val="20"/>
                <w:szCs w:val="20"/>
                <w:color w:val="auto"/>
              </w:rPr>
            </w:pPr>
            <w:r>
              <w:rPr>
                <w:rFonts w:ascii="Arial" w:cs="Arial" w:eastAsia="Arial" w:hAnsi="Arial"/>
                <w:sz w:val="13"/>
                <w:szCs w:val="13"/>
                <w:color w:val="auto"/>
              </w:rPr>
              <w:t>Bedingtes</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Das  Aktienkapital  kann  sich  durch  Ausgabe  von</w:t>
            </w:r>
          </w:p>
        </w:tc>
        <w:tc>
          <w:tcPr>
            <w:tcW w:w="880" w:type="dxa"/>
            <w:vAlign w:val="bottom"/>
          </w:tcPr>
          <w:p>
            <w:pPr>
              <w:ind w:left="80"/>
              <w:spacing w:after="0"/>
              <w:rPr>
                <w:sz w:val="20"/>
                <w:szCs w:val="20"/>
                <w:color w:val="auto"/>
              </w:rPr>
            </w:pPr>
            <w:r>
              <w:rPr>
                <w:rFonts w:ascii="Arial" w:cs="Arial" w:eastAsia="Arial" w:hAnsi="Arial"/>
                <w:sz w:val="13"/>
                <w:szCs w:val="13"/>
                <w:color w:val="auto"/>
              </w:rPr>
              <w:t>Conditional</w:t>
            </w:r>
          </w:p>
        </w:tc>
        <w:tc>
          <w:tcPr>
            <w:tcW w:w="4320" w:type="dxa"/>
            <w:vAlign w:val="bottom"/>
          </w:tcPr>
          <w:p>
            <w:pPr>
              <w:ind w:left="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share capital may be increased in an amount not</w:t>
            </w:r>
          </w:p>
        </w:tc>
      </w:tr>
      <w:tr>
        <w:trPr>
          <w:trHeight w:val="228"/>
        </w:trPr>
        <w:tc>
          <w:tcPr>
            <w:tcW w:w="1000" w:type="dxa"/>
            <w:vAlign w:val="bottom"/>
          </w:tcPr>
          <w:p>
            <w:pPr>
              <w:spacing w:after="0"/>
              <w:rPr>
                <w:sz w:val="20"/>
                <w:szCs w:val="20"/>
                <w:color w:val="auto"/>
              </w:rPr>
            </w:pPr>
            <w:r>
              <w:rPr>
                <w:rFonts w:ascii="Arial" w:cs="Arial" w:eastAsia="Arial" w:hAnsi="Arial"/>
                <w:sz w:val="13"/>
                <w:szCs w:val="13"/>
                <w:color w:val="auto"/>
              </w:rPr>
              <w:t>Aktienkapital für</w:t>
            </w:r>
          </w:p>
        </w:tc>
        <w:tc>
          <w:tcPr>
            <w:tcW w:w="220" w:type="dxa"/>
            <w:vAlign w:val="bottom"/>
          </w:tcPr>
          <w:p>
            <w:pPr>
              <w:spacing w:after="0"/>
              <w:rPr>
                <w:sz w:val="19"/>
                <w:szCs w:val="19"/>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höchstens   2'260'870   voll   zu   liberierenden</w:t>
            </w:r>
          </w:p>
        </w:tc>
        <w:tc>
          <w:tcPr>
            <w:tcW w:w="880" w:type="dxa"/>
            <w:vAlign w:val="bottom"/>
          </w:tcPr>
          <w:p>
            <w:pPr>
              <w:ind w:left="80"/>
              <w:spacing w:after="0"/>
              <w:rPr>
                <w:sz w:val="20"/>
                <w:szCs w:val="20"/>
                <w:color w:val="auto"/>
              </w:rPr>
            </w:pPr>
            <w:r>
              <w:rPr>
                <w:rFonts w:ascii="Arial" w:cs="Arial" w:eastAsia="Arial" w:hAnsi="Arial"/>
                <w:sz w:val="13"/>
                <w:szCs w:val="13"/>
                <w:color w:val="auto"/>
              </w:rPr>
              <w:t>Share</w:t>
            </w:r>
          </w:p>
        </w:tc>
        <w:tc>
          <w:tcPr>
            <w:tcW w:w="4320" w:type="dxa"/>
            <w:vAlign w:val="bottom"/>
          </w:tcPr>
          <w:p>
            <w:pPr>
              <w:ind w:left="320"/>
              <w:spacing w:after="0"/>
              <w:rPr>
                <w:sz w:val="20"/>
                <w:szCs w:val="20"/>
                <w:color w:val="auto"/>
              </w:rPr>
            </w:pPr>
            <w:r>
              <w:rPr>
                <w:rFonts w:ascii="Arial" w:cs="Arial" w:eastAsia="Arial" w:hAnsi="Arial"/>
                <w:sz w:val="17"/>
                <w:szCs w:val="17"/>
                <w:color w:val="auto"/>
              </w:rPr>
              <w:t>to exceed CHF 226,087 through the issuance of up</w:t>
            </w:r>
          </w:p>
        </w:tc>
      </w:tr>
      <w:tr>
        <w:trPr>
          <w:trHeight w:val="241"/>
        </w:trPr>
        <w:tc>
          <w:tcPr>
            <w:tcW w:w="1000" w:type="dxa"/>
            <w:vAlign w:val="bottom"/>
          </w:tcPr>
          <w:p>
            <w:pPr>
              <w:spacing w:after="0"/>
              <w:rPr>
                <w:sz w:val="20"/>
                <w:szCs w:val="20"/>
                <w:color w:val="auto"/>
              </w:rPr>
            </w:pPr>
            <w:r>
              <w:rPr>
                <w:rFonts w:ascii="Arial" w:cs="Arial" w:eastAsia="Arial" w:hAnsi="Arial"/>
                <w:sz w:val="13"/>
                <w:szCs w:val="13"/>
                <w:color w:val="auto"/>
              </w:rPr>
              <w:t>Finanzierungen,</w:t>
            </w:r>
          </w:p>
        </w:tc>
        <w:tc>
          <w:tcPr>
            <w:tcW w:w="220" w:type="dxa"/>
            <w:vAlign w:val="bottom"/>
          </w:tcPr>
          <w:p>
            <w:pPr>
              <w:spacing w:after="0"/>
              <w:rPr>
                <w:sz w:val="20"/>
                <w:szCs w:val="20"/>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Namenaktien im Nennwert von je CHF 0.10 um</w:t>
            </w:r>
          </w:p>
        </w:tc>
        <w:tc>
          <w:tcPr>
            <w:tcW w:w="880" w:type="dxa"/>
            <w:vAlign w:val="bottom"/>
          </w:tcPr>
          <w:p>
            <w:pPr>
              <w:ind w:left="80"/>
              <w:spacing w:after="0"/>
              <w:rPr>
                <w:sz w:val="20"/>
                <w:szCs w:val="20"/>
                <w:color w:val="auto"/>
              </w:rPr>
            </w:pPr>
            <w:r>
              <w:rPr>
                <w:rFonts w:ascii="Arial" w:cs="Arial" w:eastAsia="Arial" w:hAnsi="Arial"/>
                <w:sz w:val="13"/>
                <w:szCs w:val="13"/>
                <w:color w:val="auto"/>
              </w:rPr>
              <w:t>Capital for</w:t>
            </w:r>
          </w:p>
        </w:tc>
        <w:tc>
          <w:tcPr>
            <w:tcW w:w="4320" w:type="dxa"/>
            <w:vAlign w:val="bottom"/>
          </w:tcPr>
          <w:p>
            <w:pPr>
              <w:ind w:left="320"/>
              <w:spacing w:after="0"/>
              <w:rPr>
                <w:sz w:val="20"/>
                <w:szCs w:val="20"/>
                <w:color w:val="auto"/>
              </w:rPr>
            </w:pPr>
            <w:r>
              <w:rPr>
                <w:rFonts w:ascii="Arial" w:cs="Arial" w:eastAsia="Arial" w:hAnsi="Arial"/>
                <w:sz w:val="17"/>
                <w:szCs w:val="17"/>
                <w:color w:val="auto"/>
              </w:rPr>
              <w:t>to 2,260,870 fully paid up registered shares with a</w:t>
            </w:r>
          </w:p>
        </w:tc>
      </w:tr>
      <w:tr>
        <w:trPr>
          <w:trHeight w:val="228"/>
        </w:trPr>
        <w:tc>
          <w:tcPr>
            <w:tcW w:w="1000" w:type="dxa"/>
            <w:vAlign w:val="bottom"/>
          </w:tcPr>
          <w:p>
            <w:pPr>
              <w:spacing w:after="0"/>
              <w:rPr>
                <w:sz w:val="20"/>
                <w:szCs w:val="20"/>
                <w:color w:val="auto"/>
              </w:rPr>
            </w:pPr>
            <w:r>
              <w:rPr>
                <w:rFonts w:ascii="Arial" w:cs="Arial" w:eastAsia="Arial" w:hAnsi="Arial"/>
                <w:sz w:val="13"/>
                <w:szCs w:val="13"/>
                <w:color w:val="auto"/>
              </w:rPr>
              <w:t>Akquisitionen</w:t>
            </w:r>
          </w:p>
        </w:tc>
        <w:tc>
          <w:tcPr>
            <w:tcW w:w="220" w:type="dxa"/>
            <w:vAlign w:val="bottom"/>
          </w:tcPr>
          <w:p>
            <w:pPr>
              <w:spacing w:after="0"/>
              <w:rPr>
                <w:sz w:val="19"/>
                <w:szCs w:val="19"/>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höchstens  CHF  226'087  erhöhen  durch  die</w:t>
            </w:r>
          </w:p>
        </w:tc>
        <w:tc>
          <w:tcPr>
            <w:tcW w:w="880" w:type="dxa"/>
            <w:vAlign w:val="bottom"/>
          </w:tcPr>
          <w:p>
            <w:pPr>
              <w:ind w:left="80"/>
              <w:spacing w:after="0"/>
              <w:rPr>
                <w:sz w:val="20"/>
                <w:szCs w:val="20"/>
                <w:color w:val="auto"/>
              </w:rPr>
            </w:pPr>
            <w:r>
              <w:rPr>
                <w:rFonts w:ascii="Arial" w:cs="Arial" w:eastAsia="Arial" w:hAnsi="Arial"/>
                <w:sz w:val="13"/>
                <w:szCs w:val="13"/>
                <w:color w:val="auto"/>
              </w:rPr>
              <w:t>Financing,</w:t>
            </w:r>
          </w:p>
        </w:tc>
        <w:tc>
          <w:tcPr>
            <w:tcW w:w="4320" w:type="dxa"/>
            <w:vAlign w:val="bottom"/>
          </w:tcPr>
          <w:p>
            <w:pPr>
              <w:ind w:left="320"/>
              <w:spacing w:after="0"/>
              <w:rPr>
                <w:sz w:val="20"/>
                <w:szCs w:val="20"/>
                <w:color w:val="auto"/>
              </w:rPr>
            </w:pPr>
            <w:r>
              <w:rPr>
                <w:rFonts w:ascii="Arial" w:cs="Arial" w:eastAsia="Arial" w:hAnsi="Arial"/>
                <w:sz w:val="17"/>
                <w:szCs w:val="17"/>
                <w:color w:val="auto"/>
                <w:w w:val="99"/>
              </w:rPr>
              <w:t>par value of CHF 0.10 per share through the exercise</w:t>
            </w:r>
          </w:p>
        </w:tc>
      </w:tr>
      <w:tr>
        <w:trPr>
          <w:trHeight w:val="241"/>
        </w:trPr>
        <w:tc>
          <w:tcPr>
            <w:tcW w:w="1000" w:type="dxa"/>
            <w:vAlign w:val="bottom"/>
          </w:tcPr>
          <w:p>
            <w:pPr>
              <w:spacing w:after="0"/>
              <w:rPr>
                <w:sz w:val="20"/>
                <w:szCs w:val="20"/>
                <w:color w:val="auto"/>
              </w:rPr>
            </w:pPr>
            <w:r>
              <w:rPr>
                <w:rFonts w:ascii="Arial" w:cs="Arial" w:eastAsia="Arial" w:hAnsi="Arial"/>
                <w:sz w:val="13"/>
                <w:szCs w:val="13"/>
                <w:color w:val="auto"/>
              </w:rPr>
              <w:t>und andere</w:t>
            </w:r>
          </w:p>
        </w:tc>
        <w:tc>
          <w:tcPr>
            <w:tcW w:w="220" w:type="dxa"/>
            <w:vAlign w:val="bottom"/>
          </w:tcPr>
          <w:p>
            <w:pPr>
              <w:spacing w:after="0"/>
              <w:rPr>
                <w:sz w:val="20"/>
                <w:szCs w:val="20"/>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Ausübung  oder  Zwangsausübung  von  Wandel-,</w:t>
            </w:r>
          </w:p>
        </w:tc>
        <w:tc>
          <w:tcPr>
            <w:tcW w:w="880" w:type="dxa"/>
            <w:vAlign w:val="bottom"/>
          </w:tcPr>
          <w:p>
            <w:pPr>
              <w:ind w:left="80"/>
              <w:spacing w:after="0"/>
              <w:rPr>
                <w:sz w:val="20"/>
                <w:szCs w:val="20"/>
                <w:color w:val="auto"/>
              </w:rPr>
            </w:pPr>
            <w:r>
              <w:rPr>
                <w:rFonts w:ascii="Arial" w:cs="Arial" w:eastAsia="Arial" w:hAnsi="Arial"/>
                <w:sz w:val="13"/>
                <w:szCs w:val="13"/>
                <w:color w:val="auto"/>
              </w:rPr>
              <w:t>Acquisitions</w:t>
            </w:r>
          </w:p>
        </w:tc>
        <w:tc>
          <w:tcPr>
            <w:tcW w:w="4320" w:type="dxa"/>
            <w:vAlign w:val="bottom"/>
          </w:tcPr>
          <w:p>
            <w:pPr>
              <w:ind w:left="320"/>
              <w:spacing w:after="0"/>
              <w:rPr>
                <w:sz w:val="20"/>
                <w:szCs w:val="20"/>
                <w:color w:val="auto"/>
              </w:rPr>
            </w:pPr>
            <w:r>
              <w:rPr>
                <w:rFonts w:ascii="Arial" w:cs="Arial" w:eastAsia="Arial" w:hAnsi="Arial"/>
                <w:sz w:val="17"/>
                <w:szCs w:val="17"/>
                <w:color w:val="auto"/>
              </w:rPr>
              <w:t>or  mandatory  exercise  of  conversion,  exchange,</w:t>
            </w:r>
          </w:p>
        </w:tc>
      </w:tr>
      <w:tr>
        <w:trPr>
          <w:trHeight w:val="228"/>
        </w:trPr>
        <w:tc>
          <w:tcPr>
            <w:tcW w:w="1000" w:type="dxa"/>
            <w:vAlign w:val="bottom"/>
          </w:tcPr>
          <w:p>
            <w:pPr>
              <w:spacing w:after="0"/>
              <w:rPr>
                <w:sz w:val="20"/>
                <w:szCs w:val="20"/>
                <w:color w:val="auto"/>
              </w:rPr>
            </w:pPr>
            <w:r>
              <w:rPr>
                <w:rFonts w:ascii="Arial" w:cs="Arial" w:eastAsia="Arial" w:hAnsi="Arial"/>
                <w:sz w:val="13"/>
                <w:szCs w:val="13"/>
                <w:color w:val="auto"/>
              </w:rPr>
              <w:t>Zwecke</w:t>
            </w:r>
          </w:p>
        </w:tc>
        <w:tc>
          <w:tcPr>
            <w:tcW w:w="220" w:type="dxa"/>
            <w:vAlign w:val="bottom"/>
          </w:tcPr>
          <w:p>
            <w:pPr>
              <w:spacing w:after="0"/>
              <w:rPr>
                <w:sz w:val="19"/>
                <w:szCs w:val="19"/>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Tausch-, Options-, Bezugs- oder ähnlichen Rechten</w:t>
            </w:r>
          </w:p>
        </w:tc>
        <w:tc>
          <w:tcPr>
            <w:tcW w:w="880" w:type="dxa"/>
            <w:vAlign w:val="bottom"/>
          </w:tcPr>
          <w:p>
            <w:pPr>
              <w:ind w:left="80"/>
              <w:spacing w:after="0"/>
              <w:rPr>
                <w:sz w:val="20"/>
                <w:szCs w:val="20"/>
                <w:color w:val="auto"/>
              </w:rPr>
            </w:pPr>
            <w:r>
              <w:rPr>
                <w:rFonts w:ascii="Arial" w:cs="Arial" w:eastAsia="Arial" w:hAnsi="Arial"/>
                <w:sz w:val="13"/>
                <w:szCs w:val="13"/>
                <w:color w:val="auto"/>
              </w:rPr>
              <w:t>and other</w:t>
            </w:r>
          </w:p>
        </w:tc>
        <w:tc>
          <w:tcPr>
            <w:tcW w:w="4320" w:type="dxa"/>
            <w:vAlign w:val="bottom"/>
          </w:tcPr>
          <w:p>
            <w:pPr>
              <w:ind w:left="320"/>
              <w:spacing w:after="0"/>
              <w:rPr>
                <w:sz w:val="20"/>
                <w:szCs w:val="20"/>
                <w:color w:val="auto"/>
              </w:rPr>
            </w:pPr>
            <w:r>
              <w:rPr>
                <w:rFonts w:ascii="Arial" w:cs="Arial" w:eastAsia="Arial" w:hAnsi="Arial"/>
                <w:sz w:val="17"/>
                <w:szCs w:val="17"/>
                <w:color w:val="auto"/>
                <w:w w:val="99"/>
              </w:rPr>
              <w:t>option, warrant or similar rights for the subscription of</w:t>
            </w:r>
          </w:p>
        </w:tc>
      </w:tr>
      <w:tr>
        <w:trPr>
          <w:trHeight w:val="241"/>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auf den Bezug von Aktien, welche Aktionären oder</w:t>
            </w:r>
          </w:p>
        </w:tc>
        <w:tc>
          <w:tcPr>
            <w:tcW w:w="880" w:type="dxa"/>
            <w:vAlign w:val="bottom"/>
          </w:tcPr>
          <w:p>
            <w:pPr>
              <w:ind w:left="80"/>
              <w:spacing w:after="0"/>
              <w:rPr>
                <w:sz w:val="20"/>
                <w:szCs w:val="20"/>
                <w:color w:val="auto"/>
              </w:rPr>
            </w:pPr>
            <w:r>
              <w:rPr>
                <w:rFonts w:ascii="Arial" w:cs="Arial" w:eastAsia="Arial" w:hAnsi="Arial"/>
                <w:sz w:val="13"/>
                <w:szCs w:val="13"/>
                <w:color w:val="auto"/>
              </w:rPr>
              <w:t>Purposes</w:t>
            </w:r>
          </w:p>
        </w:tc>
        <w:tc>
          <w:tcPr>
            <w:tcW w:w="4320" w:type="dxa"/>
            <w:vAlign w:val="bottom"/>
          </w:tcPr>
          <w:p>
            <w:pPr>
              <w:ind w:left="320"/>
              <w:spacing w:after="0"/>
              <w:rPr>
                <w:sz w:val="20"/>
                <w:szCs w:val="20"/>
                <w:color w:val="auto"/>
              </w:rPr>
            </w:pPr>
            <w:r>
              <w:rPr>
                <w:rFonts w:ascii="Arial" w:cs="Arial" w:eastAsia="Arial" w:hAnsi="Arial"/>
                <w:sz w:val="17"/>
                <w:szCs w:val="17"/>
                <w:color w:val="auto"/>
              </w:rPr>
              <w:t>shares granted to shareholders or third parties alone</w:t>
            </w:r>
          </w:p>
        </w:tc>
      </w:tr>
      <w:tr>
        <w:trPr>
          <w:trHeight w:val="228"/>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Dritten</w:t>
            </w:r>
          </w:p>
        </w:tc>
        <w:tc>
          <w:tcPr>
            <w:tcW w:w="760" w:type="dxa"/>
            <w:vAlign w:val="bottom"/>
          </w:tcPr>
          <w:p>
            <w:pPr>
              <w:ind w:left="220"/>
              <w:spacing w:after="0"/>
              <w:rPr>
                <w:sz w:val="20"/>
                <w:szCs w:val="20"/>
                <w:color w:val="auto"/>
              </w:rPr>
            </w:pPr>
            <w:r>
              <w:rPr>
                <w:rFonts w:ascii="Arial" w:cs="Arial" w:eastAsia="Arial" w:hAnsi="Arial"/>
                <w:sz w:val="17"/>
                <w:szCs w:val="17"/>
                <w:color w:val="auto"/>
              </w:rPr>
              <w:t>allein</w:t>
            </w:r>
          </w:p>
        </w:tc>
        <w:tc>
          <w:tcPr>
            <w:tcW w:w="740" w:type="dxa"/>
            <w:vAlign w:val="bottom"/>
          </w:tcPr>
          <w:p>
            <w:pPr>
              <w:ind w:left="160"/>
              <w:spacing w:after="0"/>
              <w:rPr>
                <w:sz w:val="20"/>
                <w:szCs w:val="20"/>
                <w:color w:val="auto"/>
              </w:rPr>
            </w:pPr>
            <w:r>
              <w:rPr>
                <w:rFonts w:ascii="Arial" w:cs="Arial" w:eastAsia="Arial" w:hAnsi="Arial"/>
                <w:sz w:val="17"/>
                <w:szCs w:val="17"/>
                <w:color w:val="auto"/>
              </w:rPr>
              <w:t>oder</w:t>
            </w:r>
          </w:p>
        </w:tc>
        <w:tc>
          <w:tcPr>
            <w:tcW w:w="300" w:type="dxa"/>
            <w:vAlign w:val="bottom"/>
          </w:tcPr>
          <w:p>
            <w:pPr>
              <w:ind w:left="80"/>
              <w:spacing w:after="0"/>
              <w:rPr>
                <w:sz w:val="20"/>
                <w:szCs w:val="20"/>
                <w:color w:val="auto"/>
              </w:rPr>
            </w:pPr>
            <w:r>
              <w:rPr>
                <w:rFonts w:ascii="Arial" w:cs="Arial" w:eastAsia="Arial" w:hAnsi="Arial"/>
                <w:sz w:val="17"/>
                <w:szCs w:val="17"/>
                <w:color w:val="auto"/>
              </w:rPr>
              <w:t>in</w:t>
            </w:r>
          </w:p>
        </w:tc>
        <w:tc>
          <w:tcPr>
            <w:tcW w:w="1160" w:type="dxa"/>
            <w:vAlign w:val="bottom"/>
          </w:tcPr>
          <w:p>
            <w:pPr>
              <w:ind w:left="200"/>
              <w:spacing w:after="0"/>
              <w:rPr>
                <w:sz w:val="20"/>
                <w:szCs w:val="20"/>
                <w:color w:val="auto"/>
              </w:rPr>
            </w:pPr>
            <w:r>
              <w:rPr>
                <w:rFonts w:ascii="Arial" w:cs="Arial" w:eastAsia="Arial" w:hAnsi="Arial"/>
                <w:sz w:val="17"/>
                <w:szCs w:val="17"/>
                <w:color w:val="auto"/>
              </w:rPr>
              <w:t>Verbindung</w:t>
            </w:r>
          </w:p>
        </w:tc>
        <w:tc>
          <w:tcPr>
            <w:tcW w:w="520" w:type="dxa"/>
            <w:vAlign w:val="bottom"/>
          </w:tcPr>
          <w:p>
            <w:pPr>
              <w:jc w:val="right"/>
              <w:spacing w:after="0"/>
              <w:rPr>
                <w:sz w:val="20"/>
                <w:szCs w:val="20"/>
                <w:color w:val="auto"/>
              </w:rPr>
            </w:pPr>
            <w:r>
              <w:rPr>
                <w:rFonts w:ascii="Arial" w:cs="Arial" w:eastAsia="Arial" w:hAnsi="Arial"/>
                <w:sz w:val="17"/>
                <w:szCs w:val="17"/>
                <w:color w:val="auto"/>
              </w:rPr>
              <w:t>mit</w:t>
            </w:r>
          </w:p>
        </w:tc>
        <w:tc>
          <w:tcPr>
            <w:tcW w:w="88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Arial" w:cs="Arial" w:eastAsia="Arial" w:hAnsi="Arial"/>
                <w:sz w:val="17"/>
                <w:szCs w:val="17"/>
                <w:color w:val="auto"/>
              </w:rPr>
              <w:t>or in connection with bonds, notes, options, warrants</w:t>
            </w:r>
          </w:p>
        </w:tc>
      </w:tr>
      <w:tr>
        <w:trPr>
          <w:trHeight w:val="241"/>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Anleihensobligationen, Darlehen, Optionen, Warrants</w:t>
            </w:r>
          </w:p>
        </w:tc>
        <w:tc>
          <w:tcPr>
            <w:tcW w:w="880" w:type="dxa"/>
            <w:vAlign w:val="bottom"/>
          </w:tcPr>
          <w:p>
            <w:pPr>
              <w:spacing w:after="0"/>
              <w:rPr>
                <w:sz w:val="20"/>
                <w:szCs w:val="20"/>
                <w:color w:val="auto"/>
              </w:rPr>
            </w:pPr>
          </w:p>
        </w:tc>
        <w:tc>
          <w:tcPr>
            <w:tcW w:w="4320" w:type="dxa"/>
            <w:vAlign w:val="bottom"/>
          </w:tcPr>
          <w:p>
            <w:pPr>
              <w:ind w:left="320"/>
              <w:spacing w:after="0"/>
              <w:rPr>
                <w:sz w:val="20"/>
                <w:szCs w:val="20"/>
                <w:color w:val="auto"/>
              </w:rPr>
            </w:pPr>
            <w:r>
              <w:rPr>
                <w:rFonts w:ascii="Arial" w:cs="Arial" w:eastAsia="Arial" w:hAnsi="Arial"/>
                <w:sz w:val="17"/>
                <w:szCs w:val="17"/>
                <w:color w:val="auto"/>
              </w:rPr>
              <w:t>or other securities or contractual obligations by or of</w:t>
            </w:r>
          </w:p>
        </w:tc>
      </w:tr>
      <w:tr>
        <w:trPr>
          <w:trHeight w:val="228"/>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oder</w:t>
            </w:r>
          </w:p>
        </w:tc>
        <w:tc>
          <w:tcPr>
            <w:tcW w:w="760" w:type="dxa"/>
            <w:vAlign w:val="bottom"/>
          </w:tcPr>
          <w:p>
            <w:pPr>
              <w:ind w:left="20"/>
              <w:spacing w:after="0"/>
              <w:rPr>
                <w:sz w:val="20"/>
                <w:szCs w:val="20"/>
                <w:color w:val="auto"/>
              </w:rPr>
            </w:pPr>
            <w:r>
              <w:rPr>
                <w:rFonts w:ascii="Arial" w:cs="Arial" w:eastAsia="Arial" w:hAnsi="Arial"/>
                <w:sz w:val="17"/>
                <w:szCs w:val="17"/>
                <w:color w:val="auto"/>
              </w:rPr>
              <w:t>anderen</w:t>
            </w:r>
          </w:p>
        </w:tc>
        <w:tc>
          <w:tcPr>
            <w:tcW w:w="2200" w:type="dxa"/>
            <w:vAlign w:val="bottom"/>
            <w:gridSpan w:val="3"/>
          </w:tcPr>
          <w:p>
            <w:pPr>
              <w:ind w:left="140"/>
              <w:spacing w:after="0"/>
              <w:rPr>
                <w:sz w:val="20"/>
                <w:szCs w:val="20"/>
                <w:color w:val="auto"/>
              </w:rPr>
            </w:pPr>
            <w:r>
              <w:rPr>
                <w:rFonts w:ascii="Arial" w:cs="Arial" w:eastAsia="Arial" w:hAnsi="Arial"/>
                <w:sz w:val="17"/>
                <w:szCs w:val="17"/>
                <w:color w:val="auto"/>
              </w:rPr>
              <w:t>Finanzmarktinstrumenten</w:t>
            </w:r>
          </w:p>
        </w:tc>
        <w:tc>
          <w:tcPr>
            <w:tcW w:w="520" w:type="dxa"/>
            <w:vAlign w:val="bottom"/>
          </w:tcPr>
          <w:p>
            <w:pPr>
              <w:jc w:val="right"/>
              <w:spacing w:after="0"/>
              <w:rPr>
                <w:sz w:val="20"/>
                <w:szCs w:val="20"/>
                <w:color w:val="auto"/>
              </w:rPr>
            </w:pPr>
            <w:r>
              <w:rPr>
                <w:rFonts w:ascii="Arial" w:cs="Arial" w:eastAsia="Arial" w:hAnsi="Arial"/>
                <w:sz w:val="17"/>
                <w:szCs w:val="17"/>
                <w:color w:val="auto"/>
              </w:rPr>
              <w:t>oder</w:t>
            </w:r>
          </w:p>
        </w:tc>
        <w:tc>
          <w:tcPr>
            <w:tcW w:w="88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Arial" w:cs="Arial" w:eastAsia="Arial" w:hAnsi="Arial"/>
                <w:sz w:val="17"/>
                <w:szCs w:val="17"/>
                <w:color w:val="auto"/>
              </w:rPr>
              <w:t>the  Company  or  any  of  its  group  companies</w:t>
            </w:r>
          </w:p>
        </w:tc>
      </w:tr>
      <w:tr>
        <w:trPr>
          <w:trHeight w:val="249"/>
        </w:trPr>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6"/>
          </w:tcPr>
          <w:p>
            <w:pPr>
              <w:ind w:left="80"/>
              <w:spacing w:after="0"/>
              <w:rPr>
                <w:sz w:val="20"/>
                <w:szCs w:val="20"/>
                <w:color w:val="auto"/>
              </w:rPr>
            </w:pPr>
            <w:r>
              <w:rPr>
                <w:rFonts w:ascii="Arial" w:cs="Arial" w:eastAsia="Arial" w:hAnsi="Arial"/>
                <w:sz w:val="17"/>
                <w:szCs w:val="17"/>
                <w:color w:val="auto"/>
              </w:rPr>
              <w:t>vertraglichen Verpflichtungen der Gesellschaft oder</w:t>
            </w:r>
          </w:p>
        </w:tc>
        <w:tc>
          <w:tcPr>
            <w:tcW w:w="880" w:type="dxa"/>
            <w:vAlign w:val="bottom"/>
          </w:tcPr>
          <w:p>
            <w:pPr>
              <w:spacing w:after="0"/>
              <w:rPr>
                <w:sz w:val="21"/>
                <w:szCs w:val="21"/>
                <w:color w:val="auto"/>
              </w:rPr>
            </w:pPr>
          </w:p>
        </w:tc>
        <w:tc>
          <w:tcPr>
            <w:tcW w:w="4320" w:type="dxa"/>
            <w:vAlign w:val="bottom"/>
          </w:tcPr>
          <w:p>
            <w:pPr>
              <w:ind w:left="320"/>
              <w:spacing w:after="0"/>
              <w:rPr>
                <w:sz w:val="20"/>
                <w:szCs w:val="20"/>
                <w:color w:val="auto"/>
              </w:rPr>
            </w:pPr>
            <w:r>
              <w:rPr>
                <w:rFonts w:ascii="Arial" w:cs="Arial" w:eastAsia="Arial" w:hAnsi="Arial"/>
                <w:sz w:val="17"/>
                <w:szCs w:val="17"/>
                <w:color w:val="auto"/>
              </w:rPr>
              <w:t xml:space="preserve">(hereinafter collectively, the </w:t>
            </w:r>
            <w:r>
              <w:rPr>
                <w:rFonts w:ascii="Arial" w:cs="Arial" w:eastAsia="Arial" w:hAnsi="Arial"/>
                <w:sz w:val="17"/>
                <w:szCs w:val="17"/>
                <w:b w:val="1"/>
                <w:bCs w:val="1"/>
                <w:color w:val="auto"/>
              </w:rPr>
              <w:t>Financial Instruments</w:t>
            </w:r>
            <w:r>
              <w:rPr>
                <w:rFonts w:ascii="Arial" w:cs="Arial" w:eastAsia="Arial" w:hAnsi="Arial"/>
                <w:sz w:val="17"/>
                <w:szCs w:val="17"/>
                <w:color w:val="auto"/>
              </w:rPr>
              <w:t>).</w:t>
            </w:r>
          </w:p>
        </w:tc>
      </w:tr>
      <w:tr>
        <w:trPr>
          <w:trHeight w:val="233"/>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einer</w:t>
            </w:r>
          </w:p>
        </w:tc>
        <w:tc>
          <w:tcPr>
            <w:tcW w:w="3480" w:type="dxa"/>
            <w:vAlign w:val="bottom"/>
            <w:gridSpan w:val="5"/>
          </w:tcPr>
          <w:p>
            <w:pPr>
              <w:jc w:val="right"/>
              <w:spacing w:after="0"/>
              <w:rPr>
                <w:sz w:val="20"/>
                <w:szCs w:val="20"/>
                <w:color w:val="auto"/>
              </w:rPr>
            </w:pPr>
            <w:r>
              <w:rPr>
                <w:rFonts w:ascii="Arial" w:cs="Arial" w:eastAsia="Arial" w:hAnsi="Arial"/>
                <w:sz w:val="17"/>
                <w:szCs w:val="17"/>
                <w:color w:val="auto"/>
              </w:rPr>
              <w:t>ihrer   Gruppengesellschaften   eingeräumt</w:t>
            </w:r>
          </w:p>
        </w:tc>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28"/>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werden</w:t>
            </w:r>
          </w:p>
        </w:tc>
        <w:tc>
          <w:tcPr>
            <w:tcW w:w="1500" w:type="dxa"/>
            <w:vAlign w:val="bottom"/>
            <w:gridSpan w:val="2"/>
          </w:tcPr>
          <w:p>
            <w:pPr>
              <w:ind w:left="440"/>
              <w:spacing w:after="0"/>
              <w:rPr>
                <w:sz w:val="20"/>
                <w:szCs w:val="20"/>
                <w:color w:val="auto"/>
              </w:rPr>
            </w:pPr>
            <w:r>
              <w:rPr>
                <w:rFonts w:ascii="Arial" w:cs="Arial" w:eastAsia="Arial" w:hAnsi="Arial"/>
                <w:sz w:val="17"/>
                <w:szCs w:val="17"/>
                <w:color w:val="auto"/>
              </w:rPr>
              <w:t>(nachfolgend</w:t>
            </w:r>
          </w:p>
        </w:tc>
        <w:tc>
          <w:tcPr>
            <w:tcW w:w="300" w:type="dxa"/>
            <w:vAlign w:val="bottom"/>
          </w:tcPr>
          <w:p>
            <w:pPr>
              <w:spacing w:after="0"/>
              <w:rPr>
                <w:sz w:val="19"/>
                <w:szCs w:val="19"/>
                <w:color w:val="auto"/>
              </w:rPr>
            </w:pPr>
          </w:p>
        </w:tc>
        <w:tc>
          <w:tcPr>
            <w:tcW w:w="1160" w:type="dxa"/>
            <w:vAlign w:val="bottom"/>
          </w:tcPr>
          <w:p>
            <w:pPr>
              <w:ind w:left="80"/>
              <w:spacing w:after="0"/>
              <w:rPr>
                <w:sz w:val="20"/>
                <w:szCs w:val="20"/>
                <w:color w:val="auto"/>
              </w:rPr>
            </w:pPr>
            <w:r>
              <w:rPr>
                <w:rFonts w:ascii="Arial" w:cs="Arial" w:eastAsia="Arial" w:hAnsi="Arial"/>
                <w:sz w:val="17"/>
                <w:szCs w:val="17"/>
                <w:color w:val="auto"/>
              </w:rPr>
              <w:t>zusammen</w:t>
            </w:r>
          </w:p>
        </w:tc>
        <w:tc>
          <w:tcPr>
            <w:tcW w:w="520" w:type="dxa"/>
            <w:vAlign w:val="bottom"/>
          </w:tcPr>
          <w:p>
            <w:pPr>
              <w:jc w:val="right"/>
              <w:spacing w:after="0"/>
              <w:rPr>
                <w:sz w:val="20"/>
                <w:szCs w:val="20"/>
                <w:color w:val="auto"/>
              </w:rPr>
            </w:pPr>
            <w:r>
              <w:rPr>
                <w:rFonts w:ascii="Arial" w:cs="Arial" w:eastAsia="Arial" w:hAnsi="Arial"/>
                <w:sz w:val="17"/>
                <w:szCs w:val="17"/>
                <w:color w:val="auto"/>
              </w:rPr>
              <w:t>die</w:t>
            </w:r>
          </w:p>
        </w:tc>
        <w:tc>
          <w:tcPr>
            <w:tcW w:w="880" w:type="dxa"/>
            <w:vAlign w:val="bottom"/>
          </w:tcPr>
          <w:p>
            <w:pPr>
              <w:spacing w:after="0"/>
              <w:rPr>
                <w:sz w:val="19"/>
                <w:szCs w:val="19"/>
                <w:color w:val="auto"/>
              </w:rPr>
            </w:pPr>
          </w:p>
        </w:tc>
        <w:tc>
          <w:tcPr>
            <w:tcW w:w="4320" w:type="dxa"/>
            <w:vAlign w:val="bottom"/>
          </w:tcPr>
          <w:p>
            <w:pPr>
              <w:spacing w:after="0"/>
              <w:rPr>
                <w:sz w:val="19"/>
                <w:szCs w:val="19"/>
                <w:color w:val="auto"/>
              </w:rPr>
            </w:pPr>
          </w:p>
        </w:tc>
      </w:tr>
    </w:tbl>
    <w:p>
      <w:pPr>
        <w:spacing w:after="0" w:line="18"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Finanzinstrumente</w:t>
      </w:r>
      <w:r>
        <w:rPr>
          <w:rFonts w:ascii="Arial" w:cs="Arial" w:eastAsia="Arial" w:hAnsi="Arial"/>
          <w:sz w:val="17"/>
          <w:szCs w:val="17"/>
          <w:color w:val="auto"/>
        </w:rPr>
        <w:t>).</w:t>
      </w:r>
    </w:p>
    <w:p>
      <w:pPr>
        <w:sectPr>
          <w:pgSz w:w="11900" w:h="16838" w:orient="portrait"/>
          <w:cols w:equalWidth="0" w:num="1">
            <w:col w:w="10560"/>
          </w:cols>
          <w:pgMar w:left="360" w:top="132" w:right="979" w:bottom="1440" w:gutter="0" w:footer="0" w:header="0"/>
          <w:type w:val="continuous"/>
        </w:sectPr>
      </w:pPr>
    </w:p>
    <w:p>
      <w:pPr>
        <w:spacing w:after="0" w:line="184" w:lineRule="exact"/>
        <w:rPr>
          <w:sz w:val="20"/>
          <w:szCs w:val="20"/>
          <w:color w:val="auto"/>
        </w:rPr>
      </w:pPr>
    </w:p>
    <w:p>
      <w:pPr>
        <w:jc w:val="both"/>
        <w:ind w:left="1300" w:right="313" w:hanging="243"/>
        <w:spacing w:after="0" w:line="305" w:lineRule="auto"/>
        <w:tabs>
          <w:tab w:leader="none" w:pos="1300" w:val="left"/>
        </w:tabs>
        <w:numPr>
          <w:ilvl w:val="0"/>
          <w:numId w:val="123"/>
        </w:numPr>
        <w:rPr>
          <w:rFonts w:ascii="Arial" w:cs="Arial" w:eastAsia="Arial" w:hAnsi="Arial"/>
          <w:sz w:val="13"/>
          <w:szCs w:val="13"/>
          <w:color w:val="auto"/>
        </w:rPr>
      </w:pPr>
      <w:r>
        <w:rPr>
          <w:rFonts w:ascii="Arial" w:cs="Arial" w:eastAsia="Arial" w:hAnsi="Arial"/>
          <w:sz w:val="16"/>
          <w:szCs w:val="16"/>
          <w:color w:val="auto"/>
        </w:rPr>
        <w:t>Bei der Ausgabe von Aktien bei Ausübung der Finanzinstrumente ist das Bezugsrecht der Aktionäre</w:t>
      </w:r>
    </w:p>
    <w:p>
      <w:pPr>
        <w:jc w:val="both"/>
        <w:ind w:left="1300" w:right="313"/>
        <w:spacing w:after="0" w:line="287" w:lineRule="auto"/>
        <w:rPr>
          <w:rFonts w:ascii="Arial" w:cs="Arial" w:eastAsia="Arial" w:hAnsi="Arial"/>
          <w:sz w:val="13"/>
          <w:szCs w:val="13"/>
          <w:color w:val="auto"/>
        </w:rPr>
      </w:pPr>
      <w:r>
        <w:rPr>
          <w:rFonts w:ascii="Arial" w:cs="Arial" w:eastAsia="Arial" w:hAnsi="Arial"/>
          <w:sz w:val="17"/>
          <w:szCs w:val="17"/>
          <w:color w:val="auto"/>
        </w:rPr>
        <w:t>ausgeschlossen. Zum Bezug der neuen Aktien, die bei Ausübung von Finanzinstrumenten ausgegeben</w:t>
      </w:r>
    </w:p>
    <w:p>
      <w:pPr>
        <w:spacing w:after="0" w:line="1" w:lineRule="exact"/>
        <w:rPr>
          <w:rFonts w:ascii="Arial" w:cs="Arial" w:eastAsia="Arial" w:hAnsi="Arial"/>
          <w:sz w:val="13"/>
          <w:szCs w:val="13"/>
          <w:color w:val="auto"/>
        </w:rPr>
      </w:pPr>
    </w:p>
    <w:p>
      <w:pPr>
        <w:jc w:val="both"/>
        <w:ind w:left="1300" w:right="313"/>
        <w:spacing w:after="0" w:line="287" w:lineRule="auto"/>
        <w:rPr>
          <w:rFonts w:ascii="Arial" w:cs="Arial" w:eastAsia="Arial" w:hAnsi="Arial"/>
          <w:sz w:val="13"/>
          <w:szCs w:val="13"/>
          <w:color w:val="auto"/>
        </w:rPr>
      </w:pPr>
      <w:r>
        <w:rPr>
          <w:rFonts w:ascii="Arial" w:cs="Arial" w:eastAsia="Arial" w:hAnsi="Arial"/>
          <w:sz w:val="17"/>
          <w:szCs w:val="17"/>
          <w:color w:val="auto"/>
        </w:rPr>
        <w:t>werden, sind die jeweiligen Inhaber der Finanzinstrumente berechtigt. Die Bedingungen der</w:t>
      </w:r>
    </w:p>
    <w:p>
      <w:pPr>
        <w:spacing w:after="0" w:line="1" w:lineRule="exact"/>
        <w:rPr>
          <w:rFonts w:ascii="Arial" w:cs="Arial" w:eastAsia="Arial" w:hAnsi="Arial"/>
          <w:sz w:val="13"/>
          <w:szCs w:val="13"/>
          <w:color w:val="auto"/>
        </w:rPr>
      </w:pPr>
    </w:p>
    <w:p>
      <w:pPr>
        <w:ind w:left="1300" w:right="313"/>
        <w:spacing w:after="0" w:line="313" w:lineRule="auto"/>
        <w:rPr>
          <w:rFonts w:ascii="Arial" w:cs="Arial" w:eastAsia="Arial" w:hAnsi="Arial"/>
          <w:sz w:val="13"/>
          <w:szCs w:val="13"/>
          <w:color w:val="auto"/>
        </w:rPr>
      </w:pPr>
      <w:r>
        <w:rPr>
          <w:rFonts w:ascii="Arial" w:cs="Arial" w:eastAsia="Arial" w:hAnsi="Arial"/>
          <w:sz w:val="17"/>
          <w:szCs w:val="17"/>
          <w:color w:val="auto"/>
        </w:rPr>
        <w:t>Finanzinstrumente sind durch den Verwaltungsrat festzulegen.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left="247" w:right="20" w:hanging="247"/>
        <w:spacing w:after="0" w:line="287" w:lineRule="auto"/>
        <w:tabs>
          <w:tab w:leader="none" w:pos="247" w:val="left"/>
        </w:tabs>
        <w:numPr>
          <w:ilvl w:val="0"/>
          <w:numId w:val="124"/>
        </w:numPr>
        <w:rPr>
          <w:rFonts w:ascii="Arial" w:cs="Arial" w:eastAsia="Arial" w:hAnsi="Arial"/>
          <w:sz w:val="13"/>
          <w:szCs w:val="13"/>
          <w:color w:val="auto"/>
        </w:rPr>
      </w:pPr>
      <w:r>
        <w:rPr>
          <w:rFonts w:ascii="Arial" w:cs="Arial" w:eastAsia="Arial" w:hAnsi="Arial"/>
          <w:sz w:val="17"/>
          <w:szCs w:val="17"/>
          <w:color w:val="auto"/>
        </w:rPr>
        <w:t>The preemptive rights of the shareholders shall be excluded in connection with the issuance of shares</w:t>
      </w:r>
    </w:p>
    <w:p>
      <w:pPr>
        <w:spacing w:after="0" w:line="1" w:lineRule="exact"/>
        <w:rPr>
          <w:rFonts w:ascii="Arial" w:cs="Arial" w:eastAsia="Arial" w:hAnsi="Arial"/>
          <w:sz w:val="13"/>
          <w:szCs w:val="13"/>
          <w:color w:val="auto"/>
        </w:rPr>
      </w:pPr>
    </w:p>
    <w:p>
      <w:pPr>
        <w:jc w:val="both"/>
        <w:ind w:left="247" w:right="20"/>
        <w:spacing w:after="0" w:line="287" w:lineRule="auto"/>
        <w:rPr>
          <w:rFonts w:ascii="Arial" w:cs="Arial" w:eastAsia="Arial" w:hAnsi="Arial"/>
          <w:sz w:val="13"/>
          <w:szCs w:val="13"/>
          <w:color w:val="auto"/>
        </w:rPr>
      </w:pPr>
      <w:r>
        <w:rPr>
          <w:rFonts w:ascii="Arial" w:cs="Arial" w:eastAsia="Arial" w:hAnsi="Arial"/>
          <w:sz w:val="17"/>
          <w:szCs w:val="17"/>
          <w:color w:val="auto"/>
        </w:rPr>
        <w:t>upon the exercise of any Financial Instruments. The then-current owners of such Financial Instruments</w:t>
      </w:r>
    </w:p>
    <w:p>
      <w:pPr>
        <w:spacing w:after="0" w:line="1" w:lineRule="exact"/>
        <w:rPr>
          <w:rFonts w:ascii="Arial" w:cs="Arial" w:eastAsia="Arial" w:hAnsi="Arial"/>
          <w:sz w:val="13"/>
          <w:szCs w:val="13"/>
          <w:color w:val="auto"/>
        </w:rPr>
      </w:pPr>
    </w:p>
    <w:p>
      <w:pPr>
        <w:jc w:val="both"/>
        <w:ind w:left="247"/>
        <w:spacing w:after="0" w:line="287" w:lineRule="auto"/>
        <w:rPr>
          <w:rFonts w:ascii="Arial" w:cs="Arial" w:eastAsia="Arial" w:hAnsi="Arial"/>
          <w:sz w:val="13"/>
          <w:szCs w:val="13"/>
          <w:color w:val="auto"/>
        </w:rPr>
      </w:pPr>
      <w:r>
        <w:rPr>
          <w:rFonts w:ascii="Arial" w:cs="Arial" w:eastAsia="Arial" w:hAnsi="Arial"/>
          <w:sz w:val="17"/>
          <w:szCs w:val="17"/>
          <w:color w:val="auto"/>
        </w:rPr>
        <w:t>shall be entitled to acquire the new shares issued upon conversion, exchange or exercise of any</w:t>
      </w:r>
    </w:p>
    <w:p>
      <w:pPr>
        <w:spacing w:after="0" w:line="1" w:lineRule="exact"/>
        <w:rPr>
          <w:rFonts w:ascii="Arial" w:cs="Arial" w:eastAsia="Arial" w:hAnsi="Arial"/>
          <w:sz w:val="13"/>
          <w:szCs w:val="13"/>
          <w:color w:val="auto"/>
        </w:rPr>
      </w:pPr>
    </w:p>
    <w:p>
      <w:pPr>
        <w:jc w:val="both"/>
        <w:ind w:left="247"/>
        <w:spacing w:after="0" w:line="304" w:lineRule="auto"/>
        <w:rPr>
          <w:rFonts w:ascii="Arial" w:cs="Arial" w:eastAsia="Arial" w:hAnsi="Arial"/>
          <w:sz w:val="13"/>
          <w:szCs w:val="13"/>
          <w:color w:val="auto"/>
        </w:rPr>
      </w:pPr>
      <w:r>
        <w:rPr>
          <w:rFonts w:ascii="Arial" w:cs="Arial" w:eastAsia="Arial" w:hAnsi="Arial"/>
          <w:sz w:val="17"/>
          <w:szCs w:val="17"/>
          <w:color w:val="auto"/>
        </w:rPr>
        <w:t>Financial Instruments. The conditions of the Financial Instruments shall be determined by the board of directors.</w:t>
      </w:r>
    </w:p>
    <w:p>
      <w:pPr>
        <w:sectPr>
          <w:pgSz w:w="11900" w:h="16838" w:orient="portrait"/>
          <w:cols w:equalWidth="0" w:num="2">
            <w:col w:w="5593" w:space="720"/>
            <w:col w:w="4247"/>
          </w:cols>
          <w:pgMar w:left="360" w:top="132" w:right="979" w:bottom="1440" w:gutter="0" w:footer="0" w:header="0"/>
          <w:type w:val="continuous"/>
        </w:sectPr>
      </w:pPr>
    </w:p>
    <w:bookmarkStart w:id="229" w:name="page230"/>
    <w:bookmarkEnd w:id="229"/>
    <w:p>
      <w:pPr>
        <w:jc w:val="center"/>
        <w:ind w:right="445"/>
        <w:spacing w:after="0"/>
        <w:rPr>
          <w:sz w:val="20"/>
          <w:szCs w:val="20"/>
          <w:color w:val="auto"/>
        </w:rPr>
      </w:pPr>
      <w:r>
        <w:rPr>
          <w:rFonts w:ascii="Arial" w:cs="Arial" w:eastAsia="Arial" w:hAnsi="Arial"/>
          <w:sz w:val="13"/>
          <w:szCs w:val="13"/>
          <w:color w:val="auto"/>
        </w:rPr>
        <w:t>- 8 -</w:t>
      </w:r>
    </w:p>
    <w:p>
      <w:pPr>
        <w:sectPr>
          <w:pgSz w:w="11900" w:h="16838" w:orient="portrait"/>
          <w:cols w:equalWidth="0" w:num="1">
            <w:col w:w="9515"/>
          </w:cols>
          <w:pgMar w:left="1405"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35" w:right="300" w:hanging="239"/>
        <w:spacing w:after="0" w:line="286" w:lineRule="auto"/>
        <w:tabs>
          <w:tab w:leader="none" w:pos="215"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Der Verwaltungsrat ist ermächtigt, die Vorwegzeichnungsrechte der Aktionäre im Zusammenhang mit der Ausgabe von Finanzinstrumenten durch die Gesellschaft oder eine ihrer Gruppengesellschaften zu beschränken oder aufzuheben, falls (1) die Ausgabe zum Zwecke der Finanzierung oder Refinanzierung der Übernahme</w:t>
      </w:r>
    </w:p>
    <w:p>
      <w:pPr>
        <w:spacing w:after="0" w:line="3" w:lineRule="exact"/>
        <w:rPr>
          <w:sz w:val="20"/>
          <w:szCs w:val="20"/>
          <w:color w:val="auto"/>
        </w:rPr>
      </w:pPr>
    </w:p>
    <w:p>
      <w:pPr>
        <w:jc w:val="both"/>
        <w:ind w:left="235" w:right="300"/>
        <w:spacing w:after="0" w:line="299" w:lineRule="auto"/>
        <w:rPr>
          <w:sz w:val="20"/>
          <w:szCs w:val="20"/>
          <w:color w:val="auto"/>
        </w:rPr>
      </w:pPr>
      <w:r>
        <w:rPr>
          <w:rFonts w:ascii="Arial" w:cs="Arial" w:eastAsia="Arial" w:hAnsi="Arial"/>
          <w:sz w:val="17"/>
          <w:szCs w:val="17"/>
          <w:color w:val="auto"/>
        </w:rPr>
        <w:t>von Unternehmen, Unternehmensteilen, Beteiligungen oder Investitionen, oder (2) die Ausgabe auf nationalen oder internationalen Finanzmärkten oder im Rahmen einer Privatplatzierung erfolgt.</w:t>
      </w:r>
    </w:p>
    <w:p>
      <w:pPr>
        <w:spacing w:after="0" w:line="11" w:lineRule="exact"/>
        <w:rPr>
          <w:sz w:val="20"/>
          <w:szCs w:val="20"/>
          <w:color w:val="auto"/>
        </w:rPr>
      </w:pPr>
    </w:p>
    <w:p>
      <w:pPr>
        <w:jc w:val="both"/>
        <w:ind w:left="235" w:right="300"/>
        <w:spacing w:after="0" w:line="304" w:lineRule="auto"/>
        <w:rPr>
          <w:sz w:val="20"/>
          <w:szCs w:val="20"/>
          <w:color w:val="auto"/>
        </w:rPr>
      </w:pPr>
      <w:r>
        <w:rPr>
          <w:rFonts w:ascii="Arial" w:cs="Arial" w:eastAsia="Arial" w:hAnsi="Arial"/>
          <w:sz w:val="17"/>
          <w:szCs w:val="17"/>
          <w:color w:val="auto"/>
        </w:rPr>
        <w:t>Wird das Vorwegzeichnungsrecht weder direkt noch indirekt durch den Verwaltungsrat gewährt, gilt Folgendes:</w:t>
      </w:r>
    </w:p>
    <w:p>
      <w:pPr>
        <w:spacing w:after="0" w:line="17" w:lineRule="exact"/>
        <w:rPr>
          <w:sz w:val="20"/>
          <w:szCs w:val="20"/>
          <w:color w:val="auto"/>
        </w:rPr>
      </w:pPr>
    </w:p>
    <w:p>
      <w:pPr>
        <w:jc w:val="both"/>
        <w:ind w:left="655" w:right="300" w:hanging="415"/>
        <w:spacing w:after="0" w:line="304" w:lineRule="auto"/>
        <w:tabs>
          <w:tab w:leader="none" w:pos="64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Die Finanzinstrumente sind zu marktüblichen Bedingungen auszugeben oder einzugehen; und</w:t>
      </w:r>
    </w:p>
    <w:p>
      <w:pPr>
        <w:spacing w:after="0" w:line="4" w:lineRule="exact"/>
        <w:rPr>
          <w:rFonts w:ascii="Arial" w:cs="Arial" w:eastAsia="Arial" w:hAnsi="Arial"/>
          <w:sz w:val="17"/>
          <w:szCs w:val="17"/>
          <w:color w:val="auto"/>
        </w:rPr>
      </w:pPr>
    </w:p>
    <w:p>
      <w:pPr>
        <w:ind w:left="655" w:hanging="415"/>
        <w:spacing w:after="0"/>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der  Umwandlungs-,  Tausch-  oder  sonstige</w:t>
      </w:r>
    </w:p>
    <w:p>
      <w:pPr>
        <w:spacing w:after="0" w:line="45" w:lineRule="exact"/>
        <w:rPr>
          <w:rFonts w:ascii="Arial" w:cs="Arial" w:eastAsia="Arial" w:hAnsi="Arial"/>
          <w:sz w:val="17"/>
          <w:szCs w:val="17"/>
          <w:color w:val="auto"/>
        </w:rPr>
      </w:pPr>
    </w:p>
    <w:p>
      <w:pPr>
        <w:jc w:val="both"/>
        <w:ind w:left="655" w:right="320"/>
        <w:spacing w:after="0" w:line="287" w:lineRule="auto"/>
        <w:rPr>
          <w:rFonts w:ascii="Arial" w:cs="Arial" w:eastAsia="Arial" w:hAnsi="Arial"/>
          <w:sz w:val="17"/>
          <w:szCs w:val="17"/>
          <w:color w:val="auto"/>
        </w:rPr>
      </w:pPr>
      <w:r>
        <w:rPr>
          <w:rFonts w:ascii="Arial" w:cs="Arial" w:eastAsia="Arial" w:hAnsi="Arial"/>
          <w:sz w:val="17"/>
          <w:szCs w:val="17"/>
          <w:color w:val="auto"/>
        </w:rPr>
        <w:t>Ausübungspreis der Finanzinstrumente ist unter Berücksichtigung des Marktpreises im</w:t>
      </w:r>
    </w:p>
    <w:p>
      <w:pPr>
        <w:spacing w:after="0" w:line="1" w:lineRule="exact"/>
        <w:rPr>
          <w:rFonts w:ascii="Arial" w:cs="Arial" w:eastAsia="Arial" w:hAnsi="Arial"/>
          <w:sz w:val="17"/>
          <w:szCs w:val="17"/>
          <w:color w:val="auto"/>
        </w:rPr>
      </w:pPr>
    </w:p>
    <w:p>
      <w:pPr>
        <w:ind w:left="655" w:right="320"/>
        <w:spacing w:after="0" w:line="313" w:lineRule="auto"/>
        <w:rPr>
          <w:rFonts w:ascii="Arial" w:cs="Arial" w:eastAsia="Arial" w:hAnsi="Arial"/>
          <w:sz w:val="17"/>
          <w:szCs w:val="17"/>
          <w:color w:val="auto"/>
        </w:rPr>
      </w:pPr>
      <w:r>
        <w:rPr>
          <w:rFonts w:ascii="Arial" w:cs="Arial" w:eastAsia="Arial" w:hAnsi="Arial"/>
          <w:sz w:val="17"/>
          <w:szCs w:val="17"/>
          <w:color w:val="auto"/>
        </w:rPr>
        <w:t>Zeitpunkt der Ausgabe der Finanzinstrumente festzusetzen; und</w:t>
      </w:r>
    </w:p>
    <w:p>
      <w:pPr>
        <w:spacing w:after="0" w:line="9" w:lineRule="exact"/>
        <w:rPr>
          <w:rFonts w:ascii="Arial" w:cs="Arial" w:eastAsia="Arial" w:hAnsi="Arial"/>
          <w:sz w:val="17"/>
          <w:szCs w:val="17"/>
          <w:color w:val="auto"/>
        </w:rPr>
      </w:pPr>
    </w:p>
    <w:p>
      <w:pPr>
        <w:jc w:val="both"/>
        <w:ind w:left="655" w:right="320" w:hanging="415"/>
        <w:spacing w:after="0" w:line="287" w:lineRule="auto"/>
        <w:tabs>
          <w:tab w:leader="none" w:pos="64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die Finanzinstrumente sind höchstens während 10 Jahren ab dem jeweiligen Zeitpunkt der</w:t>
      </w:r>
    </w:p>
    <w:p>
      <w:pPr>
        <w:spacing w:after="0" w:line="1" w:lineRule="exact"/>
        <w:rPr>
          <w:rFonts w:ascii="Arial" w:cs="Arial" w:eastAsia="Arial" w:hAnsi="Arial"/>
          <w:sz w:val="17"/>
          <w:szCs w:val="17"/>
          <w:color w:val="auto"/>
        </w:rPr>
      </w:pPr>
    </w:p>
    <w:p>
      <w:pPr>
        <w:ind w:left="655" w:right="300"/>
        <w:spacing w:after="0" w:line="313" w:lineRule="auto"/>
        <w:rPr>
          <w:rFonts w:ascii="Arial" w:cs="Arial" w:eastAsia="Arial" w:hAnsi="Arial"/>
          <w:sz w:val="17"/>
          <w:szCs w:val="17"/>
          <w:color w:val="auto"/>
        </w:rPr>
      </w:pPr>
      <w:r>
        <w:rPr>
          <w:rFonts w:ascii="Arial" w:cs="Arial" w:eastAsia="Arial" w:hAnsi="Arial"/>
          <w:sz w:val="17"/>
          <w:szCs w:val="17"/>
          <w:color w:val="auto"/>
        </w:rPr>
        <w:t>betreffenden Ausgabe oder des betreffenden Abschlusses wandel-, tausch- oder ausübbar.</w:t>
      </w:r>
    </w:p>
    <w:p>
      <w:pPr>
        <w:spacing w:after="0" w:line="111" w:lineRule="exact"/>
        <w:rPr>
          <w:sz w:val="20"/>
          <w:szCs w:val="20"/>
          <w:color w:val="auto"/>
        </w:rPr>
      </w:pPr>
    </w:p>
    <w:p>
      <w:pPr>
        <w:jc w:val="both"/>
        <w:ind w:left="235" w:right="300" w:hanging="235"/>
        <w:spacing w:after="0" w:line="287" w:lineRule="auto"/>
        <w:tabs>
          <w:tab w:leader="none" w:pos="235" w:val="left"/>
        </w:tabs>
        <w:numPr>
          <w:ilvl w:val="0"/>
          <w:numId w:val="126"/>
        </w:numPr>
        <w:rPr>
          <w:rFonts w:ascii="Arial" w:cs="Arial" w:eastAsia="Arial" w:hAnsi="Arial"/>
          <w:sz w:val="13"/>
          <w:szCs w:val="13"/>
          <w:color w:val="auto"/>
        </w:rPr>
      </w:pPr>
      <w:r>
        <w:rPr>
          <w:rFonts w:ascii="Arial" w:cs="Arial" w:eastAsia="Arial" w:hAnsi="Arial"/>
          <w:sz w:val="17"/>
          <w:szCs w:val="17"/>
          <w:color w:val="auto"/>
        </w:rPr>
        <w:t>Die neuen Aktien, welche über die Ausübung von Finanzinstrumenten direkt oder indirekt erworben</w:t>
      </w:r>
    </w:p>
    <w:p>
      <w:pPr>
        <w:spacing w:after="0" w:line="1" w:lineRule="exact"/>
        <w:rPr>
          <w:rFonts w:ascii="Arial" w:cs="Arial" w:eastAsia="Arial" w:hAnsi="Arial"/>
          <w:sz w:val="13"/>
          <w:szCs w:val="13"/>
          <w:color w:val="auto"/>
        </w:rPr>
      </w:pPr>
    </w:p>
    <w:p>
      <w:pPr>
        <w:jc w:val="both"/>
        <w:ind w:left="235" w:right="320"/>
        <w:spacing w:after="0" w:line="304" w:lineRule="auto"/>
        <w:rPr>
          <w:rFonts w:ascii="Arial" w:cs="Arial" w:eastAsia="Arial" w:hAnsi="Arial"/>
          <w:sz w:val="13"/>
          <w:szCs w:val="13"/>
          <w:color w:val="auto"/>
        </w:rPr>
      </w:pPr>
      <w:r>
        <w:rPr>
          <w:rFonts w:ascii="Arial" w:cs="Arial" w:eastAsia="Arial" w:hAnsi="Arial"/>
          <w:sz w:val="17"/>
          <w:szCs w:val="17"/>
          <w:color w:val="auto"/>
        </w:rPr>
        <w:t>werden, sowie jede nachfolgende Übertragung der Aktien unterliegen den Beschränkungen von Artikel 5 dieser Statuten.</w:t>
      </w:r>
    </w:p>
    <w:p>
      <w:pPr>
        <w:spacing w:after="0" w:line="200" w:lineRule="exact"/>
        <w:rPr>
          <w:rFonts w:ascii="Arial" w:cs="Arial" w:eastAsia="Arial" w:hAnsi="Arial"/>
          <w:sz w:val="13"/>
          <w:szCs w:val="13"/>
          <w:color w:val="auto"/>
        </w:rPr>
      </w:pPr>
    </w:p>
    <w:p>
      <w:pPr>
        <w:spacing w:after="0" w:line="247" w:lineRule="exact"/>
        <w:rPr>
          <w:rFonts w:ascii="Arial" w:cs="Arial" w:eastAsia="Arial" w:hAnsi="Arial"/>
          <w:sz w:val="13"/>
          <w:szCs w:val="13"/>
          <w:color w:val="auto"/>
        </w:rPr>
      </w:pPr>
    </w:p>
    <w:p>
      <w:pPr>
        <w:ind w:left="235"/>
        <w:spacing w:after="0"/>
        <w:rPr>
          <w:rFonts w:ascii="Arial" w:cs="Arial" w:eastAsia="Arial" w:hAnsi="Arial"/>
          <w:sz w:val="13"/>
          <w:szCs w:val="13"/>
          <w:color w:val="auto"/>
        </w:rPr>
      </w:pPr>
      <w:r>
        <w:rPr>
          <w:rFonts w:ascii="Arial" w:cs="Arial" w:eastAsia="Arial" w:hAnsi="Arial"/>
          <w:sz w:val="17"/>
          <w:szCs w:val="17"/>
          <w:b w:val="1"/>
          <w:bCs w:val="1"/>
          <w:color w:val="auto"/>
        </w:rPr>
        <w:t>Artikel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40" w:hanging="239"/>
        <w:spacing w:after="0" w:line="290" w:lineRule="auto"/>
        <w:tabs>
          <w:tab w:leader="none" w:pos="22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The board of directors shall be authorized to withdraw or limit the advance subscription rights of the shareholders in connection with the issuance by the Company or one of its group companies of Financial Instruments if (1) the issuance is for purposes of financing or refinancing the acquisition of an enterprise, parts of an enterprise, participations or investments or (2) the issuance occurs in national or international capital markets or through a private placement.</w:t>
      </w:r>
    </w:p>
    <w:p>
      <w:pPr>
        <w:spacing w:after="0" w:line="31" w:lineRule="exact"/>
        <w:rPr>
          <w:sz w:val="20"/>
          <w:szCs w:val="20"/>
          <w:color w:val="auto"/>
        </w:rPr>
      </w:pPr>
    </w:p>
    <w:p>
      <w:pPr>
        <w:jc w:val="both"/>
        <w:ind w:left="240"/>
        <w:spacing w:after="0" w:line="304" w:lineRule="auto"/>
        <w:rPr>
          <w:sz w:val="20"/>
          <w:szCs w:val="20"/>
          <w:color w:val="auto"/>
        </w:rPr>
      </w:pPr>
      <w:r>
        <w:rPr>
          <w:rFonts w:ascii="Arial" w:cs="Arial" w:eastAsia="Arial" w:hAnsi="Arial"/>
          <w:sz w:val="17"/>
          <w:szCs w:val="17"/>
          <w:color w:val="auto"/>
        </w:rPr>
        <w:t>If the advance subscription rights are neither granted directly nor indirectly by the board of directors, the following shall apply:</w:t>
      </w:r>
    </w:p>
    <w:p>
      <w:pPr>
        <w:spacing w:after="0" w:line="17" w:lineRule="exact"/>
        <w:rPr>
          <w:sz w:val="20"/>
          <w:szCs w:val="20"/>
          <w:color w:val="auto"/>
        </w:rPr>
      </w:pPr>
    </w:p>
    <w:p>
      <w:pPr>
        <w:ind w:left="660" w:hanging="419"/>
        <w:spacing w:after="0" w:line="313" w:lineRule="auto"/>
        <w:tabs>
          <w:tab w:leader="none" w:pos="65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Financial Instruments shall be issued or entered into at market conditions; and</w:t>
      </w:r>
    </w:p>
    <w:p>
      <w:pPr>
        <w:spacing w:after="0" w:line="9" w:lineRule="exact"/>
        <w:rPr>
          <w:rFonts w:ascii="Arial" w:cs="Arial" w:eastAsia="Arial" w:hAnsi="Arial"/>
          <w:sz w:val="17"/>
          <w:szCs w:val="17"/>
          <w:color w:val="auto"/>
        </w:rPr>
      </w:pPr>
    </w:p>
    <w:p>
      <w:pPr>
        <w:jc w:val="both"/>
        <w:ind w:left="660" w:right="20" w:hanging="419"/>
        <w:spacing w:after="0" w:line="287" w:lineRule="auto"/>
        <w:tabs>
          <w:tab w:leader="none" w:pos="65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conversion, exchange or exercise price of the Financial Instruments shall be set with</w:t>
      </w:r>
    </w:p>
    <w:p>
      <w:pPr>
        <w:spacing w:after="0" w:line="1" w:lineRule="exact"/>
        <w:rPr>
          <w:rFonts w:ascii="Arial" w:cs="Arial" w:eastAsia="Arial" w:hAnsi="Arial"/>
          <w:sz w:val="17"/>
          <w:szCs w:val="17"/>
          <w:color w:val="auto"/>
        </w:rPr>
      </w:pPr>
    </w:p>
    <w:p>
      <w:pPr>
        <w:jc w:val="both"/>
        <w:ind w:left="660"/>
        <w:spacing w:after="0" w:line="304" w:lineRule="auto"/>
        <w:rPr>
          <w:rFonts w:ascii="Arial" w:cs="Arial" w:eastAsia="Arial" w:hAnsi="Arial"/>
          <w:sz w:val="17"/>
          <w:szCs w:val="17"/>
          <w:color w:val="auto"/>
        </w:rPr>
      </w:pPr>
      <w:r>
        <w:rPr>
          <w:rFonts w:ascii="Arial" w:cs="Arial" w:eastAsia="Arial" w:hAnsi="Arial"/>
          <w:sz w:val="17"/>
          <w:szCs w:val="17"/>
          <w:color w:val="auto"/>
        </w:rPr>
        <w:t>reference to the market conditions prevailing at the date on which the Financial Instruments are issued; and</w:t>
      </w:r>
    </w:p>
    <w:p>
      <w:pPr>
        <w:spacing w:after="0" w:line="4" w:lineRule="exact"/>
        <w:rPr>
          <w:rFonts w:ascii="Arial" w:cs="Arial" w:eastAsia="Arial" w:hAnsi="Arial"/>
          <w:sz w:val="17"/>
          <w:szCs w:val="17"/>
          <w:color w:val="auto"/>
        </w:rPr>
      </w:pPr>
    </w:p>
    <w:p>
      <w:pPr>
        <w:ind w:left="660" w:hanging="419"/>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Financial Instruments may be converted,</w:t>
      </w:r>
    </w:p>
    <w:p>
      <w:pPr>
        <w:spacing w:after="0" w:line="45" w:lineRule="exact"/>
        <w:rPr>
          <w:rFonts w:ascii="Arial" w:cs="Arial" w:eastAsia="Arial" w:hAnsi="Arial"/>
          <w:sz w:val="17"/>
          <w:szCs w:val="17"/>
          <w:color w:val="auto"/>
        </w:rPr>
      </w:pPr>
    </w:p>
    <w:p>
      <w:pPr>
        <w:jc w:val="both"/>
        <w:ind w:left="660"/>
        <w:spacing w:after="0" w:line="304" w:lineRule="auto"/>
        <w:rPr>
          <w:rFonts w:ascii="Arial" w:cs="Arial" w:eastAsia="Arial" w:hAnsi="Arial"/>
          <w:sz w:val="17"/>
          <w:szCs w:val="17"/>
          <w:color w:val="auto"/>
        </w:rPr>
      </w:pPr>
      <w:r>
        <w:rPr>
          <w:rFonts w:ascii="Arial" w:cs="Arial" w:eastAsia="Arial" w:hAnsi="Arial"/>
          <w:sz w:val="17"/>
          <w:szCs w:val="17"/>
          <w:color w:val="auto"/>
        </w:rPr>
        <w:t>exchanged or exercised during a maximum period of 10 years from the date of the relevant issuance or entry.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40" w:right="20" w:hanging="240"/>
        <w:spacing w:after="0" w:line="305" w:lineRule="auto"/>
        <w:tabs>
          <w:tab w:leader="none" w:pos="240" w:val="left"/>
        </w:tabs>
        <w:numPr>
          <w:ilvl w:val="0"/>
          <w:numId w:val="128"/>
        </w:numPr>
        <w:rPr>
          <w:rFonts w:ascii="Arial" w:cs="Arial" w:eastAsia="Arial" w:hAnsi="Arial"/>
          <w:sz w:val="13"/>
          <w:szCs w:val="13"/>
          <w:color w:val="auto"/>
        </w:rPr>
      </w:pPr>
      <w:r>
        <w:rPr>
          <w:rFonts w:ascii="Arial" w:cs="Arial" w:eastAsia="Arial" w:hAnsi="Arial"/>
          <w:sz w:val="16"/>
          <w:szCs w:val="16"/>
          <w:color w:val="auto"/>
        </w:rPr>
        <w:t>The new shares directly or indirectly acquired through the exercise of Financial Instruments and any</w:t>
      </w:r>
    </w:p>
    <w:p>
      <w:pPr>
        <w:ind w:left="240" w:right="20"/>
        <w:spacing w:after="0" w:line="347" w:lineRule="auto"/>
        <w:rPr>
          <w:rFonts w:ascii="Arial" w:cs="Arial" w:eastAsia="Arial" w:hAnsi="Arial"/>
          <w:sz w:val="13"/>
          <w:szCs w:val="13"/>
          <w:color w:val="auto"/>
        </w:rPr>
      </w:pPr>
      <w:r>
        <w:rPr>
          <w:rFonts w:ascii="Arial" w:cs="Arial" w:eastAsia="Arial" w:hAnsi="Arial"/>
          <w:sz w:val="16"/>
          <w:szCs w:val="16"/>
          <w:color w:val="auto"/>
        </w:rPr>
        <w:t>subsequent transfer of such shares shall be restricted by Article 5 of these Articles of Incorporation.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8" w:lineRule="exact"/>
        <w:rPr>
          <w:rFonts w:ascii="Arial" w:cs="Arial" w:eastAsia="Arial" w:hAnsi="Arial"/>
          <w:sz w:val="13"/>
          <w:szCs w:val="13"/>
          <w:color w:val="auto"/>
        </w:rPr>
      </w:pPr>
    </w:p>
    <w:p>
      <w:pPr>
        <w:ind w:left="240"/>
        <w:spacing w:after="0"/>
        <w:rPr>
          <w:rFonts w:ascii="Arial" w:cs="Arial" w:eastAsia="Arial" w:hAnsi="Arial"/>
          <w:sz w:val="13"/>
          <w:szCs w:val="13"/>
          <w:color w:val="auto"/>
        </w:rPr>
      </w:pPr>
      <w:r>
        <w:rPr>
          <w:rFonts w:ascii="Arial" w:cs="Arial" w:eastAsia="Arial" w:hAnsi="Arial"/>
          <w:sz w:val="17"/>
          <w:szCs w:val="17"/>
          <w:b w:val="1"/>
          <w:bCs w:val="1"/>
          <w:color w:val="auto"/>
        </w:rPr>
        <w:t>Article 4</w:t>
      </w:r>
    </w:p>
    <w:p>
      <w:pPr>
        <w:sectPr>
          <w:pgSz w:w="11900" w:h="16838" w:orient="portrait"/>
          <w:cols w:equalWidth="0" w:num="2">
            <w:col w:w="4535" w:space="720"/>
            <w:col w:w="4260"/>
          </w:cols>
          <w:pgMar w:left="1405" w:top="132" w:right="979" w:bottom="1440" w:gutter="0" w:footer="0" w:header="0"/>
          <w:type w:val="continuous"/>
        </w:sectPr>
      </w:pPr>
    </w:p>
    <w:bookmarkStart w:id="230" w:name="page231"/>
    <w:bookmarkEnd w:id="230"/>
    <w:p>
      <w:pPr>
        <w:ind w:left="5460"/>
        <w:spacing w:after="0"/>
        <w:rPr>
          <w:sz w:val="20"/>
          <w:szCs w:val="20"/>
          <w:color w:val="auto"/>
        </w:rPr>
      </w:pPr>
      <w:r>
        <w:rPr>
          <w:rFonts w:ascii="Arial" w:cs="Arial" w:eastAsia="Arial" w:hAnsi="Arial"/>
          <w:sz w:val="13"/>
          <w:szCs w:val="13"/>
          <w:color w:val="auto"/>
        </w:rPr>
        <w:t>- 9 -</w:t>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spacing w:after="0"/>
              <w:rPr>
                <w:sz w:val="20"/>
                <w:szCs w:val="20"/>
                <w:color w:val="auto"/>
              </w:rPr>
            </w:pPr>
            <w:r>
              <w:rPr>
                <w:rFonts w:ascii="Arial" w:cs="Arial" w:eastAsia="Arial" w:hAnsi="Arial"/>
                <w:sz w:val="13"/>
                <w:szCs w:val="13"/>
                <w:color w:val="auto"/>
              </w:rPr>
              <w:t>Aktienzertifikate und</w:t>
            </w:r>
          </w:p>
        </w:tc>
        <w:tc>
          <w:tcPr>
            <w:tcW w:w="1900" w:type="dxa"/>
            <w:vAlign w:val="bottom"/>
          </w:tcPr>
          <w:p>
            <w:pPr>
              <w:ind w:left="3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Gesellschaft</w:t>
            </w:r>
          </w:p>
        </w:tc>
        <w:tc>
          <w:tcPr>
            <w:tcW w:w="920" w:type="dxa"/>
            <w:vAlign w:val="bottom"/>
          </w:tcPr>
          <w:p>
            <w:pPr>
              <w:ind w:left="100"/>
              <w:spacing w:after="0"/>
              <w:rPr>
                <w:sz w:val="20"/>
                <w:szCs w:val="20"/>
                <w:color w:val="auto"/>
              </w:rPr>
            </w:pPr>
            <w:r>
              <w:rPr>
                <w:rFonts w:ascii="Arial" w:cs="Arial" w:eastAsia="Arial" w:hAnsi="Arial"/>
                <w:sz w:val="17"/>
                <w:szCs w:val="17"/>
                <w:color w:val="auto"/>
              </w:rPr>
              <w:t>kann  ihre</w:t>
            </w:r>
          </w:p>
        </w:tc>
        <w:tc>
          <w:tcPr>
            <w:tcW w:w="1080" w:type="dxa"/>
            <w:vAlign w:val="bottom"/>
          </w:tcPr>
          <w:p>
            <w:pPr>
              <w:ind w:left="60"/>
              <w:spacing w:after="0"/>
              <w:rPr>
                <w:sz w:val="20"/>
                <w:szCs w:val="20"/>
                <w:color w:val="auto"/>
              </w:rPr>
            </w:pPr>
            <w:r>
              <w:rPr>
                <w:rFonts w:ascii="Arial" w:cs="Arial" w:eastAsia="Arial" w:hAnsi="Arial"/>
                <w:sz w:val="17"/>
                <w:szCs w:val="17"/>
                <w:color w:val="auto"/>
                <w:w w:val="99"/>
              </w:rPr>
              <w:t>Namenaktien</w:t>
            </w:r>
          </w:p>
        </w:tc>
        <w:tc>
          <w:tcPr>
            <w:tcW w:w="320" w:type="dxa"/>
            <w:vAlign w:val="bottom"/>
          </w:tcPr>
          <w:p>
            <w:pPr>
              <w:jc w:val="right"/>
              <w:spacing w:after="0"/>
              <w:rPr>
                <w:sz w:val="20"/>
                <w:szCs w:val="20"/>
                <w:color w:val="auto"/>
              </w:rPr>
            </w:pPr>
            <w:r>
              <w:rPr>
                <w:rFonts w:ascii="Arial" w:cs="Arial" w:eastAsia="Arial" w:hAnsi="Arial"/>
                <w:sz w:val="17"/>
                <w:szCs w:val="17"/>
                <w:color w:val="auto"/>
              </w:rPr>
              <w:t>als</w:t>
            </w:r>
          </w:p>
        </w:tc>
      </w:tr>
      <w:tr>
        <w:trPr>
          <w:trHeight w:val="228"/>
        </w:trPr>
        <w:tc>
          <w:tcPr>
            <w:tcW w:w="1560" w:type="dxa"/>
            <w:vAlign w:val="bottom"/>
          </w:tcPr>
          <w:p>
            <w:pPr>
              <w:spacing w:after="0"/>
              <w:rPr>
                <w:sz w:val="20"/>
                <w:szCs w:val="20"/>
                <w:color w:val="auto"/>
              </w:rPr>
            </w:pPr>
            <w:r>
              <w:rPr>
                <w:rFonts w:ascii="Arial" w:cs="Arial" w:eastAsia="Arial" w:hAnsi="Arial"/>
                <w:sz w:val="13"/>
                <w:szCs w:val="13"/>
                <w:color w:val="auto"/>
              </w:rPr>
              <w:t>Bucheffekten</w:t>
            </w:r>
          </w:p>
        </w:tc>
        <w:tc>
          <w:tcPr>
            <w:tcW w:w="4220" w:type="dxa"/>
            <w:vAlign w:val="bottom"/>
            <w:gridSpan w:val="4"/>
          </w:tcPr>
          <w:p>
            <w:pPr>
              <w:jc w:val="right"/>
              <w:spacing w:after="0"/>
              <w:rPr>
                <w:sz w:val="20"/>
                <w:szCs w:val="20"/>
                <w:color w:val="auto"/>
              </w:rPr>
            </w:pPr>
            <w:r>
              <w:rPr>
                <w:rFonts w:ascii="Arial" w:cs="Arial" w:eastAsia="Arial" w:hAnsi="Arial"/>
                <w:sz w:val="17"/>
                <w:szCs w:val="17"/>
                <w:color w:val="auto"/>
              </w:rPr>
              <w:t>Wertrechte nach Artikel 973c oder 973d OR, als</w:t>
            </w:r>
          </w:p>
        </w:tc>
      </w:tr>
      <w:tr>
        <w:trPr>
          <w:trHeight w:val="241"/>
        </w:trPr>
        <w:tc>
          <w:tcPr>
            <w:tcW w:w="1560" w:type="dxa"/>
            <w:vAlign w:val="bottom"/>
          </w:tcPr>
          <w:p>
            <w:pPr>
              <w:spacing w:after="0"/>
              <w:rPr>
                <w:sz w:val="20"/>
                <w:szCs w:val="20"/>
                <w:color w:val="auto"/>
              </w:rPr>
            </w:pPr>
          </w:p>
        </w:tc>
        <w:tc>
          <w:tcPr>
            <w:tcW w:w="1900" w:type="dxa"/>
            <w:vAlign w:val="bottom"/>
          </w:tcPr>
          <w:p>
            <w:pPr>
              <w:ind w:left="580"/>
              <w:spacing w:after="0"/>
              <w:rPr>
                <w:sz w:val="20"/>
                <w:szCs w:val="20"/>
                <w:color w:val="auto"/>
              </w:rPr>
            </w:pPr>
            <w:r>
              <w:rPr>
                <w:rFonts w:ascii="Arial" w:cs="Arial" w:eastAsia="Arial" w:hAnsi="Arial"/>
                <w:sz w:val="17"/>
                <w:szCs w:val="17"/>
                <w:color w:val="auto"/>
              </w:rPr>
              <w:t>Bucheffekten</w:t>
            </w:r>
          </w:p>
        </w:tc>
        <w:tc>
          <w:tcPr>
            <w:tcW w:w="920" w:type="dxa"/>
            <w:vAlign w:val="bottom"/>
          </w:tcPr>
          <w:p>
            <w:pPr>
              <w:ind w:left="240"/>
              <w:spacing w:after="0"/>
              <w:rPr>
                <w:sz w:val="20"/>
                <w:szCs w:val="20"/>
                <w:color w:val="auto"/>
              </w:rPr>
            </w:pPr>
            <w:r>
              <w:rPr>
                <w:rFonts w:ascii="Arial" w:cs="Arial" w:eastAsia="Arial" w:hAnsi="Arial"/>
                <w:sz w:val="17"/>
                <w:szCs w:val="17"/>
                <w:color w:val="auto"/>
              </w:rPr>
              <w:t>im</w:t>
            </w:r>
          </w:p>
        </w:tc>
        <w:tc>
          <w:tcPr>
            <w:tcW w:w="1080" w:type="dxa"/>
            <w:vAlign w:val="bottom"/>
          </w:tcPr>
          <w:p>
            <w:pPr>
              <w:ind w:left="100"/>
              <w:spacing w:after="0"/>
              <w:rPr>
                <w:sz w:val="20"/>
                <w:szCs w:val="20"/>
                <w:color w:val="auto"/>
              </w:rPr>
            </w:pPr>
            <w:r>
              <w:rPr>
                <w:rFonts w:ascii="Arial" w:cs="Arial" w:eastAsia="Arial" w:hAnsi="Arial"/>
                <w:sz w:val="17"/>
                <w:szCs w:val="17"/>
                <w:color w:val="auto"/>
              </w:rPr>
              <w:t>Sinne</w:t>
            </w:r>
          </w:p>
        </w:tc>
        <w:tc>
          <w:tcPr>
            <w:tcW w:w="320" w:type="dxa"/>
            <w:vAlign w:val="bottom"/>
          </w:tcPr>
          <w:p>
            <w:pPr>
              <w:jc w:val="right"/>
              <w:spacing w:after="0"/>
              <w:rPr>
                <w:sz w:val="20"/>
                <w:szCs w:val="20"/>
                <w:color w:val="auto"/>
              </w:rPr>
            </w:pPr>
            <w:r>
              <w:rPr>
                <w:rFonts w:ascii="Arial" w:cs="Arial" w:eastAsia="Arial" w:hAnsi="Arial"/>
                <w:sz w:val="17"/>
                <w:szCs w:val="17"/>
                <w:color w:val="auto"/>
              </w:rPr>
              <w:t>des</w:t>
            </w:r>
          </w:p>
        </w:tc>
      </w:tr>
      <w:tr>
        <w:trPr>
          <w:trHeight w:val="228"/>
        </w:trPr>
        <w:tc>
          <w:tcPr>
            <w:tcW w:w="1560" w:type="dxa"/>
            <w:vAlign w:val="bottom"/>
          </w:tcPr>
          <w:p>
            <w:pPr>
              <w:spacing w:after="0"/>
              <w:rPr>
                <w:sz w:val="19"/>
                <w:szCs w:val="19"/>
                <w:color w:val="auto"/>
              </w:rPr>
            </w:pPr>
          </w:p>
        </w:tc>
        <w:tc>
          <w:tcPr>
            <w:tcW w:w="4220" w:type="dxa"/>
            <w:vAlign w:val="bottom"/>
            <w:gridSpan w:val="4"/>
          </w:tcPr>
          <w:p>
            <w:pPr>
              <w:jc w:val="right"/>
              <w:spacing w:after="0"/>
              <w:rPr>
                <w:sz w:val="20"/>
                <w:szCs w:val="20"/>
                <w:color w:val="auto"/>
              </w:rPr>
            </w:pPr>
            <w:r>
              <w:rPr>
                <w:rFonts w:ascii="Arial" w:cs="Arial" w:eastAsia="Arial" w:hAnsi="Arial"/>
                <w:sz w:val="17"/>
                <w:szCs w:val="17"/>
                <w:color w:val="auto"/>
              </w:rPr>
              <w:t>Bucheffektengesetzes  oder  als  Einzel-  oder</w:t>
            </w:r>
          </w:p>
        </w:tc>
      </w:tr>
      <w:tr>
        <w:trPr>
          <w:trHeight w:val="241"/>
        </w:trPr>
        <w:tc>
          <w:tcPr>
            <w:tcW w:w="1560" w:type="dxa"/>
            <w:vAlign w:val="bottom"/>
          </w:tcPr>
          <w:p>
            <w:pPr>
              <w:spacing w:after="0"/>
              <w:rPr>
                <w:sz w:val="20"/>
                <w:szCs w:val="20"/>
                <w:color w:val="auto"/>
              </w:rPr>
            </w:pPr>
          </w:p>
        </w:tc>
        <w:tc>
          <w:tcPr>
            <w:tcW w:w="1900" w:type="dxa"/>
            <w:vAlign w:val="bottom"/>
          </w:tcPr>
          <w:p>
            <w:pPr>
              <w:ind w:left="580"/>
              <w:spacing w:after="0"/>
              <w:rPr>
                <w:sz w:val="20"/>
                <w:szCs w:val="20"/>
                <w:color w:val="auto"/>
              </w:rPr>
            </w:pPr>
            <w:r>
              <w:rPr>
                <w:rFonts w:ascii="Arial" w:cs="Arial" w:eastAsia="Arial" w:hAnsi="Arial"/>
                <w:sz w:val="17"/>
                <w:szCs w:val="17"/>
                <w:color w:val="auto"/>
              </w:rPr>
              <w:t>Globalurkunden</w:t>
            </w:r>
          </w:p>
        </w:tc>
        <w:tc>
          <w:tcPr>
            <w:tcW w:w="920" w:type="dxa"/>
            <w:vAlign w:val="bottom"/>
          </w:tcPr>
          <w:p>
            <w:pPr>
              <w:ind w:left="20"/>
              <w:spacing w:after="0"/>
              <w:rPr>
                <w:sz w:val="20"/>
                <w:szCs w:val="20"/>
                <w:color w:val="auto"/>
              </w:rPr>
            </w:pPr>
            <w:r>
              <w:rPr>
                <w:rFonts w:ascii="Arial" w:cs="Arial" w:eastAsia="Arial" w:hAnsi="Arial"/>
                <w:sz w:val="17"/>
                <w:szCs w:val="17"/>
                <w:color w:val="auto"/>
              </w:rPr>
              <w:t>ausgeben.</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Der  Gesellschaft</w:t>
            </w:r>
          </w:p>
        </w:tc>
      </w:tr>
    </w:tbl>
    <w:p>
      <w:pPr>
        <w:spacing w:after="0" w:line="5" w:lineRule="exact"/>
        <w:rPr>
          <w:sz w:val="20"/>
          <w:szCs w:val="20"/>
          <w:color w:val="auto"/>
        </w:rPr>
      </w:pPr>
    </w:p>
    <w:p>
      <w:pPr>
        <w:jc w:val="both"/>
        <w:ind w:left="2140"/>
        <w:spacing w:after="0" w:line="295" w:lineRule="auto"/>
        <w:rPr>
          <w:sz w:val="20"/>
          <w:szCs w:val="20"/>
          <w:color w:val="auto"/>
        </w:rPr>
      </w:pPr>
      <w:r>
        <w:rPr>
          <w:rFonts w:ascii="Arial" w:cs="Arial" w:eastAsia="Arial" w:hAnsi="Arial"/>
          <w:sz w:val="17"/>
          <w:szCs w:val="17"/>
          <w:color w:val="auto"/>
        </w:rPr>
        <w:t>steht es im Rahmen der gesetzlichen Vorgaben frei, ihre in einer dieser Formen ausgegebenen Namenaktien jederzeit und ohne Zustimmung der Aktionäre in eine andere Form umzuwandeln. Die Gesellschaft trägt dafür die Kosten.</w:t>
      </w:r>
    </w:p>
    <w:p>
      <w:pPr>
        <w:spacing w:after="0" w:line="129" w:lineRule="exact"/>
        <w:rPr>
          <w:sz w:val="20"/>
          <w:szCs w:val="20"/>
          <w:color w:val="auto"/>
        </w:rPr>
      </w:pPr>
    </w:p>
    <w:p>
      <w:pPr>
        <w:jc w:val="both"/>
        <w:ind w:left="2140" w:hanging="219"/>
        <w:spacing w:after="0" w:line="311" w:lineRule="auto"/>
        <w:tabs>
          <w:tab w:leader="none" w:pos="212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6"/>
          <w:szCs w:val="16"/>
          <w:color w:val="auto"/>
        </w:rPr>
        <w:t>Der Aktionär hat keinen Anspruch auf Umwandlung von in bestimmter Form ausgegebenen Namenaktien in eine andere Form. Insbesondere hat der Aktionär keinen Anspruch auf die Verbriefung der Mitgliedschaft in einem Wertpapier. Jeder Aktionär kann jedoch von der Gesellschaft jederzeit die Ausstellung einer Bescheinigung über die von ihm gemäss Aktienbuch gehaltenen Namenaktien verlangen.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3</w:t>
            </w:r>
          </w:p>
        </w:tc>
        <w:tc>
          <w:tcPr>
            <w:tcW w:w="1160" w:type="dxa"/>
            <w:vAlign w:val="bottom"/>
          </w:tcPr>
          <w:p>
            <w:pPr>
              <w:ind w:left="80"/>
              <w:spacing w:after="0"/>
              <w:rPr>
                <w:sz w:val="20"/>
                <w:szCs w:val="20"/>
                <w:color w:val="auto"/>
              </w:rPr>
            </w:pPr>
            <w:r>
              <w:rPr>
                <w:rFonts w:ascii="Arial" w:cs="Arial" w:eastAsia="Arial" w:hAnsi="Arial"/>
                <w:sz w:val="17"/>
                <w:szCs w:val="17"/>
                <w:color w:val="auto"/>
              </w:rPr>
              <w:t>Bucheffekten,</w:t>
            </w:r>
          </w:p>
        </w:tc>
        <w:tc>
          <w:tcPr>
            <w:tcW w:w="940" w:type="dxa"/>
            <w:vAlign w:val="bottom"/>
          </w:tcPr>
          <w:p>
            <w:pPr>
              <w:jc w:val="center"/>
              <w:spacing w:after="0"/>
              <w:rPr>
                <w:sz w:val="20"/>
                <w:szCs w:val="20"/>
                <w:color w:val="auto"/>
              </w:rPr>
            </w:pPr>
            <w:r>
              <w:rPr>
                <w:rFonts w:ascii="Arial" w:cs="Arial" w:eastAsia="Arial" w:hAnsi="Arial"/>
                <w:sz w:val="17"/>
                <w:szCs w:val="17"/>
                <w:color w:val="auto"/>
              </w:rPr>
              <w:t>denen</w:t>
            </w:r>
          </w:p>
        </w:tc>
        <w:tc>
          <w:tcPr>
            <w:tcW w:w="1240" w:type="dxa"/>
            <w:vAlign w:val="bottom"/>
          </w:tcPr>
          <w:p>
            <w:pPr>
              <w:ind w:left="80"/>
              <w:spacing w:after="0"/>
              <w:rPr>
                <w:sz w:val="20"/>
                <w:szCs w:val="20"/>
                <w:color w:val="auto"/>
              </w:rPr>
            </w:pPr>
            <w:r>
              <w:rPr>
                <w:rFonts w:ascii="Arial" w:cs="Arial" w:eastAsia="Arial" w:hAnsi="Arial"/>
                <w:sz w:val="17"/>
                <w:szCs w:val="17"/>
                <w:color w:val="auto"/>
              </w:rPr>
              <w:t>Namenaktien</w:t>
            </w:r>
          </w:p>
        </w:tc>
        <w:tc>
          <w:tcPr>
            <w:tcW w:w="380" w:type="dxa"/>
            <w:vAlign w:val="bottom"/>
          </w:tcPr>
          <w:p>
            <w:pPr>
              <w:jc w:val="right"/>
              <w:spacing w:after="0"/>
              <w:rPr>
                <w:sz w:val="20"/>
                <w:szCs w:val="20"/>
                <w:color w:val="auto"/>
              </w:rPr>
            </w:pPr>
            <w:r>
              <w:rPr>
                <w:rFonts w:ascii="Arial" w:cs="Arial" w:eastAsia="Arial" w:hAnsi="Arial"/>
                <w:sz w:val="17"/>
                <w:szCs w:val="17"/>
                <w:color w:val="auto"/>
              </w:rPr>
              <w:t>der</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Gesellschaft  zugrunde  liegen,  können  nicht</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durch Zession übertragen werden. An diesen</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Bucheffekten können auch keine Sicherheiten</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3"/>
          </w:tcPr>
          <w:p>
            <w:pPr>
              <w:ind w:left="80"/>
              <w:spacing w:after="0"/>
              <w:rPr>
                <w:sz w:val="20"/>
                <w:szCs w:val="20"/>
                <w:color w:val="auto"/>
              </w:rPr>
            </w:pPr>
            <w:r>
              <w:rPr>
                <w:rFonts w:ascii="Arial" w:cs="Arial" w:eastAsia="Arial" w:hAnsi="Arial"/>
                <w:sz w:val="17"/>
                <w:szCs w:val="17"/>
                <w:color w:val="auto"/>
              </w:rPr>
              <w:t>durch Zession bestellt werden.</w:t>
            </w:r>
          </w:p>
        </w:tc>
        <w:tc>
          <w:tcPr>
            <w:tcW w:w="380" w:type="dxa"/>
            <w:vAlign w:val="bottom"/>
          </w:tcPr>
          <w:p>
            <w:pPr>
              <w:spacing w:after="0"/>
              <w:rPr>
                <w:sz w:val="20"/>
                <w:szCs w:val="20"/>
                <w:color w:val="auto"/>
              </w:rPr>
            </w:pPr>
          </w:p>
        </w:tc>
      </w:tr>
      <w:tr>
        <w:trPr>
          <w:trHeight w:val="401"/>
        </w:trPr>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7"/>
                <w:szCs w:val="17"/>
                <w:b w:val="1"/>
                <w:bCs w:val="1"/>
                <w:color w:val="auto"/>
              </w:rPr>
              <w:t>Artikel 5</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5"/>
        </w:trPr>
        <w:tc>
          <w:tcPr>
            <w:tcW w:w="1880" w:type="dxa"/>
            <w:vAlign w:val="bottom"/>
          </w:tcPr>
          <w:p>
            <w:pPr>
              <w:spacing w:after="0"/>
              <w:rPr>
                <w:sz w:val="20"/>
                <w:szCs w:val="20"/>
                <w:color w:val="auto"/>
              </w:rPr>
            </w:pPr>
            <w:r>
              <w:rPr>
                <w:rFonts w:ascii="Arial" w:cs="Arial" w:eastAsia="Arial" w:hAnsi="Arial"/>
                <w:sz w:val="13"/>
                <w:szCs w:val="13"/>
                <w:color w:val="auto"/>
              </w:rPr>
              <w:t>Aktienbuch,</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Die Gesellschaft führt für die Namenaktien ein</w:t>
            </w:r>
          </w:p>
        </w:tc>
      </w:tr>
      <w:tr>
        <w:trPr>
          <w:trHeight w:val="228"/>
        </w:trPr>
        <w:tc>
          <w:tcPr>
            <w:tcW w:w="1880" w:type="dxa"/>
            <w:vAlign w:val="bottom"/>
          </w:tcPr>
          <w:p>
            <w:pPr>
              <w:spacing w:after="0"/>
              <w:rPr>
                <w:sz w:val="20"/>
                <w:szCs w:val="20"/>
                <w:color w:val="auto"/>
              </w:rPr>
            </w:pPr>
            <w:r>
              <w:rPr>
                <w:rFonts w:ascii="Arial" w:cs="Arial" w:eastAsia="Arial" w:hAnsi="Arial"/>
                <w:sz w:val="13"/>
                <w:szCs w:val="13"/>
                <w:color w:val="auto"/>
              </w:rPr>
              <w:t>Übertragungsbeschränkungen,</w:t>
            </w: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Aktienbuch,  in  welches  die  Eigentümer  und</w:t>
            </w:r>
          </w:p>
        </w:tc>
      </w:tr>
      <w:tr>
        <w:trPr>
          <w:trHeight w:val="241"/>
        </w:trPr>
        <w:tc>
          <w:tcPr>
            <w:tcW w:w="1880" w:type="dxa"/>
            <w:vAlign w:val="bottom"/>
          </w:tcPr>
          <w:p>
            <w:pPr>
              <w:spacing w:after="0"/>
              <w:rPr>
                <w:sz w:val="20"/>
                <w:szCs w:val="20"/>
                <w:color w:val="auto"/>
              </w:rPr>
            </w:pPr>
            <w:r>
              <w:rPr>
                <w:rFonts w:ascii="Arial" w:cs="Arial" w:eastAsia="Arial" w:hAnsi="Arial"/>
                <w:sz w:val="13"/>
                <w:szCs w:val="13"/>
                <w:color w:val="auto"/>
              </w:rPr>
              <w:t>Nominees</w:t>
            </w: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7"/>
                <w:szCs w:val="17"/>
                <w:color w:val="auto"/>
              </w:rPr>
              <w:t>Nutzniesser  mit  Namen</w:t>
            </w:r>
          </w:p>
        </w:tc>
        <w:tc>
          <w:tcPr>
            <w:tcW w:w="1240" w:type="dxa"/>
            <w:vAlign w:val="bottom"/>
          </w:tcPr>
          <w:p>
            <w:pPr>
              <w:ind w:left="20"/>
              <w:spacing w:after="0"/>
              <w:rPr>
                <w:sz w:val="20"/>
                <w:szCs w:val="20"/>
                <w:color w:val="auto"/>
              </w:rPr>
            </w:pPr>
            <w:r>
              <w:rPr>
                <w:rFonts w:ascii="Arial" w:cs="Arial" w:eastAsia="Arial" w:hAnsi="Arial"/>
                <w:sz w:val="17"/>
                <w:szCs w:val="17"/>
                <w:color w:val="auto"/>
              </w:rPr>
              <w:t>und  Vornamen</w:t>
            </w:r>
          </w:p>
        </w:tc>
        <w:tc>
          <w:tcPr>
            <w:tcW w:w="380" w:type="dxa"/>
            <w:vAlign w:val="bottom"/>
          </w:tcPr>
          <w:p>
            <w:pPr>
              <w:jc w:val="right"/>
              <w:spacing w:after="0"/>
              <w:rPr>
                <w:sz w:val="20"/>
                <w:szCs w:val="20"/>
                <w:color w:val="auto"/>
              </w:rPr>
            </w:pPr>
            <w:r>
              <w:rPr>
                <w:rFonts w:ascii="Arial" w:cs="Arial" w:eastAsia="Arial" w:hAnsi="Arial"/>
                <w:sz w:val="17"/>
                <w:szCs w:val="17"/>
                <w:color w:val="auto"/>
              </w:rPr>
              <w:t>(bei</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juristischen Personen die Firma), Kontaktdaten</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7"/>
                <w:szCs w:val="17"/>
                <w:color w:val="auto"/>
              </w:rPr>
              <w:t>und   Staatsangehörigkeit</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(bei   juristischen</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Personen   der   Sitz)   eingetragen   werden.</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Wechselt  eine  im  Aktienbuch  eingetragene</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Person ihre Kontaktdaten, so hat sie dies der</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7"/>
                <w:szCs w:val="17"/>
                <w:color w:val="auto"/>
              </w:rPr>
              <w:t>Gesellschaft</w:t>
            </w:r>
          </w:p>
        </w:tc>
        <w:tc>
          <w:tcPr>
            <w:tcW w:w="940" w:type="dxa"/>
            <w:vAlign w:val="bottom"/>
          </w:tcPr>
          <w:p>
            <w:pPr>
              <w:ind w:left="80"/>
              <w:spacing w:after="0"/>
              <w:rPr>
                <w:sz w:val="20"/>
                <w:szCs w:val="20"/>
                <w:color w:val="auto"/>
              </w:rPr>
            </w:pPr>
            <w:r>
              <w:rPr>
                <w:rFonts w:ascii="Arial" w:cs="Arial" w:eastAsia="Arial" w:hAnsi="Arial"/>
                <w:sz w:val="17"/>
                <w:szCs w:val="17"/>
                <w:color w:val="auto"/>
                <w:w w:val="97"/>
              </w:rPr>
              <w:t>mitzuteilen.</w:t>
            </w:r>
          </w:p>
        </w:tc>
        <w:tc>
          <w:tcPr>
            <w:tcW w:w="1240" w:type="dxa"/>
            <w:vAlign w:val="bottom"/>
          </w:tcPr>
          <w:p>
            <w:pPr>
              <w:ind w:left="220"/>
              <w:spacing w:after="0"/>
              <w:rPr>
                <w:sz w:val="20"/>
                <w:szCs w:val="20"/>
                <w:color w:val="auto"/>
              </w:rPr>
            </w:pPr>
            <w:r>
              <w:rPr>
                <w:rFonts w:ascii="Arial" w:cs="Arial" w:eastAsia="Arial" w:hAnsi="Arial"/>
                <w:sz w:val="17"/>
                <w:szCs w:val="17"/>
                <w:color w:val="auto"/>
              </w:rPr>
              <w:t>Mitteilungen</w:t>
            </w:r>
          </w:p>
        </w:tc>
        <w:tc>
          <w:tcPr>
            <w:tcW w:w="380" w:type="dxa"/>
            <w:vAlign w:val="bottom"/>
          </w:tcPr>
          <w:p>
            <w:pPr>
              <w:jc w:val="right"/>
              <w:spacing w:after="0"/>
              <w:rPr>
                <w:sz w:val="20"/>
                <w:szCs w:val="20"/>
                <w:color w:val="auto"/>
              </w:rPr>
            </w:pPr>
            <w:r>
              <w:rPr>
                <w:rFonts w:ascii="Arial" w:cs="Arial" w:eastAsia="Arial" w:hAnsi="Arial"/>
                <w:sz w:val="17"/>
                <w:szCs w:val="17"/>
                <w:color w:val="auto"/>
              </w:rPr>
              <w:t>der</w:t>
            </w:r>
          </w:p>
        </w:tc>
      </w:tr>
      <w:tr>
        <w:trPr>
          <w:trHeight w:val="228"/>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w w:val="99"/>
              </w:rPr>
              <w:t>Gesellschaft gelten als rechtsgültig erfolgt, wenn</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4"/>
          </w:tcPr>
          <w:p>
            <w:pPr>
              <w:ind w:left="80"/>
              <w:spacing w:after="0"/>
              <w:rPr>
                <w:sz w:val="20"/>
                <w:szCs w:val="20"/>
                <w:color w:val="auto"/>
              </w:rPr>
            </w:pPr>
            <w:r>
              <w:rPr>
                <w:rFonts w:ascii="Arial" w:cs="Arial" w:eastAsia="Arial" w:hAnsi="Arial"/>
                <w:sz w:val="17"/>
                <w:szCs w:val="17"/>
                <w:color w:val="auto"/>
              </w:rPr>
              <w:t>sie an die im Aktienbuch zuletzt eingetragenen</w:t>
            </w:r>
          </w:p>
        </w:tc>
      </w:tr>
      <w:tr>
        <w:trPr>
          <w:trHeight w:val="241"/>
        </w:trPr>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7"/>
                <w:szCs w:val="17"/>
                <w:color w:val="auto"/>
              </w:rPr>
              <w:t>Kontaktdaten</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des</w:t>
            </w:r>
          </w:p>
        </w:tc>
        <w:tc>
          <w:tcPr>
            <w:tcW w:w="1240" w:type="dxa"/>
            <w:vAlign w:val="bottom"/>
          </w:tcPr>
          <w:p>
            <w:pPr>
              <w:ind w:left="120"/>
              <w:spacing w:after="0"/>
              <w:rPr>
                <w:sz w:val="20"/>
                <w:szCs w:val="20"/>
                <w:color w:val="auto"/>
              </w:rPr>
            </w:pPr>
            <w:r>
              <w:rPr>
                <w:rFonts w:ascii="Arial" w:cs="Arial" w:eastAsia="Arial" w:hAnsi="Arial"/>
                <w:sz w:val="17"/>
                <w:szCs w:val="17"/>
                <w:color w:val="auto"/>
              </w:rPr>
              <w:t>Aktionärs</w:t>
            </w:r>
          </w:p>
        </w:tc>
        <w:tc>
          <w:tcPr>
            <w:tcW w:w="380" w:type="dxa"/>
            <w:vAlign w:val="bottom"/>
          </w:tcPr>
          <w:p>
            <w:pPr>
              <w:jc w:val="right"/>
              <w:spacing w:after="0"/>
              <w:rPr>
                <w:sz w:val="20"/>
                <w:szCs w:val="20"/>
                <w:color w:val="auto"/>
              </w:rPr>
            </w:pPr>
            <w:r>
              <w:rPr>
                <w:rFonts w:ascii="Arial" w:cs="Arial" w:eastAsia="Arial" w:hAnsi="Arial"/>
                <w:sz w:val="17"/>
                <w:szCs w:val="17"/>
                <w:color w:val="auto"/>
              </w:rPr>
              <w:t>bzw.</w:t>
            </w:r>
          </w:p>
        </w:tc>
      </w:tr>
    </w:tbl>
    <w:p>
      <w:pPr>
        <w:spacing w:after="0" w:line="5"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Zustellungsbevollmächtigten gesendet werden.</w:t>
      </w:r>
    </w:p>
    <w:p>
      <w:pPr>
        <w:spacing w:after="0" w:line="197" w:lineRule="exact"/>
        <w:rPr>
          <w:sz w:val="20"/>
          <w:szCs w:val="20"/>
          <w:color w:val="auto"/>
        </w:rPr>
      </w:pPr>
    </w:p>
    <w:p>
      <w:pPr>
        <w:jc w:val="both"/>
        <w:ind w:left="2140" w:hanging="222"/>
        <w:spacing w:after="0" w:line="287" w:lineRule="auto"/>
        <w:tabs>
          <w:tab w:leader="none" w:pos="2140" w:val="left"/>
        </w:tabs>
        <w:numPr>
          <w:ilvl w:val="0"/>
          <w:numId w:val="129"/>
        </w:numPr>
        <w:rPr>
          <w:rFonts w:ascii="Arial" w:cs="Arial" w:eastAsia="Arial" w:hAnsi="Arial"/>
          <w:sz w:val="13"/>
          <w:szCs w:val="13"/>
          <w:color w:val="auto"/>
        </w:rPr>
      </w:pPr>
      <w:r>
        <w:rPr>
          <w:rFonts w:ascii="Arial" w:cs="Arial" w:eastAsia="Arial" w:hAnsi="Arial"/>
          <w:sz w:val="17"/>
          <w:szCs w:val="17"/>
          <w:color w:val="auto"/>
        </w:rPr>
        <w:t>Erwerber von Namenaktien werden auf Gesuch als Aktionäre mit Stimmrecht im Aktienbuch</w:t>
      </w:r>
    </w:p>
    <w:p>
      <w:pPr>
        <w:spacing w:after="0" w:line="1" w:lineRule="exact"/>
        <w:rPr>
          <w:rFonts w:ascii="Arial" w:cs="Arial" w:eastAsia="Arial" w:hAnsi="Arial"/>
          <w:sz w:val="13"/>
          <w:szCs w:val="13"/>
          <w:color w:val="auto"/>
        </w:rPr>
      </w:pPr>
    </w:p>
    <w:p>
      <w:pPr>
        <w:jc w:val="both"/>
        <w:ind w:left="2140"/>
        <w:spacing w:after="0" w:line="287" w:lineRule="auto"/>
        <w:rPr>
          <w:rFonts w:ascii="Arial" w:cs="Arial" w:eastAsia="Arial" w:hAnsi="Arial"/>
          <w:sz w:val="13"/>
          <w:szCs w:val="13"/>
          <w:color w:val="auto"/>
        </w:rPr>
      </w:pPr>
      <w:r>
        <w:rPr>
          <w:rFonts w:ascii="Arial" w:cs="Arial" w:eastAsia="Arial" w:hAnsi="Arial"/>
          <w:sz w:val="17"/>
          <w:szCs w:val="17"/>
          <w:color w:val="auto"/>
        </w:rPr>
        <w:t>eingetragen, falls sie ausdrücklich erklären, diese Namenaktien im eigenen Namen und für</w:t>
      </w:r>
    </w:p>
    <w:p>
      <w:pPr>
        <w:spacing w:after="0" w:line="1" w:lineRule="exact"/>
        <w:rPr>
          <w:rFonts w:ascii="Arial" w:cs="Arial" w:eastAsia="Arial" w:hAnsi="Arial"/>
          <w:sz w:val="13"/>
          <w:szCs w:val="13"/>
          <w:color w:val="auto"/>
        </w:rPr>
      </w:pPr>
    </w:p>
    <w:p>
      <w:pPr>
        <w:jc w:val="both"/>
        <w:ind w:left="2140"/>
        <w:spacing w:after="0" w:line="287" w:lineRule="auto"/>
        <w:rPr>
          <w:rFonts w:ascii="Arial" w:cs="Arial" w:eastAsia="Arial" w:hAnsi="Arial"/>
          <w:sz w:val="13"/>
          <w:szCs w:val="13"/>
          <w:color w:val="auto"/>
        </w:rPr>
      </w:pPr>
      <w:r>
        <w:rPr>
          <w:rFonts w:ascii="Arial" w:cs="Arial" w:eastAsia="Arial" w:hAnsi="Arial"/>
          <w:sz w:val="17"/>
          <w:szCs w:val="17"/>
          <w:color w:val="auto"/>
        </w:rPr>
        <w:t>eigene Rechnung erworben zu haben, keine Vereinbarung über die Rücknahme oder die</w:t>
      </w:r>
    </w:p>
    <w:p>
      <w:pPr>
        <w:spacing w:after="0" w:line="1" w:lineRule="exact"/>
        <w:rPr>
          <w:rFonts w:ascii="Arial" w:cs="Arial" w:eastAsia="Arial" w:hAnsi="Arial"/>
          <w:sz w:val="13"/>
          <w:szCs w:val="13"/>
          <w:color w:val="auto"/>
        </w:rPr>
      </w:pPr>
    </w:p>
    <w:p>
      <w:pPr>
        <w:jc w:val="both"/>
        <w:ind w:left="2140"/>
        <w:spacing w:after="0" w:line="304" w:lineRule="auto"/>
        <w:rPr>
          <w:rFonts w:ascii="Arial" w:cs="Arial" w:eastAsia="Arial" w:hAnsi="Arial"/>
          <w:sz w:val="13"/>
          <w:szCs w:val="13"/>
          <w:color w:val="auto"/>
        </w:rPr>
      </w:pPr>
      <w:r>
        <w:rPr>
          <w:rFonts w:ascii="Arial" w:cs="Arial" w:eastAsia="Arial" w:hAnsi="Arial"/>
          <w:sz w:val="17"/>
          <w:szCs w:val="17"/>
          <w:color w:val="auto"/>
        </w:rPr>
        <w:t>Rückgabe entsprechender Aktien besteht und sie das mit den Aktien verbundene wirtschaftliche Risiko tragen.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3"/>
                <w:szCs w:val="13"/>
                <w:color w:val="auto"/>
              </w:rPr>
              <w:t>Share</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The Company may issue its registered shares</w:t>
            </w:r>
          </w:p>
        </w:tc>
      </w:tr>
      <w:tr>
        <w:trPr>
          <w:trHeight w:val="228"/>
        </w:trPr>
        <w:tc>
          <w:tcPr>
            <w:tcW w:w="860" w:type="dxa"/>
            <w:vAlign w:val="bottom"/>
          </w:tcPr>
          <w:p>
            <w:pPr>
              <w:spacing w:after="0"/>
              <w:rPr>
                <w:sz w:val="20"/>
                <w:szCs w:val="20"/>
                <w:color w:val="auto"/>
              </w:rPr>
            </w:pPr>
            <w:r>
              <w:rPr>
                <w:rFonts w:ascii="Arial" w:cs="Arial" w:eastAsia="Arial" w:hAnsi="Arial"/>
                <w:sz w:val="13"/>
                <w:szCs w:val="13"/>
                <w:color w:val="auto"/>
              </w:rPr>
              <w:t>Certificates</w:t>
            </w: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as uncertificated securities pursuant to article</w:t>
            </w:r>
          </w:p>
        </w:tc>
      </w:tr>
      <w:tr>
        <w:trPr>
          <w:trHeight w:val="241"/>
        </w:trPr>
        <w:tc>
          <w:tcPr>
            <w:tcW w:w="860" w:type="dxa"/>
            <w:vAlign w:val="bottom"/>
          </w:tcPr>
          <w:p>
            <w:pPr>
              <w:spacing w:after="0"/>
              <w:rPr>
                <w:sz w:val="20"/>
                <w:szCs w:val="20"/>
                <w:color w:val="auto"/>
              </w:rPr>
            </w:pPr>
            <w:r>
              <w:rPr>
                <w:rFonts w:ascii="Arial" w:cs="Arial" w:eastAsia="Arial" w:hAnsi="Arial"/>
                <w:sz w:val="13"/>
                <w:szCs w:val="13"/>
                <w:color w:val="auto"/>
              </w:rPr>
              <w:t>and</w:t>
            </w: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973c or 973d CO, as intermediated securities</w:t>
            </w:r>
          </w:p>
        </w:tc>
      </w:tr>
      <w:tr>
        <w:trPr>
          <w:trHeight w:val="228"/>
        </w:trPr>
        <w:tc>
          <w:tcPr>
            <w:tcW w:w="860" w:type="dxa"/>
            <w:vAlign w:val="bottom"/>
          </w:tcPr>
          <w:p>
            <w:pPr>
              <w:spacing w:after="0"/>
              <w:rPr>
                <w:sz w:val="20"/>
                <w:szCs w:val="20"/>
                <w:color w:val="auto"/>
              </w:rPr>
            </w:pPr>
            <w:r>
              <w:rPr>
                <w:rFonts w:ascii="Arial" w:cs="Arial" w:eastAsia="Arial" w:hAnsi="Arial"/>
                <w:sz w:val="13"/>
                <w:szCs w:val="13"/>
                <w:color w:val="auto"/>
              </w:rPr>
              <w:t>Intermediated</w:t>
            </w: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in  the  sense  of  the  Federal  Act  on</w:t>
            </w:r>
          </w:p>
        </w:tc>
      </w:tr>
      <w:tr>
        <w:trPr>
          <w:trHeight w:val="241"/>
        </w:trPr>
        <w:tc>
          <w:tcPr>
            <w:tcW w:w="860" w:type="dxa"/>
            <w:vAlign w:val="bottom"/>
          </w:tcPr>
          <w:p>
            <w:pPr>
              <w:spacing w:after="0"/>
              <w:rPr>
                <w:sz w:val="20"/>
                <w:szCs w:val="20"/>
                <w:color w:val="auto"/>
              </w:rPr>
            </w:pPr>
            <w:r>
              <w:rPr>
                <w:rFonts w:ascii="Arial" w:cs="Arial" w:eastAsia="Arial" w:hAnsi="Arial"/>
                <w:sz w:val="13"/>
                <w:szCs w:val="13"/>
                <w:color w:val="auto"/>
              </w:rPr>
              <w:t>Securities</w:t>
            </w: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Intermediated  Securities,  or  in  the  form  of</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single  or  global  certificates.  Subject</w:t>
            </w:r>
          </w:p>
        </w:tc>
        <w:tc>
          <w:tcPr>
            <w:tcW w:w="280" w:type="dxa"/>
            <w:vAlign w:val="bottom"/>
          </w:tcPr>
          <w:p>
            <w:pPr>
              <w:jc w:val="right"/>
              <w:spacing w:after="0"/>
              <w:rPr>
                <w:sz w:val="20"/>
                <w:szCs w:val="20"/>
                <w:color w:val="auto"/>
              </w:rPr>
            </w:pPr>
            <w:r>
              <w:rPr>
                <w:rFonts w:ascii="Arial" w:cs="Arial" w:eastAsia="Arial" w:hAnsi="Arial"/>
                <w:sz w:val="17"/>
                <w:szCs w:val="17"/>
                <w:color w:val="auto"/>
              </w:rPr>
              <w:t>to</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applicable law, the Company may convert its</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registered shares from one form into another</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form at any time and without the approval of</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w w:val="99"/>
              </w:rPr>
              <w:t>the shareholders. The Company shall bear the</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cost associated with any such conversion.</w:t>
            </w:r>
          </w:p>
        </w:tc>
        <w:tc>
          <w:tcPr>
            <w:tcW w:w="280" w:type="dxa"/>
            <w:vAlign w:val="bottom"/>
          </w:tcPr>
          <w:p>
            <w:pPr>
              <w:spacing w:after="0"/>
              <w:rPr>
                <w:sz w:val="20"/>
                <w:szCs w:val="20"/>
                <w:color w:val="auto"/>
              </w:rPr>
            </w:pPr>
          </w:p>
        </w:tc>
      </w:tr>
      <w:tr>
        <w:trPr>
          <w:trHeight w:val="393"/>
        </w:trPr>
        <w:tc>
          <w:tcPr>
            <w:tcW w:w="860" w:type="dxa"/>
            <w:vAlign w:val="bottom"/>
          </w:tcPr>
          <w:p>
            <w:pPr>
              <w:spacing w:after="0"/>
              <w:rPr>
                <w:sz w:val="24"/>
                <w:szCs w:val="2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The shareholder has no right to demand a</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conversion  of  the  form  of  the  registered</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shares. In particular, the shareholder has no</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claim to the certification of the membership in</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w w:val="99"/>
              </w:rPr>
              <w:t>a security. Each shareholder may, however, at</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any time request a written confirmation from</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the Company of the registered shares held by</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such shareholder, as reflected in the share</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register.</w:t>
            </w:r>
          </w:p>
        </w:tc>
        <w:tc>
          <w:tcPr>
            <w:tcW w:w="280" w:type="dxa"/>
            <w:vAlign w:val="bottom"/>
          </w:tcPr>
          <w:p>
            <w:pPr>
              <w:spacing w:after="0"/>
              <w:rPr>
                <w:sz w:val="20"/>
                <w:szCs w:val="20"/>
                <w:color w:val="auto"/>
              </w:rPr>
            </w:pPr>
          </w:p>
        </w:tc>
      </w:tr>
      <w:tr>
        <w:trPr>
          <w:trHeight w:val="393"/>
        </w:trPr>
        <w:tc>
          <w:tcPr>
            <w:tcW w:w="860" w:type="dxa"/>
            <w:vAlign w:val="bottom"/>
          </w:tcPr>
          <w:p>
            <w:pPr>
              <w:spacing w:after="0"/>
              <w:rPr>
                <w:sz w:val="24"/>
                <w:szCs w:val="2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Intermediated securities based on registered</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shares of the Company cannot be transferred</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by  way  of  assignment.  Further,  a  security</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interest in any such intermediated securities</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cannot be granted by way of assignment.</w:t>
            </w:r>
          </w:p>
        </w:tc>
        <w:tc>
          <w:tcPr>
            <w:tcW w:w="280" w:type="dxa"/>
            <w:vAlign w:val="bottom"/>
          </w:tcPr>
          <w:p>
            <w:pPr>
              <w:spacing w:after="0"/>
              <w:rPr>
                <w:sz w:val="20"/>
                <w:szCs w:val="20"/>
                <w:color w:val="auto"/>
              </w:rPr>
            </w:pPr>
          </w:p>
        </w:tc>
      </w:tr>
      <w:tr>
        <w:trPr>
          <w:trHeight w:val="40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Arial" w:cs="Arial" w:eastAsia="Arial" w:hAnsi="Arial"/>
                <w:sz w:val="17"/>
                <w:szCs w:val="17"/>
                <w:b w:val="1"/>
                <w:bCs w:val="1"/>
                <w:color w:val="auto"/>
              </w:rPr>
              <w:t>Article 5</w:t>
            </w:r>
          </w:p>
        </w:tc>
        <w:tc>
          <w:tcPr>
            <w:tcW w:w="280" w:type="dxa"/>
            <w:vAlign w:val="bottom"/>
          </w:tcPr>
          <w:p>
            <w:pPr>
              <w:spacing w:after="0"/>
              <w:rPr>
                <w:sz w:val="24"/>
                <w:szCs w:val="24"/>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3"/>
                <w:szCs w:val="13"/>
                <w:color w:val="auto"/>
              </w:rPr>
              <w:t>Share</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The Company shall maintain a share register</w:t>
            </w:r>
          </w:p>
        </w:tc>
      </w:tr>
      <w:tr>
        <w:trPr>
          <w:trHeight w:val="228"/>
        </w:trPr>
        <w:tc>
          <w:tcPr>
            <w:tcW w:w="860" w:type="dxa"/>
            <w:vAlign w:val="bottom"/>
          </w:tcPr>
          <w:p>
            <w:pPr>
              <w:spacing w:after="0"/>
              <w:rPr>
                <w:sz w:val="20"/>
                <w:szCs w:val="20"/>
                <w:color w:val="auto"/>
              </w:rPr>
            </w:pPr>
            <w:r>
              <w:rPr>
                <w:rFonts w:ascii="Arial" w:cs="Arial" w:eastAsia="Arial" w:hAnsi="Arial"/>
                <w:sz w:val="13"/>
                <w:szCs w:val="13"/>
                <w:color w:val="auto"/>
              </w:rPr>
              <w:t>Register,</w:t>
            </w: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that  lists  the  surname,  first  name,  contact</w:t>
            </w:r>
          </w:p>
        </w:tc>
      </w:tr>
      <w:tr>
        <w:trPr>
          <w:trHeight w:val="241"/>
        </w:trPr>
        <w:tc>
          <w:tcPr>
            <w:tcW w:w="860" w:type="dxa"/>
            <w:vAlign w:val="bottom"/>
          </w:tcPr>
          <w:p>
            <w:pPr>
              <w:spacing w:after="0"/>
              <w:rPr>
                <w:sz w:val="20"/>
                <w:szCs w:val="20"/>
                <w:color w:val="auto"/>
              </w:rPr>
            </w:pPr>
            <w:r>
              <w:rPr>
                <w:rFonts w:ascii="Arial" w:cs="Arial" w:eastAsia="Arial" w:hAnsi="Arial"/>
                <w:sz w:val="13"/>
                <w:szCs w:val="13"/>
                <w:color w:val="auto"/>
              </w:rPr>
              <w:t>Transfer</w:t>
            </w: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information and citizenship (in the case of</w:t>
            </w:r>
          </w:p>
        </w:tc>
      </w:tr>
      <w:tr>
        <w:trPr>
          <w:trHeight w:val="228"/>
        </w:trPr>
        <w:tc>
          <w:tcPr>
            <w:tcW w:w="860" w:type="dxa"/>
            <w:vAlign w:val="bottom"/>
          </w:tcPr>
          <w:p>
            <w:pPr>
              <w:spacing w:after="0"/>
              <w:rPr>
                <w:sz w:val="20"/>
                <w:szCs w:val="20"/>
                <w:color w:val="auto"/>
              </w:rPr>
            </w:pPr>
            <w:r>
              <w:rPr>
                <w:rFonts w:ascii="Arial" w:cs="Arial" w:eastAsia="Arial" w:hAnsi="Arial"/>
                <w:sz w:val="13"/>
                <w:szCs w:val="13"/>
                <w:color w:val="auto"/>
              </w:rPr>
              <w:t>Restrictions,</w:t>
            </w: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legal  entities,  the  company  name  and</w:t>
            </w:r>
          </w:p>
        </w:tc>
      </w:tr>
      <w:tr>
        <w:trPr>
          <w:trHeight w:val="241"/>
        </w:trPr>
        <w:tc>
          <w:tcPr>
            <w:tcW w:w="860" w:type="dxa"/>
            <w:vAlign w:val="bottom"/>
          </w:tcPr>
          <w:p>
            <w:pPr>
              <w:spacing w:after="0"/>
              <w:rPr>
                <w:sz w:val="20"/>
                <w:szCs w:val="20"/>
                <w:color w:val="auto"/>
              </w:rPr>
            </w:pPr>
            <w:r>
              <w:rPr>
                <w:rFonts w:ascii="Arial" w:cs="Arial" w:eastAsia="Arial" w:hAnsi="Arial"/>
                <w:sz w:val="13"/>
                <w:szCs w:val="13"/>
                <w:color w:val="auto"/>
              </w:rPr>
              <w:t>Nominees</w:t>
            </w: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company   seat)   of   the   holders   and</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usufructuaries  of  the  registered  shares.  A</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person recorded in the share register shall</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notify the Company of any change in contact</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information.   Communications   from</w:t>
            </w:r>
          </w:p>
        </w:tc>
        <w:tc>
          <w:tcPr>
            <w:tcW w:w="280" w:type="dxa"/>
            <w:vAlign w:val="bottom"/>
          </w:tcPr>
          <w:p>
            <w:pPr>
              <w:jc w:val="right"/>
              <w:spacing w:after="0"/>
              <w:rPr>
                <w:sz w:val="20"/>
                <w:szCs w:val="20"/>
                <w:color w:val="auto"/>
              </w:rPr>
            </w:pPr>
            <w:r>
              <w:rPr>
                <w:rFonts w:ascii="Arial" w:cs="Arial" w:eastAsia="Arial" w:hAnsi="Arial"/>
                <w:sz w:val="17"/>
                <w:szCs w:val="17"/>
                <w:color w:val="auto"/>
              </w:rPr>
              <w:t>the</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Company  shall  be  deemed  to  have  been</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validly made if sent to the shareholder's or</w:t>
            </w:r>
          </w:p>
        </w:tc>
      </w:tr>
      <w:tr>
        <w:trPr>
          <w:trHeight w:val="241"/>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authorized  delivery  agent's  last  registered</w:t>
            </w:r>
          </w:p>
        </w:tc>
      </w:tr>
      <w:tr>
        <w:trPr>
          <w:trHeight w:val="228"/>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7"/>
                <w:szCs w:val="17"/>
                <w:color w:val="auto"/>
              </w:rPr>
              <w:t>contact information in the share register.</w:t>
            </w:r>
          </w:p>
        </w:tc>
        <w:tc>
          <w:tcPr>
            <w:tcW w:w="280" w:type="dxa"/>
            <w:vAlign w:val="bottom"/>
          </w:tcPr>
          <w:p>
            <w:pPr>
              <w:spacing w:after="0"/>
              <w:rPr>
                <w:sz w:val="19"/>
                <w:szCs w:val="19"/>
                <w:color w:val="auto"/>
              </w:rPr>
            </w:pPr>
          </w:p>
        </w:tc>
      </w:tr>
      <w:tr>
        <w:trPr>
          <w:trHeight w:val="385"/>
        </w:trPr>
        <w:tc>
          <w:tcPr>
            <w:tcW w:w="860" w:type="dxa"/>
            <w:vAlign w:val="bottom"/>
          </w:tcPr>
          <w:p>
            <w:pPr>
              <w:spacing w:after="0"/>
              <w:rPr>
                <w:sz w:val="24"/>
                <w:szCs w:val="2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An  acquirer  of  registered  shares  shall  be</w:t>
            </w:r>
          </w:p>
        </w:tc>
      </w:tr>
      <w:tr>
        <w:trPr>
          <w:trHeight w:val="215"/>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w w:val="99"/>
              </w:rPr>
              <w:t>recorded upon request in the share register as</w:t>
            </w:r>
          </w:p>
        </w:tc>
      </w:tr>
      <w:tr>
        <w:trPr>
          <w:trHeight w:val="215"/>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  shareholder  with  voting  rights,  if  such</w:t>
            </w:r>
          </w:p>
        </w:tc>
      </w:tr>
      <w:tr>
        <w:trPr>
          <w:trHeight w:val="215"/>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acquirer expressly declares to have acquired</w:t>
            </w:r>
          </w:p>
        </w:tc>
      </w:tr>
      <w:tr>
        <w:trPr>
          <w:trHeight w:val="223"/>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Arial" w:cs="Arial" w:eastAsia="Arial" w:hAnsi="Arial"/>
                <w:sz w:val="17"/>
                <w:szCs w:val="17"/>
                <w:color w:val="auto"/>
              </w:rPr>
              <w:t>the registered shares in his own name and for</w:t>
            </w:r>
          </w:p>
        </w:tc>
      </w:tr>
    </w:tbl>
    <w:p>
      <w:pPr>
        <w:spacing w:after="0" w:line="31" w:lineRule="exact"/>
        <w:rPr>
          <w:sz w:val="20"/>
          <w:szCs w:val="20"/>
          <w:color w:val="auto"/>
        </w:rPr>
      </w:pPr>
    </w:p>
    <w:p>
      <w:pPr>
        <w:jc w:val="both"/>
        <w:ind w:left="1120"/>
        <w:spacing w:after="0" w:line="280" w:lineRule="auto"/>
        <w:rPr>
          <w:sz w:val="20"/>
          <w:szCs w:val="20"/>
          <w:color w:val="auto"/>
        </w:rPr>
      </w:pPr>
      <w:r>
        <w:rPr>
          <w:rFonts w:ascii="Arial" w:cs="Arial" w:eastAsia="Arial" w:hAnsi="Arial"/>
          <w:sz w:val="17"/>
          <w:szCs w:val="17"/>
          <w:color w:val="auto"/>
        </w:rPr>
        <w:t>his own account, that there is no agreement on the redemption of the relevant shares and that they bear the economic risk associated with the shares.</w:t>
      </w:r>
    </w:p>
    <w:p>
      <w:pPr>
        <w:sectPr>
          <w:pgSz w:w="11900" w:h="16838" w:orient="portrait"/>
          <w:cols w:equalWidth="0" w:num="2">
            <w:col w:w="5780" w:space="160"/>
            <w:col w:w="4620"/>
          </w:cols>
          <w:pgMar w:left="360" w:top="132" w:right="979" w:bottom="1440" w:gutter="0" w:footer="0" w:header="0"/>
          <w:type w:val="continuous"/>
        </w:sectPr>
      </w:pPr>
    </w:p>
    <w:bookmarkStart w:id="231" w:name="page232"/>
    <w:bookmarkEnd w:id="231"/>
    <w:p>
      <w:pPr>
        <w:ind w:left="4340"/>
        <w:spacing w:after="0"/>
        <w:rPr>
          <w:sz w:val="20"/>
          <w:szCs w:val="20"/>
          <w:color w:val="auto"/>
        </w:rPr>
      </w:pPr>
      <w:r>
        <w:rPr>
          <w:rFonts w:ascii="Arial" w:cs="Arial" w:eastAsia="Arial" w:hAnsi="Arial"/>
          <w:sz w:val="13"/>
          <w:szCs w:val="13"/>
          <w:color w:val="auto"/>
        </w:rPr>
        <w:t>- 10 -</w:t>
      </w:r>
    </w:p>
    <w:p>
      <w:pPr>
        <w:sectPr>
          <w:pgSz w:w="11900" w:h="16838" w:orient="portrait"/>
          <w:cols w:equalWidth="0" w:num="1">
            <w:col w:w="9500"/>
          </w:cols>
          <w:pgMar w:left="144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0" w:right="313" w:hanging="237"/>
        <w:spacing w:after="0" w:line="287" w:lineRule="auto"/>
        <w:tabs>
          <w:tab w:leader="none" w:pos="240" w:val="left"/>
        </w:tabs>
        <w:numPr>
          <w:ilvl w:val="0"/>
          <w:numId w:val="130"/>
        </w:numPr>
        <w:rPr>
          <w:rFonts w:ascii="Arial" w:cs="Arial" w:eastAsia="Arial" w:hAnsi="Arial"/>
          <w:sz w:val="13"/>
          <w:szCs w:val="13"/>
          <w:color w:val="auto"/>
        </w:rPr>
      </w:pPr>
      <w:r>
        <w:rPr>
          <w:rFonts w:ascii="Arial" w:cs="Arial" w:eastAsia="Arial" w:hAnsi="Arial"/>
          <w:sz w:val="17"/>
          <w:szCs w:val="17"/>
          <w:color w:val="auto"/>
        </w:rPr>
        <w:t>Der Verwaltungsrat trägt einzelne Personen, die im Eintragungsgesuch nicht ausdrücklich erklären, die</w:t>
      </w:r>
    </w:p>
    <w:p>
      <w:pPr>
        <w:spacing w:after="0" w:line="1" w:lineRule="exact"/>
        <w:rPr>
          <w:rFonts w:ascii="Arial" w:cs="Arial" w:eastAsia="Arial" w:hAnsi="Arial"/>
          <w:sz w:val="13"/>
          <w:szCs w:val="13"/>
          <w:color w:val="auto"/>
        </w:rPr>
      </w:pPr>
    </w:p>
    <w:p>
      <w:pPr>
        <w:jc w:val="both"/>
        <w:ind w:left="240" w:right="313"/>
        <w:spacing w:after="0" w:line="305" w:lineRule="auto"/>
        <w:rPr>
          <w:rFonts w:ascii="Arial" w:cs="Arial" w:eastAsia="Arial" w:hAnsi="Arial"/>
          <w:sz w:val="13"/>
          <w:szCs w:val="13"/>
          <w:color w:val="auto"/>
        </w:rPr>
      </w:pPr>
      <w:r>
        <w:rPr>
          <w:rFonts w:ascii="Arial" w:cs="Arial" w:eastAsia="Arial" w:hAnsi="Arial"/>
          <w:sz w:val="16"/>
          <w:szCs w:val="16"/>
          <w:color w:val="auto"/>
        </w:rPr>
        <w:t>Namenaktien auf eigene Rechnung zu halten (</w:t>
      </w:r>
      <w:r>
        <w:rPr>
          <w:rFonts w:ascii="Arial" w:cs="Arial" w:eastAsia="Arial" w:hAnsi="Arial"/>
          <w:sz w:val="16"/>
          <w:szCs w:val="16"/>
          <w:b w:val="1"/>
          <w:bCs w:val="1"/>
          <w:color w:val="auto"/>
        </w:rPr>
        <w:t>Nominees</w:t>
      </w:r>
      <w:r>
        <w:rPr>
          <w:rFonts w:ascii="Arial" w:cs="Arial" w:eastAsia="Arial" w:hAnsi="Arial"/>
          <w:sz w:val="16"/>
          <w:szCs w:val="16"/>
          <w:color w:val="auto"/>
        </w:rPr>
        <w:t>), mit Stimmrecht im Aktienbuch ein, wenn der Nominee mit dem Verwaltungsrat eine Vereinbarung über seine Stellung abgeschlossen hat</w:t>
      </w:r>
    </w:p>
    <w:p>
      <w:pPr>
        <w:spacing w:after="0" w:line="1" w:lineRule="exact"/>
        <w:rPr>
          <w:rFonts w:ascii="Arial" w:cs="Arial" w:eastAsia="Arial" w:hAnsi="Arial"/>
          <w:sz w:val="13"/>
          <w:szCs w:val="13"/>
          <w:color w:val="auto"/>
        </w:rPr>
      </w:pPr>
    </w:p>
    <w:p>
      <w:pPr>
        <w:ind w:left="240" w:right="313"/>
        <w:spacing w:after="0" w:line="313" w:lineRule="auto"/>
        <w:rPr>
          <w:rFonts w:ascii="Arial" w:cs="Arial" w:eastAsia="Arial" w:hAnsi="Arial"/>
          <w:sz w:val="13"/>
          <w:szCs w:val="13"/>
          <w:color w:val="auto"/>
        </w:rPr>
      </w:pPr>
      <w:r>
        <w:rPr>
          <w:rFonts w:ascii="Arial" w:cs="Arial" w:eastAsia="Arial" w:hAnsi="Arial"/>
          <w:sz w:val="17"/>
          <w:szCs w:val="17"/>
          <w:color w:val="auto"/>
        </w:rPr>
        <w:t>und einer anerkannten Bank- oder Finanzaufsicht untersteht.</w:t>
      </w:r>
    </w:p>
    <w:p>
      <w:pPr>
        <w:spacing w:after="0" w:line="111" w:lineRule="exact"/>
        <w:rPr>
          <w:sz w:val="20"/>
          <w:szCs w:val="20"/>
          <w:color w:val="auto"/>
        </w:rPr>
      </w:pPr>
    </w:p>
    <w:p>
      <w:pPr>
        <w:spacing w:after="0"/>
        <w:tabs>
          <w:tab w:leader="none" w:pos="220" w:val="left"/>
          <w:tab w:leader="none" w:pos="660" w:val="left"/>
          <w:tab w:leader="none" w:pos="1940" w:val="left"/>
          <w:tab w:leader="none" w:pos="2480" w:val="left"/>
          <w:tab w:leader="none" w:pos="3000" w:val="left"/>
          <w:tab w:leader="none" w:pos="390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7"/>
          <w:szCs w:val="17"/>
          <w:color w:val="auto"/>
        </w:rPr>
        <w:t>Der</w:t>
        <w:tab/>
        <w:t>Verwaltungsrat</w:t>
        <w:tab/>
        <w:t>kann</w:t>
        <w:tab/>
        <w:t>nach</w:t>
        <w:tab/>
        <w:t>Anhörung</w:t>
        <w:tab/>
        <w:t>des</w:t>
      </w:r>
    </w:p>
    <w:p>
      <w:pPr>
        <w:spacing w:after="0" w:line="32" w:lineRule="exact"/>
        <w:rPr>
          <w:sz w:val="20"/>
          <w:szCs w:val="20"/>
          <w:color w:val="auto"/>
        </w:rPr>
      </w:pPr>
    </w:p>
    <w:p>
      <w:pPr>
        <w:jc w:val="both"/>
        <w:ind w:left="240" w:right="313"/>
        <w:spacing w:after="0" w:line="295" w:lineRule="auto"/>
        <w:rPr>
          <w:sz w:val="20"/>
          <w:szCs w:val="20"/>
          <w:color w:val="auto"/>
        </w:rPr>
      </w:pPr>
      <w:r>
        <w:rPr>
          <w:rFonts w:ascii="Arial" w:cs="Arial" w:eastAsia="Arial" w:hAnsi="Arial"/>
          <w:sz w:val="17"/>
          <w:szCs w:val="17"/>
          <w:color w:val="auto"/>
        </w:rPr>
        <w:t>eingetragenen Aktionärs oder Nominees Eintragungen im Aktienbuch mit Rückwirkung auf das Datum der Eintragung streichen, wenn diese durch falsche Angaben zustande gekommen sind. Der Betroffene muss über die Streichung informiert werden.</w:t>
      </w:r>
    </w:p>
    <w:p>
      <w:pPr>
        <w:spacing w:after="0" w:line="357" w:lineRule="exact"/>
        <w:rPr>
          <w:sz w:val="20"/>
          <w:szCs w:val="20"/>
          <w:color w:val="auto"/>
        </w:rPr>
      </w:pPr>
    </w:p>
    <w:p>
      <w:pPr>
        <w:jc w:val="both"/>
        <w:ind w:left="240" w:right="313" w:hanging="237"/>
        <w:spacing w:after="0" w:line="287" w:lineRule="auto"/>
        <w:tabs>
          <w:tab w:leader="none" w:pos="240" w:val="left"/>
        </w:tabs>
        <w:numPr>
          <w:ilvl w:val="0"/>
          <w:numId w:val="131"/>
        </w:numPr>
        <w:rPr>
          <w:rFonts w:ascii="Arial" w:cs="Arial" w:eastAsia="Arial" w:hAnsi="Arial"/>
          <w:sz w:val="13"/>
          <w:szCs w:val="13"/>
          <w:color w:val="auto"/>
        </w:rPr>
      </w:pPr>
      <w:r>
        <w:rPr>
          <w:rFonts w:ascii="Arial" w:cs="Arial" w:eastAsia="Arial" w:hAnsi="Arial"/>
          <w:sz w:val="17"/>
          <w:szCs w:val="17"/>
          <w:color w:val="auto"/>
        </w:rPr>
        <w:t>Der Verwaltungsrat regelt die Einzelheiten und trifft die zur Einhaltung der vorstehenden Bestimmungen</w:t>
      </w:r>
    </w:p>
    <w:p>
      <w:pPr>
        <w:spacing w:after="0" w:line="1" w:lineRule="exact"/>
        <w:rPr>
          <w:rFonts w:ascii="Arial" w:cs="Arial" w:eastAsia="Arial" w:hAnsi="Arial"/>
          <w:sz w:val="13"/>
          <w:szCs w:val="13"/>
          <w:color w:val="auto"/>
        </w:rPr>
      </w:pPr>
    </w:p>
    <w:p>
      <w:pPr>
        <w:jc w:val="both"/>
        <w:ind w:left="240" w:right="313"/>
        <w:spacing w:after="0" w:line="304" w:lineRule="auto"/>
        <w:rPr>
          <w:rFonts w:ascii="Arial" w:cs="Arial" w:eastAsia="Arial" w:hAnsi="Arial"/>
          <w:sz w:val="13"/>
          <w:szCs w:val="13"/>
          <w:color w:val="auto"/>
        </w:rPr>
      </w:pPr>
      <w:r>
        <w:rPr>
          <w:rFonts w:ascii="Arial" w:cs="Arial" w:eastAsia="Arial" w:hAnsi="Arial"/>
          <w:sz w:val="17"/>
          <w:szCs w:val="17"/>
          <w:color w:val="auto"/>
        </w:rPr>
        <w:t>notwendigen Anordnungen. Er kann in besonderen Fällen Ausnahmen von der Nomineeregelung bewilligen. Er kann seine Aufgaben delegieren.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47" w:right="40" w:hanging="247"/>
        <w:spacing w:after="0" w:line="287" w:lineRule="auto"/>
        <w:tabs>
          <w:tab w:leader="none" w:pos="247" w:val="left"/>
        </w:tabs>
        <w:numPr>
          <w:ilvl w:val="0"/>
          <w:numId w:val="132"/>
        </w:numPr>
        <w:rPr>
          <w:rFonts w:ascii="Arial" w:cs="Arial" w:eastAsia="Arial" w:hAnsi="Arial"/>
          <w:sz w:val="13"/>
          <w:szCs w:val="13"/>
          <w:color w:val="auto"/>
        </w:rPr>
      </w:pPr>
      <w:r>
        <w:rPr>
          <w:rFonts w:ascii="Arial" w:cs="Arial" w:eastAsia="Arial" w:hAnsi="Arial"/>
          <w:sz w:val="17"/>
          <w:szCs w:val="17"/>
          <w:color w:val="auto"/>
        </w:rPr>
        <w:t>The board of directors records persons who do not declare to hold the registered shares for their own</w:t>
      </w:r>
    </w:p>
    <w:p>
      <w:pPr>
        <w:spacing w:after="0" w:line="1" w:lineRule="exact"/>
        <w:rPr>
          <w:rFonts w:ascii="Arial" w:cs="Arial" w:eastAsia="Arial" w:hAnsi="Arial"/>
          <w:sz w:val="13"/>
          <w:szCs w:val="13"/>
          <w:color w:val="auto"/>
        </w:rPr>
      </w:pPr>
    </w:p>
    <w:p>
      <w:pPr>
        <w:jc w:val="both"/>
        <w:ind w:left="247" w:right="40"/>
        <w:spacing w:after="0" w:line="287" w:lineRule="auto"/>
        <w:rPr>
          <w:rFonts w:ascii="Arial" w:cs="Arial" w:eastAsia="Arial" w:hAnsi="Arial"/>
          <w:sz w:val="13"/>
          <w:szCs w:val="13"/>
          <w:color w:val="auto"/>
        </w:rPr>
      </w:pPr>
      <w:r>
        <w:rPr>
          <w:rFonts w:ascii="Arial" w:cs="Arial" w:eastAsia="Arial" w:hAnsi="Arial"/>
          <w:sz w:val="17"/>
          <w:szCs w:val="17"/>
          <w:color w:val="auto"/>
        </w:rPr>
        <w:t>account (</w:t>
      </w:r>
      <w:r>
        <w:rPr>
          <w:rFonts w:ascii="Arial" w:cs="Arial" w:eastAsia="Arial" w:hAnsi="Arial"/>
          <w:sz w:val="17"/>
          <w:szCs w:val="17"/>
          <w:b w:val="1"/>
          <w:bCs w:val="1"/>
          <w:color w:val="auto"/>
        </w:rPr>
        <w:t>Nominees</w:t>
      </w:r>
      <w:r>
        <w:rPr>
          <w:rFonts w:ascii="Arial" w:cs="Arial" w:eastAsia="Arial" w:hAnsi="Arial"/>
          <w:sz w:val="17"/>
          <w:szCs w:val="17"/>
          <w:color w:val="auto"/>
        </w:rPr>
        <w:t>) as shareholders with voting rights in the share register, if such Nominee has</w:t>
      </w:r>
    </w:p>
    <w:p>
      <w:pPr>
        <w:spacing w:after="0" w:line="1" w:lineRule="exact"/>
        <w:rPr>
          <w:rFonts w:ascii="Arial" w:cs="Arial" w:eastAsia="Arial" w:hAnsi="Arial"/>
          <w:sz w:val="13"/>
          <w:szCs w:val="13"/>
          <w:color w:val="auto"/>
        </w:rPr>
      </w:pPr>
    </w:p>
    <w:p>
      <w:pPr>
        <w:jc w:val="both"/>
        <w:ind w:left="247" w:right="40"/>
        <w:spacing w:after="0" w:line="304" w:lineRule="auto"/>
        <w:rPr>
          <w:rFonts w:ascii="Arial" w:cs="Arial" w:eastAsia="Arial" w:hAnsi="Arial"/>
          <w:sz w:val="13"/>
          <w:szCs w:val="13"/>
          <w:color w:val="auto"/>
        </w:rPr>
      </w:pPr>
      <w:r>
        <w:rPr>
          <w:rFonts w:ascii="Arial" w:cs="Arial" w:eastAsia="Arial" w:hAnsi="Arial"/>
          <w:sz w:val="17"/>
          <w:szCs w:val="17"/>
          <w:color w:val="auto"/>
        </w:rPr>
        <w:t>entered into an agreement regarding its position with the board of directors and is subject to a recognized banking or finance supervision.</w:t>
      </w:r>
    </w:p>
    <w:p>
      <w:pPr>
        <w:spacing w:after="0" w:line="346" w:lineRule="exact"/>
        <w:rPr>
          <w:sz w:val="20"/>
          <w:szCs w:val="20"/>
          <w:color w:val="auto"/>
        </w:rPr>
      </w:pPr>
    </w:p>
    <w:p>
      <w:pPr>
        <w:jc w:val="both"/>
        <w:ind w:left="247" w:right="20" w:hanging="247"/>
        <w:spacing w:after="0" w:line="287" w:lineRule="auto"/>
        <w:tabs>
          <w:tab w:leader="none" w:pos="247" w:val="left"/>
        </w:tabs>
        <w:numPr>
          <w:ilvl w:val="0"/>
          <w:numId w:val="133"/>
        </w:numPr>
        <w:rPr>
          <w:rFonts w:ascii="Arial" w:cs="Arial" w:eastAsia="Arial" w:hAnsi="Arial"/>
          <w:sz w:val="13"/>
          <w:szCs w:val="13"/>
          <w:color w:val="auto"/>
        </w:rPr>
      </w:pPr>
      <w:r>
        <w:rPr>
          <w:rFonts w:ascii="Arial" w:cs="Arial" w:eastAsia="Arial" w:hAnsi="Arial"/>
          <w:sz w:val="17"/>
          <w:szCs w:val="17"/>
          <w:color w:val="auto"/>
        </w:rPr>
        <w:t>After hearing the registered shareholder concerned, the board of directors may cancel the registration of</w:t>
      </w:r>
    </w:p>
    <w:p>
      <w:pPr>
        <w:spacing w:after="0" w:line="1" w:lineRule="exact"/>
        <w:rPr>
          <w:rFonts w:ascii="Arial" w:cs="Arial" w:eastAsia="Arial" w:hAnsi="Arial"/>
          <w:sz w:val="13"/>
          <w:szCs w:val="13"/>
          <w:color w:val="auto"/>
        </w:rPr>
      </w:pPr>
    </w:p>
    <w:p>
      <w:pPr>
        <w:jc w:val="both"/>
        <w:ind w:left="247" w:right="40"/>
        <w:spacing w:after="0" w:line="287" w:lineRule="auto"/>
        <w:rPr>
          <w:rFonts w:ascii="Arial" w:cs="Arial" w:eastAsia="Arial" w:hAnsi="Arial"/>
          <w:sz w:val="13"/>
          <w:szCs w:val="13"/>
          <w:color w:val="auto"/>
        </w:rPr>
      </w:pPr>
      <w:r>
        <w:rPr>
          <w:rFonts w:ascii="Arial" w:cs="Arial" w:eastAsia="Arial" w:hAnsi="Arial"/>
          <w:sz w:val="17"/>
          <w:szCs w:val="17"/>
          <w:color w:val="auto"/>
        </w:rPr>
        <w:t>such shareholder as a shareholder with voting rights in the share register with retroactive effect as of the</w:t>
      </w:r>
    </w:p>
    <w:p>
      <w:pPr>
        <w:spacing w:after="0" w:line="1" w:lineRule="exact"/>
        <w:rPr>
          <w:rFonts w:ascii="Arial" w:cs="Arial" w:eastAsia="Arial" w:hAnsi="Arial"/>
          <w:sz w:val="13"/>
          <w:szCs w:val="13"/>
          <w:color w:val="auto"/>
        </w:rPr>
      </w:pPr>
    </w:p>
    <w:p>
      <w:pPr>
        <w:jc w:val="both"/>
        <w:ind w:left="247" w:right="20"/>
        <w:spacing w:after="0" w:line="287" w:lineRule="auto"/>
        <w:rPr>
          <w:rFonts w:ascii="Arial" w:cs="Arial" w:eastAsia="Arial" w:hAnsi="Arial"/>
          <w:sz w:val="13"/>
          <w:szCs w:val="13"/>
          <w:color w:val="auto"/>
        </w:rPr>
      </w:pPr>
      <w:r>
        <w:rPr>
          <w:rFonts w:ascii="Arial" w:cs="Arial" w:eastAsia="Arial" w:hAnsi="Arial"/>
          <w:sz w:val="17"/>
          <w:szCs w:val="17"/>
          <w:color w:val="auto"/>
        </w:rPr>
        <w:t>date of registration, if such registration was made based on false or misleading information. The</w:t>
      </w:r>
    </w:p>
    <w:p>
      <w:pPr>
        <w:spacing w:after="0" w:line="1" w:lineRule="exact"/>
        <w:rPr>
          <w:rFonts w:ascii="Arial" w:cs="Arial" w:eastAsia="Arial" w:hAnsi="Arial"/>
          <w:sz w:val="13"/>
          <w:szCs w:val="13"/>
          <w:color w:val="auto"/>
        </w:rPr>
      </w:pPr>
    </w:p>
    <w:p>
      <w:pPr>
        <w:ind w:left="247" w:right="20"/>
        <w:spacing w:after="0" w:line="313" w:lineRule="auto"/>
        <w:rPr>
          <w:rFonts w:ascii="Arial" w:cs="Arial" w:eastAsia="Arial" w:hAnsi="Arial"/>
          <w:sz w:val="13"/>
          <w:szCs w:val="13"/>
          <w:color w:val="auto"/>
        </w:rPr>
      </w:pPr>
      <w:r>
        <w:rPr>
          <w:rFonts w:ascii="Arial" w:cs="Arial" w:eastAsia="Arial" w:hAnsi="Arial"/>
          <w:sz w:val="17"/>
          <w:szCs w:val="17"/>
          <w:color w:val="auto"/>
        </w:rPr>
        <w:t>relevant shareholder shall be informed of the cancellation.</w:t>
      </w:r>
    </w:p>
    <w:p>
      <w:pPr>
        <w:spacing w:after="0" w:line="111" w:lineRule="exact"/>
        <w:rPr>
          <w:sz w:val="20"/>
          <w:szCs w:val="20"/>
          <w:color w:val="auto"/>
        </w:rPr>
      </w:pPr>
    </w:p>
    <w:p>
      <w:pPr>
        <w:jc w:val="both"/>
        <w:ind w:left="247" w:right="20" w:hanging="247"/>
        <w:spacing w:after="0" w:line="287" w:lineRule="auto"/>
        <w:tabs>
          <w:tab w:leader="none" w:pos="247" w:val="left"/>
        </w:tabs>
        <w:numPr>
          <w:ilvl w:val="0"/>
          <w:numId w:val="134"/>
        </w:numPr>
        <w:rPr>
          <w:rFonts w:ascii="Arial" w:cs="Arial" w:eastAsia="Arial" w:hAnsi="Arial"/>
          <w:sz w:val="13"/>
          <w:szCs w:val="13"/>
          <w:color w:val="auto"/>
        </w:rPr>
      </w:pPr>
      <w:r>
        <w:rPr>
          <w:rFonts w:ascii="Arial" w:cs="Arial" w:eastAsia="Arial" w:hAnsi="Arial"/>
          <w:sz w:val="17"/>
          <w:szCs w:val="17"/>
          <w:color w:val="auto"/>
        </w:rPr>
        <w:t>The board of directors shall regulate the details and issue the instructions necessary for compliance with</w:t>
      </w:r>
    </w:p>
    <w:p>
      <w:pPr>
        <w:spacing w:after="0" w:line="1" w:lineRule="exact"/>
        <w:rPr>
          <w:rFonts w:ascii="Arial" w:cs="Arial" w:eastAsia="Arial" w:hAnsi="Arial"/>
          <w:sz w:val="13"/>
          <w:szCs w:val="13"/>
          <w:color w:val="auto"/>
        </w:rPr>
      </w:pPr>
    </w:p>
    <w:p>
      <w:pPr>
        <w:jc w:val="both"/>
        <w:ind w:left="247" w:right="20"/>
        <w:spacing w:after="0" w:line="287" w:lineRule="auto"/>
        <w:rPr>
          <w:rFonts w:ascii="Arial" w:cs="Arial" w:eastAsia="Arial" w:hAnsi="Arial"/>
          <w:sz w:val="13"/>
          <w:szCs w:val="13"/>
          <w:color w:val="auto"/>
        </w:rPr>
      </w:pPr>
      <w:r>
        <w:rPr>
          <w:rFonts w:ascii="Arial" w:cs="Arial" w:eastAsia="Arial" w:hAnsi="Arial"/>
          <w:sz w:val="17"/>
          <w:szCs w:val="17"/>
          <w:color w:val="auto"/>
        </w:rPr>
        <w:t>the preceding provisions. In special cases, it may grant exemptions from the rule concerning</w:t>
      </w:r>
    </w:p>
    <w:p>
      <w:pPr>
        <w:spacing w:after="0" w:line="1" w:lineRule="exact"/>
        <w:rPr>
          <w:rFonts w:ascii="Arial" w:cs="Arial" w:eastAsia="Arial" w:hAnsi="Arial"/>
          <w:sz w:val="13"/>
          <w:szCs w:val="13"/>
          <w:color w:val="auto"/>
        </w:rPr>
      </w:pPr>
    </w:p>
    <w:p>
      <w:pPr>
        <w:ind w:left="247" w:right="40"/>
        <w:spacing w:after="0" w:line="313" w:lineRule="auto"/>
        <w:rPr>
          <w:rFonts w:ascii="Arial" w:cs="Arial" w:eastAsia="Arial" w:hAnsi="Arial"/>
          <w:sz w:val="13"/>
          <w:szCs w:val="13"/>
          <w:color w:val="auto"/>
        </w:rPr>
      </w:pPr>
      <w:r>
        <w:rPr>
          <w:rFonts w:ascii="Arial" w:cs="Arial" w:eastAsia="Arial" w:hAnsi="Arial"/>
          <w:sz w:val="17"/>
          <w:szCs w:val="17"/>
          <w:color w:val="auto"/>
        </w:rPr>
        <w:t>Nominees. The board of directors may delegate its duties.</w:t>
      </w:r>
    </w:p>
    <w:p>
      <w:pPr>
        <w:spacing w:after="0" w:line="200" w:lineRule="exact"/>
        <w:rPr>
          <w:sz w:val="20"/>
          <w:szCs w:val="20"/>
          <w:color w:val="auto"/>
        </w:rPr>
      </w:pPr>
    </w:p>
    <w:p>
      <w:pPr>
        <w:sectPr>
          <w:pgSz w:w="11900" w:h="16838" w:orient="portrait"/>
          <w:cols w:equalWidth="0" w:num="2">
            <w:col w:w="4513" w:space="720"/>
            <w:col w:w="4267"/>
          </w:cols>
          <w:pgMar w:left="1440" w:top="132" w:right="959" w:bottom="1440" w:gutter="0" w:footer="0" w:header="0"/>
          <w:type w:val="continuous"/>
        </w:sectPr>
      </w:pPr>
    </w:p>
    <w:p>
      <w:pPr>
        <w:spacing w:after="0" w:line="24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Artikel 6</w:t>
      </w:r>
    </w:p>
    <w:p>
      <w:pPr>
        <w:spacing w:after="0" w:line="197" w:lineRule="exact"/>
        <w:rPr>
          <w:sz w:val="20"/>
          <w:szCs w:val="20"/>
          <w:color w:val="auto"/>
        </w:rPr>
      </w:pPr>
    </w:p>
    <w:p>
      <w:pPr>
        <w:ind w:left="240" w:hanging="1316"/>
        <w:spacing w:after="0" w:line="313" w:lineRule="auto"/>
        <w:tabs>
          <w:tab w:leader="none" w:pos="220" w:val="left"/>
        </w:tabs>
        <w:rPr>
          <w:sz w:val="20"/>
          <w:szCs w:val="20"/>
          <w:color w:val="auto"/>
        </w:rPr>
      </w:pPr>
      <w:r>
        <w:rPr>
          <w:rFonts w:ascii="Arial" w:cs="Arial" w:eastAsia="Arial" w:hAnsi="Arial"/>
          <w:sz w:val="13"/>
          <w:szCs w:val="13"/>
          <w:color w:val="auto"/>
        </w:rPr>
        <w:t>Rechtsausübung 1</w:t>
      </w:r>
      <w:r>
        <w:rPr>
          <w:sz w:val="20"/>
          <w:szCs w:val="20"/>
          <w:color w:val="auto"/>
        </w:rPr>
        <w:tab/>
      </w:r>
      <w:r>
        <w:rPr>
          <w:rFonts w:ascii="Arial" w:cs="Arial" w:eastAsia="Arial" w:hAnsi="Arial"/>
          <w:sz w:val="17"/>
          <w:szCs w:val="17"/>
          <w:color w:val="auto"/>
        </w:rPr>
        <w:t>Die Gesellschaft anerkennt nur einen Vertreter pro Aktie.</w:t>
      </w:r>
    </w:p>
    <w:p>
      <w:pPr>
        <w:spacing w:after="0" w:line="111" w:lineRule="exact"/>
        <w:rPr>
          <w:sz w:val="20"/>
          <w:szCs w:val="20"/>
          <w:color w:val="auto"/>
        </w:rPr>
      </w:pPr>
    </w:p>
    <w:p>
      <w:pPr>
        <w:jc w:val="both"/>
        <w:ind w:left="240" w:hanging="239"/>
        <w:spacing w:after="0" w:line="292" w:lineRule="auto"/>
        <w:tabs>
          <w:tab w:leader="none" w:pos="22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Das Stimmrecht und die damit zusammenhängenden Rechte aus einer Namenaktie können der Gesellschaft gegenüber nur von einem Aktionär, Nutzniesser oder Nominee, der mit Stimmrecht im Aktienbuch eingetragen ist, ausgeübt werden.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246380</wp:posOffset>
            </wp:positionV>
            <wp:extent cx="25654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Article 6</w:t>
      </w:r>
    </w:p>
    <w:p>
      <w:pPr>
        <w:spacing w:after="0" w:line="197" w:lineRule="exact"/>
        <w:rPr>
          <w:sz w:val="20"/>
          <w:szCs w:val="20"/>
          <w:color w:val="auto"/>
        </w:rPr>
      </w:pPr>
    </w:p>
    <w:p>
      <w:pPr>
        <w:spacing w:after="0"/>
        <w:tabs>
          <w:tab w:leader="none" w:pos="860" w:val="left"/>
          <w:tab w:leader="none" w:pos="1100" w:val="left"/>
        </w:tabs>
        <w:rPr>
          <w:sz w:val="20"/>
          <w:szCs w:val="20"/>
          <w:color w:val="auto"/>
        </w:rPr>
      </w:pPr>
      <w:r>
        <w:rPr>
          <w:rFonts w:ascii="Arial" w:cs="Arial" w:eastAsia="Arial" w:hAnsi="Arial"/>
          <w:sz w:val="13"/>
          <w:szCs w:val="13"/>
          <w:color w:val="auto"/>
        </w:rPr>
        <w:t>Exercise of</w:t>
        <w:tab/>
        <w:t>1</w:t>
      </w:r>
      <w:r>
        <w:rPr>
          <w:sz w:val="20"/>
          <w:szCs w:val="20"/>
          <w:color w:val="auto"/>
        </w:rPr>
        <w:tab/>
      </w:r>
      <w:r>
        <w:rPr>
          <w:rFonts w:ascii="Arial" w:cs="Arial" w:eastAsia="Arial" w:hAnsi="Arial"/>
          <w:sz w:val="17"/>
          <w:szCs w:val="17"/>
          <w:color w:val="auto"/>
        </w:rPr>
        <w:t>The Company shall only accept one representative</w:t>
      </w:r>
    </w:p>
    <w:p>
      <w:pPr>
        <w:spacing w:after="0" w:line="32"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color w:val="auto"/>
        </w:rPr>
        <w:t>Rights</w:t>
      </w:r>
      <w:r>
        <w:rPr>
          <w:sz w:val="20"/>
          <w:szCs w:val="20"/>
          <w:color w:val="auto"/>
        </w:rPr>
        <w:tab/>
      </w:r>
      <w:r>
        <w:rPr>
          <w:rFonts w:ascii="Arial" w:cs="Arial" w:eastAsia="Arial" w:hAnsi="Arial"/>
          <w:sz w:val="17"/>
          <w:szCs w:val="17"/>
          <w:color w:val="auto"/>
        </w:rPr>
        <w:t>per share.</w:t>
      </w:r>
    </w:p>
    <w:p>
      <w:pPr>
        <w:spacing w:after="0" w:line="197" w:lineRule="exact"/>
        <w:rPr>
          <w:sz w:val="20"/>
          <w:szCs w:val="20"/>
          <w:color w:val="auto"/>
        </w:rPr>
      </w:pPr>
    </w:p>
    <w:p>
      <w:pPr>
        <w:jc w:val="both"/>
        <w:ind w:left="1120" w:right="20" w:hanging="239"/>
        <w:spacing w:after="0" w:line="287" w:lineRule="auto"/>
        <w:tabs>
          <w:tab w:leader="none" w:pos="11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Voting  rights  and  appurtenant  rights  associated therewith  may  be  exercised  in  relation  to  the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Company by a shareholder, usufructuary of shares or</w:t>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nominee  only  to  the  extent  that  such  person  is</w:t>
      </w:r>
    </w:p>
    <w:p>
      <w:pPr>
        <w:spacing w:after="0" w:line="45" w:lineRule="exact"/>
        <w:rPr>
          <w:sz w:val="20"/>
          <w:szCs w:val="20"/>
          <w:color w:val="auto"/>
        </w:rPr>
      </w:pPr>
    </w:p>
    <w:p>
      <w:pPr>
        <w:ind w:left="1120" w:right="40"/>
        <w:spacing w:after="0" w:line="313" w:lineRule="auto"/>
        <w:rPr>
          <w:sz w:val="20"/>
          <w:szCs w:val="20"/>
          <w:color w:val="auto"/>
        </w:rPr>
      </w:pPr>
      <w:r>
        <w:rPr>
          <w:rFonts w:ascii="Arial" w:cs="Arial" w:eastAsia="Arial" w:hAnsi="Arial"/>
          <w:sz w:val="17"/>
          <w:szCs w:val="17"/>
          <w:color w:val="auto"/>
        </w:rPr>
        <w:t>recorded in the share register as a shareholder with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233680</wp:posOffset>
            </wp:positionV>
            <wp:extent cx="25812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160"/>
            <w:col w:w="5140"/>
          </w:cols>
          <w:pgMar w:left="1440" w:top="132" w:right="959" w:bottom="1440" w:gutter="0" w:footer="0" w:header="0"/>
          <w:type w:val="continuous"/>
        </w:sect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240" w:type="dxa"/>
            <w:vAlign w:val="bottom"/>
            <w:gridSpan w:val="2"/>
          </w:tcPr>
          <w:p>
            <w:pPr>
              <w:ind w:left="40"/>
              <w:spacing w:after="0"/>
              <w:rPr>
                <w:sz w:val="20"/>
                <w:szCs w:val="20"/>
                <w:color w:val="auto"/>
              </w:rPr>
            </w:pPr>
            <w:r>
              <w:rPr>
                <w:rFonts w:ascii="Arial" w:cs="Arial" w:eastAsia="Arial" w:hAnsi="Arial"/>
                <w:sz w:val="17"/>
                <w:szCs w:val="17"/>
                <w:b w:val="1"/>
                <w:bCs w:val="1"/>
                <w:color w:val="auto"/>
              </w:rPr>
              <w:t>Abschnitt 3:</w:t>
            </w:r>
          </w:p>
        </w:tc>
        <w:tc>
          <w:tcPr>
            <w:tcW w:w="4060" w:type="dxa"/>
            <w:vAlign w:val="bottom"/>
          </w:tcPr>
          <w:p>
            <w:pPr>
              <w:ind w:left="40"/>
              <w:spacing w:after="0"/>
              <w:rPr>
                <w:sz w:val="20"/>
                <w:szCs w:val="20"/>
                <w:color w:val="auto"/>
              </w:rPr>
            </w:pPr>
            <w:r>
              <w:rPr>
                <w:rFonts w:ascii="Arial" w:cs="Arial" w:eastAsia="Arial" w:hAnsi="Arial"/>
                <w:sz w:val="17"/>
                <w:szCs w:val="17"/>
                <w:b w:val="1"/>
                <w:bCs w:val="1"/>
                <w:color w:val="auto"/>
              </w:rPr>
              <w:t>Section 3:</w:t>
            </w:r>
          </w:p>
        </w:tc>
      </w:tr>
      <w:tr>
        <w:trPr>
          <w:trHeight w:val="221"/>
        </w:trPr>
        <w:tc>
          <w:tcPr>
            <w:tcW w:w="5240" w:type="dxa"/>
            <w:vAlign w:val="bottom"/>
            <w:gridSpan w:val="2"/>
          </w:tcPr>
          <w:p>
            <w:pPr>
              <w:ind w:left="40"/>
              <w:spacing w:after="0"/>
              <w:rPr>
                <w:sz w:val="20"/>
                <w:szCs w:val="20"/>
                <w:color w:val="auto"/>
              </w:rPr>
            </w:pPr>
            <w:r>
              <w:rPr>
                <w:rFonts w:ascii="Arial" w:cs="Arial" w:eastAsia="Arial" w:hAnsi="Arial"/>
                <w:sz w:val="17"/>
                <w:szCs w:val="17"/>
                <w:i w:val="1"/>
                <w:iCs w:val="1"/>
                <w:color w:val="auto"/>
              </w:rPr>
              <w:t>Organe</w:t>
            </w:r>
          </w:p>
        </w:tc>
        <w:tc>
          <w:tcPr>
            <w:tcW w:w="4060" w:type="dxa"/>
            <w:vAlign w:val="bottom"/>
          </w:tcPr>
          <w:p>
            <w:pPr>
              <w:ind w:left="40"/>
              <w:spacing w:after="0"/>
              <w:rPr>
                <w:sz w:val="20"/>
                <w:szCs w:val="20"/>
                <w:color w:val="auto"/>
              </w:rPr>
            </w:pPr>
            <w:r>
              <w:rPr>
                <w:rFonts w:ascii="Arial" w:cs="Arial" w:eastAsia="Arial" w:hAnsi="Arial"/>
                <w:sz w:val="17"/>
                <w:szCs w:val="17"/>
                <w:i w:val="1"/>
                <w:iCs w:val="1"/>
                <w:color w:val="auto"/>
              </w:rPr>
              <w:t>Corporate Bodies</w:t>
            </w:r>
          </w:p>
        </w:tc>
      </w:tr>
      <w:tr>
        <w:trPr>
          <w:trHeight w:val="98"/>
        </w:trPr>
        <w:tc>
          <w:tcPr>
            <w:tcW w:w="40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r>
    </w:tbl>
    <w:p>
      <w:pPr>
        <w:sectPr>
          <w:pgSz w:w="11900" w:h="16838" w:orient="portrait"/>
          <w:cols w:equalWidth="0" w:num="1">
            <w:col w:w="9500"/>
          </w:cols>
          <w:pgMar w:left="1440" w:top="132" w:right="959" w:bottom="1440" w:gutter="0" w:footer="0" w:header="0"/>
          <w:type w:val="continuous"/>
        </w:sectPr>
      </w:pPr>
    </w:p>
    <w:bookmarkStart w:id="232" w:name="page233"/>
    <w:bookmarkEnd w:id="232"/>
    <w:p>
      <w:pPr>
        <w:ind w:left="5440"/>
        <w:spacing w:after="0"/>
        <w:rPr>
          <w:sz w:val="20"/>
          <w:szCs w:val="20"/>
          <w:color w:val="auto"/>
        </w:rPr>
      </w:pPr>
      <w:r>
        <w:rPr>
          <w:rFonts w:ascii="Arial" w:cs="Arial" w:eastAsia="Arial" w:hAnsi="Arial"/>
          <w:sz w:val="12"/>
          <w:szCs w:val="12"/>
          <w:color w:val="auto"/>
        </w:rPr>
        <w:t>- 11 -</w:t>
      </w:r>
    </w:p>
    <w:p>
      <w:pPr>
        <w:sectPr>
          <w:pgSz w:w="11900" w:h="16838" w:orient="portrait"/>
          <w:cols w:equalWidth="0" w:num="1">
            <w:col w:w="10560"/>
          </w:cols>
          <w:pgMar w:left="360" w:top="13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p>
        </w:tc>
        <w:tc>
          <w:tcPr>
            <w:tcW w:w="3760" w:type="dxa"/>
            <w:vAlign w:val="bottom"/>
            <w:gridSpan w:val="2"/>
          </w:tcPr>
          <w:p>
            <w:pPr>
              <w:ind w:left="420"/>
              <w:spacing w:after="0"/>
              <w:rPr>
                <w:sz w:val="20"/>
                <w:szCs w:val="20"/>
                <w:color w:val="auto"/>
              </w:rPr>
            </w:pPr>
            <w:r>
              <w:rPr>
                <w:rFonts w:ascii="Arial" w:cs="Arial" w:eastAsia="Arial" w:hAnsi="Arial"/>
                <w:sz w:val="17"/>
                <w:szCs w:val="17"/>
                <w:b w:val="1"/>
                <w:bCs w:val="1"/>
                <w:color w:val="auto"/>
              </w:rPr>
              <w:t>Artikel 7</w:t>
            </w:r>
          </w:p>
        </w:tc>
        <w:tc>
          <w:tcPr>
            <w:tcW w:w="1420" w:type="dxa"/>
            <w:vAlign w:val="bottom"/>
          </w:tcPr>
          <w:p>
            <w:pPr>
              <w:spacing w:after="0"/>
              <w:rPr>
                <w:sz w:val="20"/>
                <w:szCs w:val="20"/>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3"/>
                <w:szCs w:val="13"/>
                <w:color w:val="auto"/>
              </w:rPr>
              <w:t>Organe</w:t>
            </w:r>
          </w:p>
        </w:tc>
        <w:tc>
          <w:tcPr>
            <w:tcW w:w="3760" w:type="dxa"/>
            <w:vAlign w:val="bottom"/>
            <w:gridSpan w:val="2"/>
          </w:tcPr>
          <w:p>
            <w:pPr>
              <w:ind w:left="420"/>
              <w:spacing w:after="0"/>
              <w:rPr>
                <w:sz w:val="20"/>
                <w:szCs w:val="20"/>
                <w:color w:val="auto"/>
              </w:rPr>
            </w:pPr>
            <w:r>
              <w:rPr>
                <w:rFonts w:ascii="Arial" w:cs="Arial" w:eastAsia="Arial" w:hAnsi="Arial"/>
                <w:sz w:val="17"/>
                <w:szCs w:val="17"/>
                <w:color w:val="auto"/>
              </w:rPr>
              <w:t>Die Organe der Gesellschaft sind:</w:t>
            </w:r>
          </w:p>
        </w:tc>
        <w:tc>
          <w:tcPr>
            <w:tcW w:w="1420" w:type="dxa"/>
            <w:vAlign w:val="bottom"/>
          </w:tcPr>
          <w:p>
            <w:pPr>
              <w:ind w:left="820"/>
              <w:spacing w:after="0"/>
              <w:rPr>
                <w:sz w:val="20"/>
                <w:szCs w:val="20"/>
                <w:color w:val="auto"/>
              </w:rPr>
            </w:pPr>
            <w:r>
              <w:rPr>
                <w:rFonts w:ascii="Arial" w:cs="Arial" w:eastAsia="Arial" w:hAnsi="Arial"/>
                <w:sz w:val="13"/>
                <w:szCs w:val="13"/>
                <w:color w:val="auto"/>
              </w:rPr>
              <w:t>Corporate</w:t>
            </w:r>
          </w:p>
        </w:tc>
      </w:tr>
      <w:tr>
        <w:trPr>
          <w:trHeight w:val="279"/>
        </w:trPr>
        <w:tc>
          <w:tcPr>
            <w:tcW w:w="86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7"/>
                <w:szCs w:val="17"/>
                <w:color w:val="auto"/>
              </w:rPr>
              <w:t>(a)</w:t>
            </w:r>
          </w:p>
        </w:tc>
        <w:tc>
          <w:tcPr>
            <w:tcW w:w="3040" w:type="dxa"/>
            <w:vAlign w:val="bottom"/>
          </w:tcPr>
          <w:p>
            <w:pPr>
              <w:ind w:left="100"/>
              <w:spacing w:after="0"/>
              <w:rPr>
                <w:sz w:val="20"/>
                <w:szCs w:val="20"/>
                <w:color w:val="auto"/>
              </w:rPr>
            </w:pPr>
            <w:r>
              <w:rPr>
                <w:rFonts w:ascii="Arial" w:cs="Arial" w:eastAsia="Arial" w:hAnsi="Arial"/>
                <w:sz w:val="17"/>
                <w:szCs w:val="17"/>
                <w:color w:val="auto"/>
              </w:rPr>
              <w:t>die Generalversammlung;</w:t>
            </w:r>
          </w:p>
        </w:tc>
        <w:tc>
          <w:tcPr>
            <w:tcW w:w="1420" w:type="dxa"/>
            <w:vAlign w:val="bottom"/>
          </w:tcPr>
          <w:p>
            <w:pPr>
              <w:ind w:left="820"/>
              <w:spacing w:after="0"/>
              <w:rPr>
                <w:sz w:val="20"/>
                <w:szCs w:val="20"/>
                <w:color w:val="auto"/>
              </w:rPr>
            </w:pPr>
            <w:r>
              <w:rPr>
                <w:rFonts w:ascii="Arial" w:cs="Arial" w:eastAsia="Arial" w:hAnsi="Arial"/>
                <w:sz w:val="13"/>
                <w:szCs w:val="13"/>
                <w:color w:val="auto"/>
              </w:rPr>
              <w:t>Bodies</w:t>
            </w:r>
          </w:p>
        </w:tc>
      </w:tr>
      <w:tr>
        <w:trPr>
          <w:trHeight w:val="291"/>
        </w:trPr>
        <w:tc>
          <w:tcPr>
            <w:tcW w:w="86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7"/>
                <w:szCs w:val="17"/>
                <w:color w:val="auto"/>
              </w:rPr>
              <w:t>(b)</w:t>
            </w:r>
          </w:p>
        </w:tc>
        <w:tc>
          <w:tcPr>
            <w:tcW w:w="3040" w:type="dxa"/>
            <w:vAlign w:val="bottom"/>
          </w:tcPr>
          <w:p>
            <w:pPr>
              <w:ind w:left="100"/>
              <w:spacing w:after="0"/>
              <w:rPr>
                <w:sz w:val="20"/>
                <w:szCs w:val="20"/>
                <w:color w:val="auto"/>
              </w:rPr>
            </w:pPr>
            <w:r>
              <w:rPr>
                <w:rFonts w:ascii="Arial" w:cs="Arial" w:eastAsia="Arial" w:hAnsi="Arial"/>
                <w:sz w:val="17"/>
                <w:szCs w:val="17"/>
                <w:color w:val="auto"/>
              </w:rPr>
              <w:t>der Verwaltungsrat;</w:t>
            </w:r>
          </w:p>
        </w:tc>
        <w:tc>
          <w:tcPr>
            <w:tcW w:w="1420" w:type="dxa"/>
            <w:vAlign w:val="bottom"/>
          </w:tcPr>
          <w:p>
            <w:pPr>
              <w:spacing w:after="0"/>
              <w:rPr>
                <w:sz w:val="24"/>
                <w:szCs w:val="24"/>
                <w:color w:val="auto"/>
              </w:rPr>
            </w:pPr>
          </w:p>
        </w:tc>
      </w:tr>
      <w:tr>
        <w:trPr>
          <w:trHeight w:val="279"/>
        </w:trPr>
        <w:tc>
          <w:tcPr>
            <w:tcW w:w="86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17"/>
                <w:szCs w:val="17"/>
                <w:color w:val="auto"/>
              </w:rPr>
              <w:t>(c)</w:t>
            </w:r>
          </w:p>
        </w:tc>
        <w:tc>
          <w:tcPr>
            <w:tcW w:w="3040" w:type="dxa"/>
            <w:vAlign w:val="bottom"/>
          </w:tcPr>
          <w:p>
            <w:pPr>
              <w:ind w:left="80"/>
              <w:spacing w:after="0"/>
              <w:rPr>
                <w:sz w:val="20"/>
                <w:szCs w:val="20"/>
                <w:color w:val="auto"/>
              </w:rPr>
            </w:pPr>
            <w:r>
              <w:rPr>
                <w:rFonts w:ascii="Arial" w:cs="Arial" w:eastAsia="Arial" w:hAnsi="Arial"/>
                <w:sz w:val="17"/>
                <w:szCs w:val="17"/>
                <w:color w:val="auto"/>
              </w:rPr>
              <w:t>die Revisionsstelle.</w:t>
            </w: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A. Generalversammlung</w:t>
      </w:r>
    </w:p>
    <w:p>
      <w:pPr>
        <w:spacing w:after="0" w:line="200" w:lineRule="exact"/>
        <w:rPr>
          <w:sz w:val="20"/>
          <w:szCs w:val="20"/>
          <w:color w:val="auto"/>
        </w:rPr>
      </w:pPr>
    </w:p>
    <w:p>
      <w:pPr>
        <w:spacing w:after="0" w:line="32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Artikel 8</w:t>
      </w:r>
    </w:p>
    <w:p>
      <w:pPr>
        <w:spacing w:after="0" w:line="197" w:lineRule="exact"/>
        <w:rPr>
          <w:sz w:val="20"/>
          <w:szCs w:val="20"/>
          <w:color w:val="auto"/>
        </w:rPr>
      </w:pPr>
    </w:p>
    <w:p>
      <w:pPr>
        <w:ind w:left="1280" w:right="160" w:hanging="1279"/>
        <w:spacing w:after="0" w:line="304" w:lineRule="auto"/>
        <w:tabs>
          <w:tab w:leader="none" w:pos="1260" w:val="left"/>
        </w:tabs>
        <w:rPr>
          <w:sz w:val="20"/>
          <w:szCs w:val="20"/>
          <w:color w:val="auto"/>
        </w:rPr>
      </w:pPr>
      <w:r>
        <w:rPr>
          <w:rFonts w:ascii="Arial" w:cs="Arial" w:eastAsia="Arial" w:hAnsi="Arial"/>
          <w:sz w:val="13"/>
          <w:szCs w:val="13"/>
          <w:color w:val="auto"/>
        </w:rPr>
        <w:t>Befugnisse</w:t>
      </w:r>
      <w:r>
        <w:rPr>
          <w:sz w:val="20"/>
          <w:szCs w:val="20"/>
          <w:color w:val="auto"/>
        </w:rPr>
        <w:tab/>
      </w:r>
      <w:r>
        <w:rPr>
          <w:rFonts w:ascii="Arial" w:cs="Arial" w:eastAsia="Arial" w:hAnsi="Arial"/>
          <w:sz w:val="17"/>
          <w:szCs w:val="17"/>
          <w:color w:val="auto"/>
        </w:rPr>
        <w:t xml:space="preserve">Oberstes Organ der Gesellschaft ist die </w:t>
      </w:r>
      <w:r>
        <w:rPr>
          <w:rFonts w:ascii="Arial" w:cs="Arial" w:eastAsia="Arial" w:hAnsi="Arial"/>
          <w:sz w:val="13"/>
          <w:szCs w:val="13"/>
          <w:color w:val="auto"/>
        </w:rPr>
        <w:t>Powers</w:t>
      </w:r>
      <w:r>
        <w:rPr>
          <w:rFonts w:ascii="Arial" w:cs="Arial" w:eastAsia="Arial" w:hAnsi="Arial"/>
          <w:sz w:val="17"/>
          <w:szCs w:val="17"/>
          <w:color w:val="auto"/>
        </w:rPr>
        <w:t xml:space="preserve"> Generalversammlung der Aktionäre. Ihr stehen folgende unübertragbare Befugnisse zu:</w:t>
      </w:r>
    </w:p>
    <w:p>
      <w:pPr>
        <w:spacing w:after="0" w:line="4" w:lineRule="exact"/>
        <w:rPr>
          <w:sz w:val="20"/>
          <w:szCs w:val="20"/>
          <w:color w:val="auto"/>
        </w:rPr>
      </w:pPr>
    </w:p>
    <w:p>
      <w:pPr>
        <w:ind w:left="1700" w:hanging="415"/>
        <w:spacing w:after="0"/>
        <w:tabs>
          <w:tab w:leader="none" w:pos="1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Festsetzung und Änderung der Statuten;</w:t>
      </w:r>
    </w:p>
    <w:p>
      <w:pPr>
        <w:spacing w:after="0" w:line="95" w:lineRule="exact"/>
        <w:rPr>
          <w:rFonts w:ascii="Arial" w:cs="Arial" w:eastAsia="Arial" w:hAnsi="Arial"/>
          <w:sz w:val="17"/>
          <w:szCs w:val="17"/>
          <w:color w:val="auto"/>
        </w:rPr>
      </w:pPr>
    </w:p>
    <w:p>
      <w:pPr>
        <w:jc w:val="both"/>
        <w:ind w:left="1700" w:right="780" w:hanging="415"/>
        <w:spacing w:after="0" w:line="287" w:lineRule="auto"/>
        <w:tabs>
          <w:tab w:leader="none" w:pos="169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Wahl der Mitglieder des Verwaltungsrats, des Präsidenten des Verwaltungsrats, der</w:t>
      </w:r>
    </w:p>
    <w:p>
      <w:pPr>
        <w:spacing w:after="0" w:line="1" w:lineRule="exact"/>
        <w:rPr>
          <w:rFonts w:ascii="Arial" w:cs="Arial" w:eastAsia="Arial" w:hAnsi="Arial"/>
          <w:sz w:val="17"/>
          <w:szCs w:val="17"/>
          <w:color w:val="auto"/>
        </w:rPr>
      </w:pPr>
    </w:p>
    <w:p>
      <w:pPr>
        <w:jc w:val="both"/>
        <w:ind w:left="1700" w:right="760"/>
        <w:spacing w:after="0" w:line="304" w:lineRule="auto"/>
        <w:rPr>
          <w:rFonts w:ascii="Arial" w:cs="Arial" w:eastAsia="Arial" w:hAnsi="Arial"/>
          <w:sz w:val="17"/>
          <w:szCs w:val="17"/>
          <w:color w:val="auto"/>
        </w:rPr>
      </w:pPr>
      <w:r>
        <w:rPr>
          <w:rFonts w:ascii="Arial" w:cs="Arial" w:eastAsia="Arial" w:hAnsi="Arial"/>
          <w:sz w:val="17"/>
          <w:szCs w:val="17"/>
          <w:color w:val="auto"/>
        </w:rPr>
        <w:t>Mitglieder des Vergütungsausschusses, des unabhängigen Stimmrechtsvertreters und der Revisionsstelle;</w:t>
      </w:r>
    </w:p>
    <w:p>
      <w:pPr>
        <w:spacing w:after="0" w:line="4" w:lineRule="exact"/>
        <w:rPr>
          <w:rFonts w:ascii="Arial" w:cs="Arial" w:eastAsia="Arial" w:hAnsi="Arial"/>
          <w:sz w:val="17"/>
          <w:szCs w:val="17"/>
          <w:color w:val="auto"/>
        </w:rPr>
      </w:pPr>
    </w:p>
    <w:p>
      <w:pPr>
        <w:ind w:left="1700" w:right="760" w:hanging="415"/>
        <w:spacing w:after="0" w:line="326" w:lineRule="auto"/>
        <w:tabs>
          <w:tab w:leader="none" w:pos="169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Genehmigung des Lageberichts und der Konzernrechnung;</w:t>
      </w:r>
    </w:p>
    <w:p>
      <w:pPr>
        <w:jc w:val="both"/>
        <w:ind w:left="1700" w:right="780" w:hanging="415"/>
        <w:spacing w:after="0" w:line="287" w:lineRule="auto"/>
        <w:tabs>
          <w:tab w:leader="none" w:pos="169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Genehmigung der Jahresrechnung sowie die Beschlussfassung über die Verwendung</w:t>
      </w:r>
    </w:p>
    <w:p>
      <w:pPr>
        <w:spacing w:after="0" w:line="1" w:lineRule="exact"/>
        <w:rPr>
          <w:rFonts w:ascii="Arial" w:cs="Arial" w:eastAsia="Arial" w:hAnsi="Arial"/>
          <w:sz w:val="17"/>
          <w:szCs w:val="17"/>
          <w:color w:val="auto"/>
        </w:rPr>
      </w:pPr>
    </w:p>
    <w:p>
      <w:pPr>
        <w:ind w:left="1700" w:right="780"/>
        <w:spacing w:after="0" w:line="313" w:lineRule="auto"/>
        <w:rPr>
          <w:rFonts w:ascii="Arial" w:cs="Arial" w:eastAsia="Arial" w:hAnsi="Arial"/>
          <w:sz w:val="17"/>
          <w:szCs w:val="17"/>
          <w:color w:val="auto"/>
        </w:rPr>
      </w:pPr>
      <w:r>
        <w:rPr>
          <w:rFonts w:ascii="Arial" w:cs="Arial" w:eastAsia="Arial" w:hAnsi="Arial"/>
          <w:sz w:val="17"/>
          <w:szCs w:val="17"/>
          <w:color w:val="auto"/>
        </w:rPr>
        <w:t>des Bilanzgewinnes, insbesondere die Festsetzung der Dividende;</w:t>
      </w:r>
    </w:p>
    <w:p>
      <w:pPr>
        <w:spacing w:after="0" w:line="9" w:lineRule="exact"/>
        <w:rPr>
          <w:rFonts w:ascii="Arial" w:cs="Arial" w:eastAsia="Arial" w:hAnsi="Arial"/>
          <w:sz w:val="17"/>
          <w:szCs w:val="17"/>
          <w:color w:val="auto"/>
        </w:rPr>
      </w:pPr>
    </w:p>
    <w:p>
      <w:pPr>
        <w:jc w:val="both"/>
        <w:ind w:left="1700" w:right="760" w:hanging="415"/>
        <w:spacing w:after="0" w:line="304" w:lineRule="auto"/>
        <w:tabs>
          <w:tab w:leader="none" w:pos="169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Festsetzung der Zwischendividende und die Genehmigung des dafür erforderlichen Zwischenabschlusses;</w:t>
      </w:r>
    </w:p>
    <w:p>
      <w:pPr>
        <w:spacing w:after="0" w:line="4" w:lineRule="exact"/>
        <w:rPr>
          <w:rFonts w:ascii="Arial" w:cs="Arial" w:eastAsia="Arial" w:hAnsi="Arial"/>
          <w:sz w:val="17"/>
          <w:szCs w:val="17"/>
          <w:color w:val="auto"/>
        </w:rPr>
      </w:pPr>
    </w:p>
    <w:p>
      <w:pPr>
        <w:ind w:left="1700" w:right="780" w:hanging="415"/>
        <w:spacing w:after="0" w:line="318" w:lineRule="auto"/>
        <w:tabs>
          <w:tab w:leader="none" w:pos="169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Beschlussfassung über die Rückzahlung der gesetzlichen Kapitalreserve;</w:t>
      </w:r>
    </w:p>
    <w:p>
      <w:pPr>
        <w:spacing w:after="0" w:line="1" w:lineRule="exact"/>
        <w:rPr>
          <w:rFonts w:ascii="Arial" w:cs="Arial" w:eastAsia="Arial" w:hAnsi="Arial"/>
          <w:sz w:val="17"/>
          <w:szCs w:val="17"/>
          <w:color w:val="auto"/>
        </w:rPr>
      </w:pPr>
    </w:p>
    <w:p>
      <w:pPr>
        <w:ind w:left="1700" w:hanging="415"/>
        <w:spacing w:after="0"/>
        <w:tabs>
          <w:tab w:leader="none" w:pos="1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Genehmigung   der   Vergütung   des</w:t>
      </w:r>
    </w:p>
    <w:p>
      <w:pPr>
        <w:spacing w:after="0" w:line="45" w:lineRule="exact"/>
        <w:rPr>
          <w:rFonts w:ascii="Arial" w:cs="Arial" w:eastAsia="Arial" w:hAnsi="Arial"/>
          <w:sz w:val="17"/>
          <w:szCs w:val="17"/>
          <w:color w:val="auto"/>
        </w:rPr>
      </w:pPr>
    </w:p>
    <w:p>
      <w:pPr>
        <w:ind w:left="1700" w:right="780"/>
        <w:spacing w:after="0" w:line="313" w:lineRule="auto"/>
        <w:rPr>
          <w:rFonts w:ascii="Arial" w:cs="Arial" w:eastAsia="Arial" w:hAnsi="Arial"/>
          <w:sz w:val="17"/>
          <w:szCs w:val="17"/>
          <w:color w:val="auto"/>
        </w:rPr>
      </w:pPr>
      <w:r>
        <w:rPr>
          <w:rFonts w:ascii="Arial" w:cs="Arial" w:eastAsia="Arial" w:hAnsi="Arial"/>
          <w:sz w:val="17"/>
          <w:szCs w:val="17"/>
          <w:color w:val="auto"/>
        </w:rPr>
        <w:t>Verwaltungsrats und der Geschäftsleitung gemäss Art. 28 dieser Statuten;</w:t>
      </w:r>
    </w:p>
    <w:p>
      <w:pPr>
        <w:spacing w:after="0" w:line="9" w:lineRule="exact"/>
        <w:rPr>
          <w:rFonts w:ascii="Arial" w:cs="Arial" w:eastAsia="Arial" w:hAnsi="Arial"/>
          <w:sz w:val="17"/>
          <w:szCs w:val="17"/>
          <w:color w:val="auto"/>
        </w:rPr>
      </w:pPr>
    </w:p>
    <w:p>
      <w:pPr>
        <w:jc w:val="both"/>
        <w:ind w:left="1700" w:right="780" w:hanging="415"/>
        <w:spacing w:after="0" w:line="304" w:lineRule="auto"/>
        <w:tabs>
          <w:tab w:leader="none" w:pos="169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dieEntlastung der Mitglieder des Verwaltungsrats und der mit der Geschäftsleitung betrauten Personen;</w:t>
      </w:r>
    </w:p>
    <w:p>
      <w:pPr>
        <w:spacing w:after="0" w:line="4" w:lineRule="exact"/>
        <w:rPr>
          <w:rFonts w:ascii="Arial" w:cs="Arial" w:eastAsia="Arial" w:hAnsi="Arial"/>
          <w:sz w:val="17"/>
          <w:szCs w:val="17"/>
          <w:color w:val="auto"/>
        </w:rPr>
      </w:pPr>
    </w:p>
    <w:p>
      <w:pPr>
        <w:ind w:left="1700" w:right="760" w:hanging="415"/>
        <w:spacing w:after="0" w:line="326" w:lineRule="auto"/>
        <w:tabs>
          <w:tab w:leader="none" w:pos="1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Dekotierung der Beteiligungspapiere der Gesellschaft; und</w:t>
      </w:r>
    </w:p>
    <w:p>
      <w:pPr>
        <w:jc w:val="both"/>
        <w:ind w:left="1700" w:right="760" w:hanging="415"/>
        <w:spacing w:after="0" w:line="304" w:lineRule="auto"/>
        <w:tabs>
          <w:tab w:leader="none" w:pos="17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die Beschlussfassung über die Gegenstände, die der Generalversammlung durch das Gesetz oder die Statuten vorbehalten sind.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bodies are:</w:t>
      </w:r>
    </w:p>
    <w:p>
      <w:pPr>
        <w:spacing w:after="0" w:line="83" w:lineRule="exact"/>
        <w:rPr>
          <w:sz w:val="20"/>
          <w:szCs w:val="20"/>
          <w:color w:val="auto"/>
        </w:rPr>
      </w:pPr>
    </w:p>
    <w:p>
      <w:pPr>
        <w:ind w:left="400" w:hanging="399"/>
        <w:spacing w:after="0"/>
        <w:tabs>
          <w:tab w:leader="none" w:pos="4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general meeting of shareholders;</w:t>
      </w:r>
    </w:p>
    <w:p>
      <w:pPr>
        <w:spacing w:after="0" w:line="95" w:lineRule="exact"/>
        <w:rPr>
          <w:rFonts w:ascii="Arial" w:cs="Arial" w:eastAsia="Arial" w:hAnsi="Arial"/>
          <w:sz w:val="17"/>
          <w:szCs w:val="17"/>
          <w:color w:val="auto"/>
        </w:rPr>
      </w:pPr>
    </w:p>
    <w:p>
      <w:pPr>
        <w:ind w:left="400" w:hanging="399"/>
        <w:spacing w:after="0"/>
        <w:tabs>
          <w:tab w:leader="none" w:pos="4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board of directors;</w:t>
      </w:r>
    </w:p>
    <w:p>
      <w:pPr>
        <w:spacing w:after="0" w:line="83" w:lineRule="exact"/>
        <w:rPr>
          <w:rFonts w:ascii="Arial" w:cs="Arial" w:eastAsia="Arial" w:hAnsi="Arial"/>
          <w:sz w:val="17"/>
          <w:szCs w:val="17"/>
          <w:color w:val="auto"/>
        </w:rPr>
      </w:pPr>
    </w:p>
    <w:p>
      <w:pPr>
        <w:ind w:left="380" w:hanging="379"/>
        <w:spacing w:after="0"/>
        <w:tabs>
          <w:tab w:leader="none" w:pos="3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auditors.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General Meeting of Shareholders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8</w:t>
      </w:r>
    </w:p>
    <w:p>
      <w:pPr>
        <w:spacing w:after="0" w:line="197" w:lineRule="exact"/>
        <w:rPr>
          <w:sz w:val="20"/>
          <w:szCs w:val="20"/>
          <w:color w:val="auto"/>
        </w:rPr>
      </w:pPr>
    </w:p>
    <w:p>
      <w:pPr>
        <w:jc w:val="both"/>
        <w:ind w:right="20"/>
        <w:spacing w:after="0" w:line="304" w:lineRule="auto"/>
        <w:rPr>
          <w:sz w:val="20"/>
          <w:szCs w:val="20"/>
          <w:color w:val="auto"/>
        </w:rPr>
      </w:pPr>
      <w:r>
        <w:rPr>
          <w:rFonts w:ascii="Arial" w:cs="Arial" w:eastAsia="Arial" w:hAnsi="Arial"/>
          <w:sz w:val="17"/>
          <w:szCs w:val="17"/>
          <w:color w:val="auto"/>
        </w:rPr>
        <w:t>The general meeting of shareholders is the supreme corporate body of the Company. It has the following non-delegable powers:</w:t>
      </w:r>
    </w:p>
    <w:p>
      <w:pPr>
        <w:spacing w:after="0" w:line="4" w:lineRule="exact"/>
        <w:rPr>
          <w:sz w:val="20"/>
          <w:szCs w:val="20"/>
          <w:color w:val="auto"/>
        </w:rPr>
      </w:pPr>
    </w:p>
    <w:p>
      <w:pPr>
        <w:ind w:left="420" w:hanging="419"/>
        <w:spacing w:after="0" w:line="318" w:lineRule="auto"/>
        <w:tabs>
          <w:tab w:leader="none" w:pos="41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adoption and amendment of the Articles of Incorporation;</w:t>
      </w:r>
    </w:p>
    <w:p>
      <w:pPr>
        <w:spacing w:after="0" w:line="1" w:lineRule="exact"/>
        <w:rPr>
          <w:rFonts w:ascii="Arial" w:cs="Arial" w:eastAsia="Arial" w:hAnsi="Arial"/>
          <w:sz w:val="17"/>
          <w:szCs w:val="17"/>
          <w:color w:val="auto"/>
        </w:rPr>
      </w:pPr>
    </w:p>
    <w:p>
      <w:pPr>
        <w:ind w:left="400" w:hanging="399"/>
        <w:spacing w:after="0"/>
        <w:tabs>
          <w:tab w:leader="none" w:pos="4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election  of  the  members  of  the  board  of</w:t>
      </w:r>
    </w:p>
    <w:p>
      <w:pPr>
        <w:spacing w:after="0" w:line="45" w:lineRule="exact"/>
        <w:rPr>
          <w:rFonts w:ascii="Arial" w:cs="Arial" w:eastAsia="Arial" w:hAnsi="Arial"/>
          <w:sz w:val="17"/>
          <w:szCs w:val="17"/>
          <w:color w:val="auto"/>
        </w:rPr>
      </w:pPr>
    </w:p>
    <w:p>
      <w:pPr>
        <w:jc w:val="both"/>
        <w:ind w:left="420"/>
        <w:spacing w:after="0" w:line="305" w:lineRule="auto"/>
        <w:rPr>
          <w:rFonts w:ascii="Arial" w:cs="Arial" w:eastAsia="Arial" w:hAnsi="Arial"/>
          <w:sz w:val="17"/>
          <w:szCs w:val="17"/>
          <w:color w:val="auto"/>
        </w:rPr>
      </w:pPr>
      <w:r>
        <w:rPr>
          <w:rFonts w:ascii="Arial" w:cs="Arial" w:eastAsia="Arial" w:hAnsi="Arial"/>
          <w:sz w:val="16"/>
          <w:szCs w:val="16"/>
          <w:color w:val="auto"/>
        </w:rPr>
        <w:t>directors, the chairman of the board of directors, the members of the compensation committee,</w:t>
      </w:r>
    </w:p>
    <w:p>
      <w:pPr>
        <w:ind w:left="420" w:right="20"/>
        <w:spacing w:after="0" w:line="313" w:lineRule="auto"/>
        <w:rPr>
          <w:rFonts w:ascii="Arial" w:cs="Arial" w:eastAsia="Arial" w:hAnsi="Arial"/>
          <w:sz w:val="17"/>
          <w:szCs w:val="17"/>
          <w:color w:val="auto"/>
        </w:rPr>
      </w:pPr>
      <w:r>
        <w:rPr>
          <w:rFonts w:ascii="Arial" w:cs="Arial" w:eastAsia="Arial" w:hAnsi="Arial"/>
          <w:sz w:val="17"/>
          <w:szCs w:val="17"/>
          <w:color w:val="auto"/>
        </w:rPr>
        <w:t>the independent voting rights representative and the auditors;</w:t>
      </w:r>
    </w:p>
    <w:p>
      <w:pPr>
        <w:spacing w:after="0" w:line="9" w:lineRule="exact"/>
        <w:rPr>
          <w:rFonts w:ascii="Arial" w:cs="Arial" w:eastAsia="Arial" w:hAnsi="Arial"/>
          <w:sz w:val="17"/>
          <w:szCs w:val="17"/>
          <w:color w:val="auto"/>
        </w:rPr>
      </w:pPr>
    </w:p>
    <w:p>
      <w:pPr>
        <w:ind w:left="420" w:right="20" w:hanging="419"/>
        <w:spacing w:after="0" w:line="318" w:lineRule="auto"/>
        <w:tabs>
          <w:tab w:leader="none" w:pos="41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approval of the annual management report and the consolidated financial statements;</w:t>
      </w:r>
    </w:p>
    <w:p>
      <w:pPr>
        <w:spacing w:after="0" w:line="1" w:lineRule="exact"/>
        <w:rPr>
          <w:rFonts w:ascii="Arial" w:cs="Arial" w:eastAsia="Arial" w:hAnsi="Arial"/>
          <w:sz w:val="17"/>
          <w:szCs w:val="17"/>
          <w:color w:val="auto"/>
        </w:rPr>
      </w:pPr>
    </w:p>
    <w:p>
      <w:pPr>
        <w:ind w:left="400" w:hanging="399"/>
        <w:spacing w:after="0"/>
        <w:tabs>
          <w:tab w:leader="none" w:pos="4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approval of the annual financial statements and</w:t>
      </w:r>
    </w:p>
    <w:p>
      <w:pPr>
        <w:spacing w:after="0" w:line="45" w:lineRule="exact"/>
        <w:rPr>
          <w:rFonts w:ascii="Arial" w:cs="Arial" w:eastAsia="Arial" w:hAnsi="Arial"/>
          <w:sz w:val="17"/>
          <w:szCs w:val="17"/>
          <w:color w:val="auto"/>
        </w:rPr>
      </w:pPr>
    </w:p>
    <w:p>
      <w:pPr>
        <w:jc w:val="both"/>
        <w:ind w:left="420" w:right="20"/>
        <w:spacing w:after="0" w:line="304" w:lineRule="auto"/>
        <w:rPr>
          <w:rFonts w:ascii="Arial" w:cs="Arial" w:eastAsia="Arial" w:hAnsi="Arial"/>
          <w:sz w:val="17"/>
          <w:szCs w:val="17"/>
          <w:color w:val="auto"/>
        </w:rPr>
      </w:pPr>
      <w:r>
        <w:rPr>
          <w:rFonts w:ascii="Arial" w:cs="Arial" w:eastAsia="Arial" w:hAnsi="Arial"/>
          <w:sz w:val="17"/>
          <w:szCs w:val="17"/>
          <w:color w:val="auto"/>
        </w:rPr>
        <w:t>decision on the allocation of profits shown on the balance sheet, in particular with regard to dividends;</w:t>
      </w:r>
    </w:p>
    <w:p>
      <w:pPr>
        <w:spacing w:after="0" w:line="4" w:lineRule="exact"/>
        <w:rPr>
          <w:rFonts w:ascii="Arial" w:cs="Arial" w:eastAsia="Arial" w:hAnsi="Arial"/>
          <w:sz w:val="17"/>
          <w:szCs w:val="17"/>
          <w:color w:val="auto"/>
        </w:rPr>
      </w:pPr>
    </w:p>
    <w:p>
      <w:pPr>
        <w:ind w:left="400" w:hanging="399"/>
        <w:spacing w:after="0"/>
        <w:tabs>
          <w:tab w:leader="none" w:pos="4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determination of interim dividends and the</w:t>
      </w:r>
    </w:p>
    <w:p>
      <w:pPr>
        <w:spacing w:after="0" w:line="45" w:lineRule="exact"/>
        <w:rPr>
          <w:rFonts w:ascii="Arial" w:cs="Arial" w:eastAsia="Arial" w:hAnsi="Arial"/>
          <w:sz w:val="17"/>
          <w:szCs w:val="17"/>
          <w:color w:val="auto"/>
        </w:rPr>
      </w:pPr>
    </w:p>
    <w:p>
      <w:pPr>
        <w:ind w:left="420" w:right="20"/>
        <w:spacing w:after="0" w:line="313" w:lineRule="auto"/>
        <w:rPr>
          <w:rFonts w:ascii="Arial" w:cs="Arial" w:eastAsia="Arial" w:hAnsi="Arial"/>
          <w:sz w:val="17"/>
          <w:szCs w:val="17"/>
          <w:color w:val="auto"/>
        </w:rPr>
      </w:pPr>
      <w:r>
        <w:rPr>
          <w:rFonts w:ascii="Arial" w:cs="Arial" w:eastAsia="Arial" w:hAnsi="Arial"/>
          <w:sz w:val="17"/>
          <w:szCs w:val="17"/>
          <w:color w:val="auto"/>
        </w:rPr>
        <w:t>approval of the interim financial statements required for this purpose;</w:t>
      </w:r>
    </w:p>
    <w:p>
      <w:pPr>
        <w:spacing w:after="0" w:line="9" w:lineRule="exact"/>
        <w:rPr>
          <w:rFonts w:ascii="Arial" w:cs="Arial" w:eastAsia="Arial" w:hAnsi="Arial"/>
          <w:sz w:val="17"/>
          <w:szCs w:val="17"/>
          <w:color w:val="auto"/>
        </w:rPr>
      </w:pPr>
    </w:p>
    <w:p>
      <w:pPr>
        <w:ind w:left="420" w:hanging="419"/>
        <w:spacing w:after="0" w:line="313" w:lineRule="auto"/>
        <w:tabs>
          <w:tab w:leader="none" w:pos="41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resolution on the repayment of the statutory capital reserve;</w:t>
      </w:r>
    </w:p>
    <w:p>
      <w:pPr>
        <w:spacing w:after="0" w:line="9" w:lineRule="exact"/>
        <w:rPr>
          <w:rFonts w:ascii="Arial" w:cs="Arial" w:eastAsia="Arial" w:hAnsi="Arial"/>
          <w:sz w:val="17"/>
          <w:szCs w:val="17"/>
          <w:color w:val="auto"/>
        </w:rPr>
      </w:pPr>
    </w:p>
    <w:p>
      <w:pPr>
        <w:jc w:val="both"/>
        <w:ind w:left="420" w:hanging="419"/>
        <w:spacing w:after="0" w:line="287" w:lineRule="auto"/>
        <w:tabs>
          <w:tab w:leader="none" w:pos="41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approval of the compensation of the board of directors and of the executive management</w:t>
      </w:r>
    </w:p>
    <w:p>
      <w:pPr>
        <w:spacing w:after="0" w:line="1" w:lineRule="exact"/>
        <w:rPr>
          <w:rFonts w:ascii="Arial" w:cs="Arial" w:eastAsia="Arial" w:hAnsi="Arial"/>
          <w:sz w:val="17"/>
          <w:szCs w:val="17"/>
          <w:color w:val="auto"/>
        </w:rPr>
      </w:pPr>
    </w:p>
    <w:p>
      <w:pPr>
        <w:ind w:left="420" w:right="20"/>
        <w:spacing w:after="0" w:line="313" w:lineRule="auto"/>
        <w:rPr>
          <w:rFonts w:ascii="Arial" w:cs="Arial" w:eastAsia="Arial" w:hAnsi="Arial"/>
          <w:sz w:val="17"/>
          <w:szCs w:val="17"/>
          <w:color w:val="auto"/>
        </w:rPr>
      </w:pPr>
      <w:r>
        <w:rPr>
          <w:rFonts w:ascii="Arial" w:cs="Arial" w:eastAsia="Arial" w:hAnsi="Arial"/>
          <w:sz w:val="17"/>
          <w:szCs w:val="17"/>
          <w:color w:val="auto"/>
        </w:rPr>
        <w:t>pursuant to Article 28 of these Articles of Incorporation;</w:t>
      </w:r>
    </w:p>
    <w:p>
      <w:pPr>
        <w:spacing w:after="0" w:line="9" w:lineRule="exact"/>
        <w:rPr>
          <w:rFonts w:ascii="Arial" w:cs="Arial" w:eastAsia="Arial" w:hAnsi="Arial"/>
          <w:sz w:val="17"/>
          <w:szCs w:val="17"/>
          <w:color w:val="auto"/>
        </w:rPr>
      </w:pPr>
    </w:p>
    <w:p>
      <w:pPr>
        <w:jc w:val="both"/>
        <w:ind w:left="420" w:right="20" w:hanging="419"/>
        <w:spacing w:after="0" w:line="304" w:lineRule="auto"/>
        <w:tabs>
          <w:tab w:leader="none" w:pos="41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granting discharge to the members of the board of directors and the persons entrusted with the executive management;</w:t>
      </w:r>
    </w:p>
    <w:p>
      <w:pPr>
        <w:spacing w:after="0" w:line="17" w:lineRule="exact"/>
        <w:rPr>
          <w:rFonts w:ascii="Arial" w:cs="Arial" w:eastAsia="Arial" w:hAnsi="Arial"/>
          <w:sz w:val="17"/>
          <w:szCs w:val="17"/>
          <w:color w:val="auto"/>
        </w:rPr>
      </w:pPr>
    </w:p>
    <w:p>
      <w:pPr>
        <w:ind w:left="420" w:right="20" w:hanging="419"/>
        <w:spacing w:after="0" w:line="313" w:lineRule="auto"/>
        <w:tabs>
          <w:tab w:leader="none" w:pos="41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delisting of the Company's equity securities; and</w:t>
      </w:r>
    </w:p>
    <w:p>
      <w:pPr>
        <w:spacing w:after="0" w:line="9" w:lineRule="exact"/>
        <w:rPr>
          <w:rFonts w:ascii="Arial" w:cs="Arial" w:eastAsia="Arial" w:hAnsi="Arial"/>
          <w:sz w:val="17"/>
          <w:szCs w:val="17"/>
          <w:color w:val="auto"/>
        </w:rPr>
      </w:pPr>
    </w:p>
    <w:p>
      <w:pPr>
        <w:jc w:val="both"/>
        <w:ind w:left="420" w:right="20" w:hanging="419"/>
        <w:spacing w:after="0" w:line="305" w:lineRule="auto"/>
        <w:tabs>
          <w:tab w:leader="none" w:pos="41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passing of resolutions as to all matters reserved by law or under these Articles of Incorporation</w:t>
      </w:r>
    </w:p>
    <w:p>
      <w:pPr>
        <w:ind w:left="420" w:right="20"/>
        <w:spacing w:after="0" w:line="313" w:lineRule="auto"/>
        <w:rPr>
          <w:rFonts w:ascii="Arial" w:cs="Arial" w:eastAsia="Arial" w:hAnsi="Arial"/>
          <w:sz w:val="16"/>
          <w:szCs w:val="16"/>
          <w:color w:val="auto"/>
        </w:rPr>
      </w:pPr>
      <w:r>
        <w:rPr>
          <w:rFonts w:ascii="Arial" w:cs="Arial" w:eastAsia="Arial" w:hAnsi="Arial"/>
          <w:sz w:val="17"/>
          <w:szCs w:val="17"/>
          <w:color w:val="auto"/>
        </w:rPr>
        <w:t>to the authority of the general meeting of shareholders.</w:t>
      </w:r>
    </w:p>
    <w:p>
      <w:pPr>
        <w:spacing w:after="0" w:line="200" w:lineRule="exact"/>
        <w:rPr>
          <w:sz w:val="20"/>
          <w:szCs w:val="20"/>
          <w:color w:val="auto"/>
        </w:rPr>
      </w:pPr>
    </w:p>
    <w:p>
      <w:pPr>
        <w:sectPr>
          <w:pgSz w:w="11900" w:h="16838" w:orient="portrait"/>
          <w:cols w:equalWidth="0" w:num="2">
            <w:col w:w="6040" w:space="500"/>
            <w:col w:w="4020"/>
          </w:cols>
          <w:pgMar w:left="360" w:top="132" w:right="979" w:bottom="1440" w:gutter="0" w:footer="0" w:header="0"/>
          <w:type w:val="continuous"/>
        </w:sectPr>
      </w:pPr>
    </w:p>
    <w:p>
      <w:pPr>
        <w:spacing w:after="0" w:line="240" w:lineRule="exact"/>
        <w:rPr>
          <w:sz w:val="20"/>
          <w:szCs w:val="20"/>
          <w:color w:val="auto"/>
        </w:rPr>
      </w:pPr>
    </w:p>
    <w:p>
      <w:pPr>
        <w:ind w:left="1280"/>
        <w:spacing w:after="0"/>
        <w:tabs>
          <w:tab w:leader="none" w:pos="6660" w:val="left"/>
        </w:tabs>
        <w:rPr>
          <w:sz w:val="20"/>
          <w:szCs w:val="20"/>
          <w:color w:val="auto"/>
        </w:rPr>
      </w:pPr>
      <w:r>
        <w:rPr>
          <w:rFonts w:ascii="Arial" w:cs="Arial" w:eastAsia="Arial" w:hAnsi="Arial"/>
          <w:sz w:val="17"/>
          <w:szCs w:val="17"/>
          <w:b w:val="1"/>
          <w:bCs w:val="1"/>
          <w:color w:val="auto"/>
        </w:rPr>
        <w:t>Artikel 9</w:t>
      </w:r>
      <w:r>
        <w:rPr>
          <w:sz w:val="20"/>
          <w:szCs w:val="20"/>
          <w:color w:val="auto"/>
        </w:rPr>
        <w:tab/>
      </w:r>
      <w:r>
        <w:rPr>
          <w:rFonts w:ascii="Arial" w:cs="Arial" w:eastAsia="Arial" w:hAnsi="Arial"/>
          <w:sz w:val="16"/>
          <w:szCs w:val="16"/>
          <w:b w:val="1"/>
          <w:bCs w:val="1"/>
          <w:color w:val="auto"/>
        </w:rPr>
        <w:t>Article 9</w:t>
      </w:r>
    </w:p>
    <w:p>
      <w:pPr>
        <w:sectPr>
          <w:pgSz w:w="11900" w:h="16838" w:orient="portrait"/>
          <w:cols w:equalWidth="0" w:num="1">
            <w:col w:w="10560"/>
          </w:cols>
          <w:pgMar w:left="360" w:top="132" w:right="979" w:bottom="1440" w:gutter="0" w:footer="0" w:header="0"/>
          <w:type w:val="continuous"/>
        </w:sectPr>
      </w:pPr>
    </w:p>
    <w:bookmarkStart w:id="233" w:name="page234"/>
    <w:bookmarkEnd w:id="233"/>
    <w:p>
      <w:pPr>
        <w:jc w:val="center"/>
        <w:ind w:right="-459"/>
        <w:spacing w:after="0"/>
        <w:rPr>
          <w:sz w:val="20"/>
          <w:szCs w:val="20"/>
          <w:color w:val="auto"/>
        </w:rPr>
      </w:pPr>
      <w:r>
        <w:rPr>
          <w:rFonts w:ascii="Arial" w:cs="Arial" w:eastAsia="Arial" w:hAnsi="Arial"/>
          <w:sz w:val="13"/>
          <w:szCs w:val="13"/>
          <w:color w:val="auto"/>
        </w:rPr>
        <w:t>- 12 -</w:t>
      </w:r>
    </w:p>
    <w:p>
      <w:pPr>
        <w:sectPr>
          <w:pgSz w:w="11900" w:h="16838" w:orient="portrait"/>
          <w:cols w:equalWidth="0" w:num="1">
            <w:col w:w="10700"/>
          </w:cols>
          <w:pgMar w:left="360" w:top="13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60" w:type="dxa"/>
            <w:vAlign w:val="bottom"/>
          </w:tcPr>
          <w:p>
            <w:pPr>
              <w:spacing w:after="0"/>
              <w:rPr>
                <w:sz w:val="20"/>
                <w:szCs w:val="20"/>
                <w:color w:val="auto"/>
              </w:rPr>
            </w:pPr>
            <w:r>
              <w:rPr>
                <w:rFonts w:ascii="Arial" w:cs="Arial" w:eastAsia="Arial" w:hAnsi="Arial"/>
                <w:sz w:val="13"/>
                <w:szCs w:val="13"/>
                <w:color w:val="auto"/>
              </w:rPr>
              <w:t>Ordentliche und</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500" w:type="dxa"/>
            <w:vAlign w:val="bottom"/>
          </w:tcPr>
          <w:p>
            <w:pPr>
              <w:ind w:left="60"/>
              <w:spacing w:after="0"/>
              <w:rPr>
                <w:sz w:val="20"/>
                <w:szCs w:val="20"/>
                <w:color w:val="auto"/>
              </w:rPr>
            </w:pPr>
            <w:r>
              <w:rPr>
                <w:rFonts w:ascii="Arial" w:cs="Arial" w:eastAsia="Arial" w:hAnsi="Arial"/>
                <w:sz w:val="17"/>
                <w:szCs w:val="17"/>
                <w:color w:val="auto"/>
              </w:rPr>
              <w:t>Die</w:t>
            </w:r>
          </w:p>
        </w:tc>
        <w:tc>
          <w:tcPr>
            <w:tcW w:w="960" w:type="dxa"/>
            <w:vAlign w:val="bottom"/>
          </w:tcPr>
          <w:p>
            <w:pPr>
              <w:ind w:left="40"/>
              <w:spacing w:after="0"/>
              <w:rPr>
                <w:sz w:val="20"/>
                <w:szCs w:val="20"/>
                <w:color w:val="auto"/>
              </w:rPr>
            </w:pPr>
            <w:r>
              <w:rPr>
                <w:rFonts w:ascii="Arial" w:cs="Arial" w:eastAsia="Arial" w:hAnsi="Arial"/>
                <w:sz w:val="17"/>
                <w:szCs w:val="17"/>
                <w:color w:val="auto"/>
              </w:rPr>
              <w:t>ordentliche</w:t>
            </w:r>
          </w:p>
        </w:tc>
        <w:tc>
          <w:tcPr>
            <w:tcW w:w="1900" w:type="dxa"/>
            <w:vAlign w:val="bottom"/>
          </w:tcPr>
          <w:p>
            <w:pPr>
              <w:jc w:val="center"/>
              <w:spacing w:after="0"/>
              <w:rPr>
                <w:sz w:val="20"/>
                <w:szCs w:val="20"/>
                <w:color w:val="auto"/>
              </w:rPr>
            </w:pPr>
            <w:r>
              <w:rPr>
                <w:rFonts w:ascii="Arial" w:cs="Arial" w:eastAsia="Arial" w:hAnsi="Arial"/>
                <w:sz w:val="17"/>
                <w:szCs w:val="17"/>
                <w:color w:val="auto"/>
                <w:w w:val="99"/>
              </w:rPr>
              <w:t>Generalversammlung</w:t>
            </w:r>
          </w:p>
        </w:tc>
        <w:tc>
          <w:tcPr>
            <w:tcW w:w="520" w:type="dxa"/>
            <w:vAlign w:val="bottom"/>
          </w:tcPr>
          <w:p>
            <w:pPr>
              <w:jc w:val="right"/>
              <w:spacing w:after="0"/>
              <w:rPr>
                <w:sz w:val="20"/>
                <w:szCs w:val="20"/>
                <w:color w:val="auto"/>
              </w:rPr>
            </w:pPr>
            <w:r>
              <w:rPr>
                <w:rFonts w:ascii="Arial" w:cs="Arial" w:eastAsia="Arial" w:hAnsi="Arial"/>
                <w:sz w:val="17"/>
                <w:szCs w:val="17"/>
                <w:color w:val="auto"/>
              </w:rPr>
              <w:t>findet</w:t>
            </w:r>
          </w:p>
        </w:tc>
      </w:tr>
      <w:tr>
        <w:trPr>
          <w:trHeight w:val="228"/>
        </w:trPr>
        <w:tc>
          <w:tcPr>
            <w:tcW w:w="1460" w:type="dxa"/>
            <w:vAlign w:val="bottom"/>
          </w:tcPr>
          <w:p>
            <w:pPr>
              <w:spacing w:after="0"/>
              <w:rPr>
                <w:sz w:val="20"/>
                <w:szCs w:val="20"/>
                <w:color w:val="auto"/>
              </w:rPr>
            </w:pPr>
            <w:r>
              <w:rPr>
                <w:rFonts w:ascii="Arial" w:cs="Arial" w:eastAsia="Arial" w:hAnsi="Arial"/>
                <w:sz w:val="13"/>
                <w:szCs w:val="13"/>
                <w:color w:val="auto"/>
              </w:rPr>
              <w:t>ausserordentliche</w:t>
            </w:r>
          </w:p>
        </w:tc>
        <w:tc>
          <w:tcPr>
            <w:tcW w:w="180" w:type="dxa"/>
            <w:vAlign w:val="bottom"/>
          </w:tcPr>
          <w:p>
            <w:pPr>
              <w:spacing w:after="0"/>
              <w:rPr>
                <w:sz w:val="19"/>
                <w:szCs w:val="19"/>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alljährlich  innerhalb  von  sechs  Monaten  nach</w:t>
            </w:r>
          </w:p>
        </w:tc>
      </w:tr>
      <w:tr>
        <w:trPr>
          <w:trHeight w:val="241"/>
        </w:trPr>
        <w:tc>
          <w:tcPr>
            <w:tcW w:w="1460" w:type="dxa"/>
            <w:vAlign w:val="bottom"/>
          </w:tcPr>
          <w:p>
            <w:pPr>
              <w:spacing w:after="0"/>
              <w:rPr>
                <w:sz w:val="20"/>
                <w:szCs w:val="20"/>
                <w:color w:val="auto"/>
              </w:rPr>
            </w:pPr>
            <w:r>
              <w:rPr>
                <w:rFonts w:ascii="Arial" w:cs="Arial" w:eastAsia="Arial" w:hAnsi="Arial"/>
                <w:sz w:val="13"/>
                <w:szCs w:val="13"/>
                <w:color w:val="auto"/>
              </w:rPr>
              <w:t>Generalversammlungen</w:t>
            </w:r>
          </w:p>
        </w:tc>
        <w:tc>
          <w:tcPr>
            <w:tcW w:w="180" w:type="dxa"/>
            <w:vAlign w:val="bottom"/>
          </w:tcPr>
          <w:p>
            <w:pPr>
              <w:spacing w:after="0"/>
              <w:rPr>
                <w:sz w:val="20"/>
                <w:szCs w:val="20"/>
                <w:color w:val="auto"/>
              </w:rPr>
            </w:pPr>
          </w:p>
        </w:tc>
        <w:tc>
          <w:tcPr>
            <w:tcW w:w="3360" w:type="dxa"/>
            <w:vAlign w:val="bottom"/>
            <w:gridSpan w:val="3"/>
          </w:tcPr>
          <w:p>
            <w:pPr>
              <w:ind w:left="60"/>
              <w:spacing w:after="0"/>
              <w:rPr>
                <w:sz w:val="20"/>
                <w:szCs w:val="20"/>
                <w:color w:val="auto"/>
              </w:rPr>
            </w:pPr>
            <w:r>
              <w:rPr>
                <w:rFonts w:ascii="Arial" w:cs="Arial" w:eastAsia="Arial" w:hAnsi="Arial"/>
                <w:sz w:val="17"/>
                <w:szCs w:val="17"/>
                <w:color w:val="auto"/>
              </w:rPr>
              <w:t>Schluss des Geschäftsjahres statt.</w:t>
            </w:r>
          </w:p>
        </w:tc>
        <w:tc>
          <w:tcPr>
            <w:tcW w:w="520" w:type="dxa"/>
            <w:vAlign w:val="bottom"/>
          </w:tcPr>
          <w:p>
            <w:pPr>
              <w:spacing w:after="0"/>
              <w:rPr>
                <w:sz w:val="20"/>
                <w:szCs w:val="20"/>
                <w:color w:val="auto"/>
              </w:rPr>
            </w:pPr>
          </w:p>
        </w:tc>
      </w:tr>
      <w:tr>
        <w:trPr>
          <w:trHeight w:val="393"/>
        </w:trPr>
        <w:tc>
          <w:tcPr>
            <w:tcW w:w="1460" w:type="dxa"/>
            <w:vAlign w:val="bottom"/>
          </w:tcPr>
          <w:p>
            <w:pPr>
              <w:spacing w:after="0"/>
              <w:rPr>
                <w:sz w:val="24"/>
                <w:szCs w:val="24"/>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1460" w:type="dxa"/>
            <w:vAlign w:val="bottom"/>
            <w:gridSpan w:val="2"/>
          </w:tcPr>
          <w:p>
            <w:pPr>
              <w:ind w:left="60"/>
              <w:spacing w:after="0"/>
              <w:rPr>
                <w:sz w:val="20"/>
                <w:szCs w:val="20"/>
                <w:color w:val="auto"/>
              </w:rPr>
            </w:pPr>
            <w:r>
              <w:rPr>
                <w:rFonts w:ascii="Arial" w:cs="Arial" w:eastAsia="Arial" w:hAnsi="Arial"/>
                <w:sz w:val="17"/>
                <w:szCs w:val="17"/>
                <w:color w:val="auto"/>
              </w:rPr>
              <w:t>Ausserordentliche</w:t>
            </w:r>
          </w:p>
        </w:tc>
        <w:tc>
          <w:tcPr>
            <w:tcW w:w="1900" w:type="dxa"/>
            <w:vAlign w:val="bottom"/>
          </w:tcPr>
          <w:p>
            <w:pPr>
              <w:jc w:val="center"/>
              <w:spacing w:after="0"/>
              <w:rPr>
                <w:sz w:val="20"/>
                <w:szCs w:val="20"/>
                <w:color w:val="auto"/>
              </w:rPr>
            </w:pPr>
            <w:r>
              <w:rPr>
                <w:rFonts w:ascii="Arial" w:cs="Arial" w:eastAsia="Arial" w:hAnsi="Arial"/>
                <w:sz w:val="17"/>
                <w:szCs w:val="17"/>
                <w:color w:val="auto"/>
                <w:w w:val="99"/>
              </w:rPr>
              <w:t>Generalversammlungen</w:t>
            </w:r>
          </w:p>
        </w:tc>
        <w:tc>
          <w:tcPr>
            <w:tcW w:w="520" w:type="dxa"/>
            <w:vAlign w:val="bottom"/>
          </w:tcPr>
          <w:p>
            <w:pPr>
              <w:jc w:val="right"/>
              <w:spacing w:after="0"/>
              <w:rPr>
                <w:sz w:val="20"/>
                <w:szCs w:val="20"/>
                <w:color w:val="auto"/>
              </w:rPr>
            </w:pPr>
            <w:r>
              <w:rPr>
                <w:rFonts w:ascii="Arial" w:cs="Arial" w:eastAsia="Arial" w:hAnsi="Arial"/>
                <w:sz w:val="17"/>
                <w:szCs w:val="17"/>
                <w:color w:val="auto"/>
              </w:rPr>
              <w:t>finden</w:t>
            </w:r>
          </w:p>
        </w:tc>
      </w:tr>
      <w:tr>
        <w:trPr>
          <w:trHeight w:val="228"/>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statt,   wenn   der   Verwaltungsrat   oder   die</w:t>
            </w: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Revisionsstelle  es  für  angezeigt  erachten  oder</w:t>
            </w:r>
          </w:p>
        </w:tc>
      </w:tr>
      <w:tr>
        <w:trPr>
          <w:trHeight w:val="228"/>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wenn es eine Generalversammlung beschliesst.</w:t>
            </w: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Darüber hinaus können Aktionäre, die zusammen</w:t>
            </w:r>
          </w:p>
        </w:tc>
      </w:tr>
      <w:tr>
        <w:trPr>
          <w:trHeight w:val="228"/>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mindestens 5 Prozent des Aktienkapitals oder der</w:t>
            </w: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Stimmen  vertreten,  gemeinsam  schriftlich  unter</w:t>
            </w:r>
          </w:p>
        </w:tc>
      </w:tr>
      <w:tr>
        <w:trPr>
          <w:trHeight w:val="228"/>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Angabe des Verhandlungsgegenstandes und des</w:t>
            </w: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4"/>
          </w:tcPr>
          <w:p>
            <w:pPr>
              <w:ind w:left="60"/>
              <w:spacing w:after="0"/>
              <w:rPr>
                <w:sz w:val="20"/>
                <w:szCs w:val="20"/>
                <w:color w:val="auto"/>
              </w:rPr>
            </w:pPr>
            <w:r>
              <w:rPr>
                <w:rFonts w:ascii="Arial" w:cs="Arial" w:eastAsia="Arial" w:hAnsi="Arial"/>
                <w:sz w:val="17"/>
                <w:szCs w:val="17"/>
                <w:color w:val="auto"/>
              </w:rPr>
              <w:t>Antrages,   bei   Wahlen   der   Namen   der</w:t>
            </w:r>
          </w:p>
        </w:tc>
      </w:tr>
      <w:tr>
        <w:trPr>
          <w:trHeight w:val="228"/>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auto"/>
              </w:rPr>
              <w:t>vorgeschlagenen</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Kandidaten,  die  Einberufung</w:t>
            </w:r>
          </w:p>
        </w:tc>
      </w:tr>
      <w:tr>
        <w:trPr>
          <w:trHeight w:val="241"/>
        </w:trPr>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7"/>
                <w:szCs w:val="17"/>
                <w:color w:val="auto"/>
              </w:rPr>
              <w:t>einer</w:t>
            </w:r>
          </w:p>
        </w:tc>
        <w:tc>
          <w:tcPr>
            <w:tcW w:w="3380" w:type="dxa"/>
            <w:vAlign w:val="bottom"/>
            <w:gridSpan w:val="3"/>
          </w:tcPr>
          <w:p>
            <w:pPr>
              <w:jc w:val="right"/>
              <w:spacing w:after="0"/>
              <w:rPr>
                <w:sz w:val="20"/>
                <w:szCs w:val="20"/>
                <w:color w:val="auto"/>
              </w:rPr>
            </w:pPr>
            <w:r>
              <w:rPr>
                <w:rFonts w:ascii="Arial" w:cs="Arial" w:eastAsia="Arial" w:hAnsi="Arial"/>
                <w:sz w:val="17"/>
                <w:szCs w:val="17"/>
                <w:color w:val="auto"/>
              </w:rPr>
              <w:t>ausserordentlichen  Generalversammlung</w:t>
            </w:r>
          </w:p>
        </w:tc>
      </w:tr>
    </w:tbl>
    <w:p>
      <w:pPr>
        <w:spacing w:after="0" w:line="1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verlangen.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Ordinary and  1</w:t>
      </w:r>
      <w:r>
        <w:rPr>
          <w:sz w:val="20"/>
          <w:szCs w:val="20"/>
          <w:color w:val="auto"/>
        </w:rPr>
        <w:tab/>
      </w:r>
      <w:r>
        <w:rPr>
          <w:rFonts w:ascii="Arial" w:cs="Arial" w:eastAsia="Arial" w:hAnsi="Arial"/>
          <w:sz w:val="17"/>
          <w:szCs w:val="17"/>
          <w:color w:val="auto"/>
        </w:rPr>
        <w:t>The  ordinary  general  meeting  of  shareholders</w:t>
      </w:r>
    </w:p>
    <w:p>
      <w:pPr>
        <w:spacing w:after="0" w:line="32"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Extraordinary</w:t>
      </w:r>
      <w:r>
        <w:rPr>
          <w:sz w:val="20"/>
          <w:szCs w:val="20"/>
          <w:color w:val="auto"/>
        </w:rPr>
        <w:tab/>
      </w:r>
      <w:r>
        <w:rPr>
          <w:rFonts w:ascii="Arial" w:cs="Arial" w:eastAsia="Arial" w:hAnsi="Arial"/>
          <w:sz w:val="17"/>
          <w:szCs w:val="17"/>
          <w:color w:val="auto"/>
        </w:rPr>
        <w:t>shall be held each year within six months after the</w:t>
      </w:r>
    </w:p>
    <w:p>
      <w:pPr>
        <w:spacing w:after="0" w:line="45"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color w:val="auto"/>
        </w:rPr>
        <w:t>General</w:t>
      </w:r>
      <w:r>
        <w:rPr>
          <w:sz w:val="20"/>
          <w:szCs w:val="20"/>
          <w:color w:val="auto"/>
        </w:rPr>
        <w:tab/>
      </w:r>
      <w:r>
        <w:rPr>
          <w:rFonts w:ascii="Arial" w:cs="Arial" w:eastAsia="Arial" w:hAnsi="Arial"/>
          <w:sz w:val="17"/>
          <w:szCs w:val="17"/>
          <w:color w:val="auto"/>
        </w:rPr>
        <w:t>close of the fiscal year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Meeting of</w:t>
      </w:r>
    </w:p>
    <w:p>
      <w:pPr>
        <w:jc w:val="right"/>
        <w:spacing w:after="0" w:line="216" w:lineRule="auto"/>
        <w:rPr>
          <w:sz w:val="20"/>
          <w:szCs w:val="20"/>
          <w:color w:val="auto"/>
        </w:rPr>
      </w:pPr>
      <w:r>
        <w:rPr>
          <w:rFonts w:ascii="Arial" w:cs="Arial" w:eastAsia="Arial" w:hAnsi="Arial"/>
          <w:sz w:val="26"/>
          <w:szCs w:val="26"/>
          <w:color w:val="auto"/>
          <w:vertAlign w:val="subscript"/>
        </w:rPr>
        <w:t>Shareholders</w:t>
      </w:r>
      <w:r>
        <w:rPr>
          <w:rFonts w:ascii="Arial" w:cs="Arial" w:eastAsia="Arial" w:hAnsi="Arial"/>
          <w:sz w:val="13"/>
          <w:szCs w:val="13"/>
          <w:color w:val="auto"/>
        </w:rPr>
        <w:t xml:space="preserve"> 2    </w:t>
      </w:r>
      <w:r>
        <w:rPr>
          <w:rFonts w:ascii="Arial" w:cs="Arial" w:eastAsia="Arial" w:hAnsi="Arial"/>
          <w:sz w:val="16"/>
          <w:szCs w:val="16"/>
          <w:color w:val="auto"/>
        </w:rPr>
        <w:t>Extraordinary general meetings of shareholders</w:t>
      </w:r>
      <w:r>
        <w:rPr>
          <w:rFonts w:ascii="Arial" w:cs="Arial" w:eastAsia="Arial" w:hAnsi="Arial"/>
          <w:sz w:val="13"/>
          <w:szCs w:val="13"/>
          <w:color w:val="auto"/>
        </w:rPr>
        <w:t xml:space="preserve"> </w:t>
      </w:r>
      <w:r>
        <w:rPr>
          <w:rFonts w:ascii="Arial" w:cs="Arial" w:eastAsia="Arial" w:hAnsi="Arial"/>
          <w:sz w:val="16"/>
          <w:szCs w:val="16"/>
          <w:color w:val="auto"/>
        </w:rPr>
        <w:t>shall be held when deemed necessary by the</w:t>
      </w:r>
    </w:p>
    <w:p>
      <w:pPr>
        <w:spacing w:after="0" w:line="18" w:lineRule="exact"/>
        <w:rPr>
          <w:sz w:val="20"/>
          <w:szCs w:val="20"/>
          <w:color w:val="auto"/>
        </w:rPr>
      </w:pPr>
    </w:p>
    <w:p>
      <w:pPr>
        <w:jc w:val="both"/>
        <w:ind w:left="1240"/>
        <w:spacing w:after="0" w:line="292" w:lineRule="auto"/>
        <w:rPr>
          <w:sz w:val="20"/>
          <w:szCs w:val="20"/>
          <w:color w:val="auto"/>
        </w:rPr>
      </w:pPr>
      <w:r>
        <w:rPr>
          <w:rFonts w:ascii="Arial" w:cs="Arial" w:eastAsia="Arial" w:hAnsi="Arial"/>
          <w:sz w:val="17"/>
          <w:szCs w:val="17"/>
          <w:color w:val="auto"/>
        </w:rPr>
        <w:t>board of directors or the auditors. Furthermore, extraordinary general meetings of shareholders shall be convened upon resolution of a general meeting of shareholders or if this is requested by one or more shareholders who represent an aggregate of at least 5 percent of the share capital or votes and who submit a written request specifying the agenda items and the proposals, in case of elections the name of the proposed candidates.</w:t>
      </w:r>
    </w:p>
    <w:p>
      <w:pPr>
        <w:spacing w:after="0" w:line="200" w:lineRule="exact"/>
        <w:rPr>
          <w:sz w:val="20"/>
          <w:szCs w:val="20"/>
          <w:color w:val="auto"/>
        </w:rPr>
      </w:pPr>
    </w:p>
    <w:p>
      <w:pPr>
        <w:sectPr>
          <w:pgSz w:w="11900" w:h="16838" w:orient="portrait"/>
          <w:cols w:equalWidth="0" w:num="2">
            <w:col w:w="5520" w:space="160"/>
            <w:col w:w="5020"/>
          </w:cols>
          <w:pgMar w:left="360" w:top="132" w:right="839" w:bottom="1440" w:gutter="0" w:footer="0" w:header="0"/>
          <w:type w:val="continuous"/>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840" w:type="dxa"/>
            <w:vAlign w:val="bottom"/>
          </w:tcPr>
          <w:p>
            <w:pPr>
              <w:ind w:left="600"/>
              <w:spacing w:after="0"/>
              <w:rPr>
                <w:sz w:val="20"/>
                <w:szCs w:val="20"/>
                <w:color w:val="auto"/>
              </w:rPr>
            </w:pPr>
            <w:r>
              <w:rPr>
                <w:rFonts w:ascii="Arial" w:cs="Arial" w:eastAsia="Arial" w:hAnsi="Arial"/>
                <w:sz w:val="17"/>
                <w:szCs w:val="17"/>
                <w:b w:val="1"/>
                <w:bCs w:val="1"/>
                <w:color w:val="auto"/>
              </w:rPr>
              <w:t>Artikel 10</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20" w:type="dxa"/>
            <w:vAlign w:val="bottom"/>
          </w:tcPr>
          <w:p>
            <w:pPr>
              <w:ind w:left="140"/>
              <w:spacing w:after="0"/>
              <w:rPr>
                <w:sz w:val="20"/>
                <w:szCs w:val="20"/>
                <w:color w:val="auto"/>
              </w:rPr>
            </w:pPr>
            <w:r>
              <w:rPr>
                <w:rFonts w:ascii="Arial" w:cs="Arial" w:eastAsia="Arial" w:hAnsi="Arial"/>
                <w:sz w:val="17"/>
                <w:szCs w:val="17"/>
                <w:b w:val="1"/>
                <w:bCs w:val="1"/>
                <w:color w:val="auto"/>
              </w:rPr>
              <w:t>Article 10</w:t>
            </w:r>
          </w:p>
        </w:tc>
      </w:tr>
      <w:tr>
        <w:trPr>
          <w:trHeight w:val="352"/>
        </w:trPr>
        <w:tc>
          <w:tcPr>
            <w:tcW w:w="1100" w:type="dxa"/>
            <w:vAlign w:val="bottom"/>
          </w:tcPr>
          <w:p>
            <w:pPr>
              <w:spacing w:after="0"/>
              <w:rPr>
                <w:sz w:val="20"/>
                <w:szCs w:val="20"/>
                <w:color w:val="auto"/>
              </w:rPr>
            </w:pPr>
            <w:r>
              <w:rPr>
                <w:rFonts w:ascii="Arial" w:cs="Arial" w:eastAsia="Arial" w:hAnsi="Arial"/>
                <w:sz w:val="13"/>
                <w:szCs w:val="13"/>
                <w:color w:val="auto"/>
              </w:rPr>
              <w:t>Einberufung</w:t>
            </w:r>
          </w:p>
        </w:tc>
        <w:tc>
          <w:tcPr>
            <w:tcW w:w="2820" w:type="dxa"/>
            <w:vAlign w:val="bottom"/>
            <w:gridSpan w:val="2"/>
          </w:tcPr>
          <w:p>
            <w:pPr>
              <w:ind w:left="3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Generalversammlung</w:t>
            </w:r>
          </w:p>
        </w:tc>
        <w:tc>
          <w:tcPr>
            <w:tcW w:w="420" w:type="dxa"/>
            <w:vAlign w:val="bottom"/>
          </w:tcPr>
          <w:p>
            <w:pPr>
              <w:ind w:left="120"/>
              <w:spacing w:after="0"/>
              <w:rPr>
                <w:sz w:val="20"/>
                <w:szCs w:val="20"/>
                <w:color w:val="auto"/>
              </w:rPr>
            </w:pPr>
            <w:r>
              <w:rPr>
                <w:rFonts w:ascii="Arial" w:cs="Arial" w:eastAsia="Arial" w:hAnsi="Arial"/>
                <w:sz w:val="17"/>
                <w:szCs w:val="17"/>
                <w:color w:val="auto"/>
                <w:w w:val="89"/>
              </w:rPr>
              <w:t>wird</w:t>
            </w:r>
          </w:p>
        </w:tc>
        <w:tc>
          <w:tcPr>
            <w:tcW w:w="1240" w:type="dxa"/>
            <w:vAlign w:val="bottom"/>
          </w:tcPr>
          <w:p>
            <w:pPr>
              <w:jc w:val="right"/>
              <w:spacing w:after="0"/>
              <w:rPr>
                <w:sz w:val="20"/>
                <w:szCs w:val="20"/>
                <w:color w:val="auto"/>
              </w:rPr>
            </w:pPr>
            <w:r>
              <w:rPr>
                <w:rFonts w:ascii="Arial" w:cs="Arial" w:eastAsia="Arial" w:hAnsi="Arial"/>
                <w:sz w:val="17"/>
                <w:szCs w:val="17"/>
                <w:color w:val="auto"/>
              </w:rPr>
              <w:t>durch   den</w:t>
            </w:r>
          </w:p>
        </w:tc>
        <w:tc>
          <w:tcPr>
            <w:tcW w:w="720" w:type="dxa"/>
            <w:vAlign w:val="bottom"/>
          </w:tcPr>
          <w:p>
            <w:pPr>
              <w:ind w:left="100"/>
              <w:spacing w:after="0"/>
              <w:rPr>
                <w:sz w:val="20"/>
                <w:szCs w:val="20"/>
                <w:color w:val="auto"/>
              </w:rPr>
            </w:pPr>
            <w:r>
              <w:rPr>
                <w:rFonts w:ascii="Arial" w:cs="Arial" w:eastAsia="Arial" w:hAnsi="Arial"/>
                <w:sz w:val="13"/>
                <w:szCs w:val="13"/>
                <w:color w:val="auto"/>
              </w:rPr>
              <w:t>Notice</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3920" w:type="dxa"/>
            <w:vAlign w:val="bottom"/>
          </w:tcPr>
          <w:p>
            <w:pPr>
              <w:ind w:left="140"/>
              <w:spacing w:after="0"/>
              <w:rPr>
                <w:sz w:val="20"/>
                <w:szCs w:val="20"/>
                <w:color w:val="auto"/>
              </w:rPr>
            </w:pPr>
            <w:r>
              <w:rPr>
                <w:rFonts w:ascii="Arial" w:cs="Arial" w:eastAsia="Arial" w:hAnsi="Arial"/>
                <w:sz w:val="17"/>
                <w:szCs w:val="17"/>
                <w:color w:val="auto"/>
              </w:rPr>
              <w:t>Notice of a general meeting of shareholders shall</w:t>
            </w:r>
          </w:p>
        </w:tc>
      </w:tr>
      <w:tr>
        <w:trPr>
          <w:trHeight w:val="207"/>
        </w:trPr>
        <w:tc>
          <w:tcPr>
            <w:tcW w:w="1100" w:type="dxa"/>
            <w:vAlign w:val="bottom"/>
          </w:tcPr>
          <w:p>
            <w:pPr>
              <w:spacing w:after="0"/>
              <w:rPr>
                <w:sz w:val="17"/>
                <w:szCs w:val="17"/>
                <w:color w:val="auto"/>
              </w:rPr>
            </w:pPr>
          </w:p>
        </w:tc>
        <w:tc>
          <w:tcPr>
            <w:tcW w:w="1840" w:type="dxa"/>
            <w:vAlign w:val="bottom"/>
          </w:tcPr>
          <w:p>
            <w:pPr>
              <w:ind w:left="600"/>
              <w:spacing w:after="0"/>
              <w:rPr>
                <w:sz w:val="20"/>
                <w:szCs w:val="20"/>
                <w:color w:val="auto"/>
              </w:rPr>
            </w:pPr>
            <w:r>
              <w:rPr>
                <w:rFonts w:ascii="Arial" w:cs="Arial" w:eastAsia="Arial" w:hAnsi="Arial"/>
                <w:sz w:val="17"/>
                <w:szCs w:val="17"/>
                <w:color w:val="auto"/>
              </w:rPr>
              <w:t>Verwaltungsrat,</w:t>
            </w:r>
          </w:p>
        </w:tc>
        <w:tc>
          <w:tcPr>
            <w:tcW w:w="980" w:type="dxa"/>
            <w:vAlign w:val="bottom"/>
          </w:tcPr>
          <w:p>
            <w:pPr>
              <w:jc w:val="right"/>
              <w:spacing w:after="0"/>
              <w:rPr>
                <w:sz w:val="20"/>
                <w:szCs w:val="20"/>
                <w:color w:val="auto"/>
              </w:rPr>
            </w:pPr>
            <w:r>
              <w:rPr>
                <w:rFonts w:ascii="Arial" w:cs="Arial" w:eastAsia="Arial" w:hAnsi="Arial"/>
                <w:sz w:val="17"/>
                <w:szCs w:val="17"/>
                <w:color w:val="auto"/>
              </w:rPr>
              <w:t>nötigenfalls</w:t>
            </w:r>
          </w:p>
        </w:tc>
        <w:tc>
          <w:tcPr>
            <w:tcW w:w="420" w:type="dxa"/>
            <w:vAlign w:val="bottom"/>
          </w:tcPr>
          <w:p>
            <w:pPr>
              <w:ind w:left="60"/>
              <w:spacing w:after="0"/>
              <w:rPr>
                <w:sz w:val="20"/>
                <w:szCs w:val="20"/>
                <w:color w:val="auto"/>
              </w:rPr>
            </w:pPr>
            <w:r>
              <w:rPr>
                <w:rFonts w:ascii="Arial" w:cs="Arial" w:eastAsia="Arial" w:hAnsi="Arial"/>
                <w:sz w:val="17"/>
                <w:szCs w:val="17"/>
                <w:color w:val="auto"/>
              </w:rPr>
              <w:t>die</w:t>
            </w:r>
          </w:p>
        </w:tc>
        <w:tc>
          <w:tcPr>
            <w:tcW w:w="1960" w:type="dxa"/>
            <w:vAlign w:val="bottom"/>
            <w:gridSpan w:val="2"/>
          </w:tcPr>
          <w:p>
            <w:pPr>
              <w:jc w:val="right"/>
              <w:ind w:right="713"/>
              <w:spacing w:after="0"/>
              <w:rPr>
                <w:sz w:val="20"/>
                <w:szCs w:val="20"/>
                <w:color w:val="auto"/>
              </w:rPr>
            </w:pPr>
            <w:r>
              <w:rPr>
                <w:rFonts w:ascii="Arial" w:cs="Arial" w:eastAsia="Arial" w:hAnsi="Arial"/>
                <w:sz w:val="17"/>
                <w:szCs w:val="17"/>
                <w:color w:val="auto"/>
                <w:w w:val="98"/>
              </w:rPr>
              <w:t>Revisionsstelle,</w:t>
            </w:r>
          </w:p>
        </w:tc>
        <w:tc>
          <w:tcPr>
            <w:tcW w:w="48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Arial" w:cs="Arial" w:eastAsia="Arial" w:hAnsi="Arial"/>
                <w:sz w:val="17"/>
                <w:szCs w:val="17"/>
                <w:color w:val="auto"/>
                <w:w w:val="99"/>
              </w:rPr>
              <w:t>be given by the board of directors or, if necessary,</w:t>
            </w:r>
          </w:p>
        </w:tc>
      </w:tr>
      <w:tr>
        <w:trPr>
          <w:trHeight w:val="223"/>
        </w:trPr>
        <w:tc>
          <w:tcPr>
            <w:tcW w:w="1100" w:type="dxa"/>
            <w:vAlign w:val="bottom"/>
          </w:tcPr>
          <w:p>
            <w:pPr>
              <w:spacing w:after="0"/>
              <w:rPr>
                <w:sz w:val="19"/>
                <w:szCs w:val="19"/>
                <w:color w:val="auto"/>
              </w:rPr>
            </w:pPr>
          </w:p>
        </w:tc>
        <w:tc>
          <w:tcPr>
            <w:tcW w:w="1840" w:type="dxa"/>
            <w:vAlign w:val="bottom"/>
          </w:tcPr>
          <w:p>
            <w:pPr>
              <w:ind w:left="600"/>
              <w:spacing w:after="0"/>
              <w:rPr>
                <w:sz w:val="20"/>
                <w:szCs w:val="20"/>
                <w:color w:val="auto"/>
              </w:rPr>
            </w:pPr>
            <w:r>
              <w:rPr>
                <w:rFonts w:ascii="Arial" w:cs="Arial" w:eastAsia="Arial" w:hAnsi="Arial"/>
                <w:sz w:val="17"/>
                <w:szCs w:val="17"/>
                <w:color w:val="auto"/>
              </w:rPr>
              <w:t>spätestens  20</w:t>
            </w:r>
          </w:p>
        </w:tc>
        <w:tc>
          <w:tcPr>
            <w:tcW w:w="980" w:type="dxa"/>
            <w:vAlign w:val="bottom"/>
          </w:tcPr>
          <w:p>
            <w:pPr>
              <w:jc w:val="right"/>
              <w:spacing w:after="0"/>
              <w:rPr>
                <w:sz w:val="20"/>
                <w:szCs w:val="20"/>
                <w:color w:val="auto"/>
              </w:rPr>
            </w:pPr>
            <w:r>
              <w:rPr>
                <w:rFonts w:ascii="Arial" w:cs="Arial" w:eastAsia="Arial" w:hAnsi="Arial"/>
                <w:sz w:val="17"/>
                <w:szCs w:val="17"/>
                <w:color w:val="auto"/>
              </w:rPr>
              <w:t>Tage  vor</w:t>
            </w:r>
          </w:p>
        </w:tc>
        <w:tc>
          <w:tcPr>
            <w:tcW w:w="420" w:type="dxa"/>
            <w:vAlign w:val="bottom"/>
          </w:tcPr>
          <w:p>
            <w:pPr>
              <w:ind w:left="120"/>
              <w:spacing w:after="0"/>
              <w:rPr>
                <w:sz w:val="20"/>
                <w:szCs w:val="20"/>
                <w:color w:val="auto"/>
              </w:rPr>
            </w:pPr>
            <w:r>
              <w:rPr>
                <w:rFonts w:ascii="Arial" w:cs="Arial" w:eastAsia="Arial" w:hAnsi="Arial"/>
                <w:sz w:val="17"/>
                <w:szCs w:val="17"/>
                <w:color w:val="auto"/>
              </w:rPr>
              <w:t>der</w:t>
            </w:r>
          </w:p>
        </w:tc>
        <w:tc>
          <w:tcPr>
            <w:tcW w:w="1240" w:type="dxa"/>
            <w:vAlign w:val="bottom"/>
          </w:tcPr>
          <w:p>
            <w:pPr>
              <w:jc w:val="right"/>
              <w:spacing w:after="0"/>
              <w:rPr>
                <w:sz w:val="20"/>
                <w:szCs w:val="20"/>
                <w:color w:val="auto"/>
              </w:rPr>
            </w:pPr>
            <w:r>
              <w:rPr>
                <w:rFonts w:ascii="Arial" w:cs="Arial" w:eastAsia="Arial" w:hAnsi="Arial"/>
                <w:sz w:val="17"/>
                <w:szCs w:val="17"/>
                <w:color w:val="auto"/>
              </w:rPr>
              <w:t>Versammlung</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920" w:type="dxa"/>
            <w:vAlign w:val="bottom"/>
          </w:tcPr>
          <w:p>
            <w:pPr>
              <w:ind w:left="140"/>
              <w:spacing w:after="0"/>
              <w:rPr>
                <w:sz w:val="20"/>
                <w:szCs w:val="20"/>
                <w:color w:val="auto"/>
              </w:rPr>
            </w:pPr>
            <w:r>
              <w:rPr>
                <w:rFonts w:ascii="Arial" w:cs="Arial" w:eastAsia="Arial" w:hAnsi="Arial"/>
                <w:sz w:val="17"/>
                <w:szCs w:val="17"/>
                <w:color w:val="auto"/>
                <w:w w:val="98"/>
              </w:rPr>
              <w:t>by the auditors, no later than twenty calendar days</w:t>
            </w:r>
          </w:p>
        </w:tc>
      </w:tr>
    </w:tbl>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520" w:type="dxa"/>
            <w:vAlign w:val="bottom"/>
          </w:tcPr>
          <w:p>
            <w:pPr>
              <w:spacing w:after="0" w:line="187" w:lineRule="exact"/>
              <w:rPr>
                <w:sz w:val="20"/>
                <w:szCs w:val="20"/>
                <w:color w:val="auto"/>
              </w:rPr>
            </w:pPr>
            <w:r>
              <w:rPr>
                <w:rFonts w:ascii="Arial" w:cs="Arial" w:eastAsia="Arial" w:hAnsi="Arial"/>
                <w:sz w:val="17"/>
                <w:szCs w:val="17"/>
                <w:color w:val="auto"/>
              </w:rPr>
              <w:t>einberufen. Das Einberufungsrecht steht auch den</w:t>
            </w:r>
          </w:p>
        </w:tc>
        <w:tc>
          <w:tcPr>
            <w:tcW w:w="4480" w:type="dxa"/>
            <w:vAlign w:val="bottom"/>
            <w:vMerge w:val="restart"/>
          </w:tcPr>
          <w:p>
            <w:pPr>
              <w:ind w:left="700"/>
              <w:spacing w:after="0"/>
              <w:rPr>
                <w:sz w:val="20"/>
                <w:szCs w:val="20"/>
                <w:color w:val="auto"/>
              </w:rPr>
            </w:pPr>
            <w:r>
              <w:rPr>
                <w:rFonts w:ascii="Arial" w:cs="Arial" w:eastAsia="Arial" w:hAnsi="Arial"/>
                <w:sz w:val="17"/>
                <w:szCs w:val="17"/>
                <w:color w:val="auto"/>
              </w:rPr>
              <w:t>prior  to  the  date  of  the  general  meeting  of</w:t>
            </w:r>
          </w:p>
        </w:tc>
        <w:tc>
          <w:tcPr>
            <w:tcW w:w="0" w:type="dxa"/>
            <w:vAlign w:val="bottom"/>
          </w:tcPr>
          <w:p>
            <w:pPr>
              <w:spacing w:after="0"/>
              <w:rPr>
                <w:sz w:val="1"/>
                <w:szCs w:val="1"/>
                <w:color w:val="auto"/>
              </w:rPr>
            </w:pPr>
          </w:p>
        </w:tc>
      </w:tr>
      <w:tr>
        <w:trPr>
          <w:trHeight w:val="121"/>
        </w:trPr>
        <w:tc>
          <w:tcPr>
            <w:tcW w:w="4520" w:type="dxa"/>
            <w:vAlign w:val="bottom"/>
            <w:vMerge w:val="restart"/>
          </w:tcPr>
          <w:p>
            <w:pPr>
              <w:spacing w:after="0"/>
              <w:rPr>
                <w:sz w:val="20"/>
                <w:szCs w:val="20"/>
                <w:color w:val="auto"/>
              </w:rPr>
            </w:pPr>
            <w:r>
              <w:rPr>
                <w:rFonts w:ascii="Arial" w:cs="Arial" w:eastAsia="Arial" w:hAnsi="Arial"/>
                <w:sz w:val="17"/>
                <w:szCs w:val="17"/>
                <w:color w:val="auto"/>
              </w:rPr>
              <w:t>Liquidatoren zu.</w:t>
            </w:r>
          </w:p>
        </w:tc>
        <w:tc>
          <w:tcPr>
            <w:tcW w:w="4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520" w:type="dxa"/>
            <w:vAlign w:val="bottom"/>
            <w:vMerge w:val="continue"/>
          </w:tcPr>
          <w:p>
            <w:pPr>
              <w:spacing w:after="0"/>
              <w:rPr>
                <w:sz w:val="8"/>
                <w:szCs w:val="8"/>
                <w:color w:val="auto"/>
              </w:rPr>
            </w:pPr>
          </w:p>
        </w:tc>
        <w:tc>
          <w:tcPr>
            <w:tcW w:w="4480" w:type="dxa"/>
            <w:vAlign w:val="bottom"/>
            <w:vMerge w:val="restart"/>
          </w:tcPr>
          <w:p>
            <w:pPr>
              <w:ind w:left="700"/>
              <w:spacing w:after="0"/>
              <w:rPr>
                <w:sz w:val="20"/>
                <w:szCs w:val="20"/>
                <w:color w:val="auto"/>
              </w:rPr>
            </w:pPr>
            <w:r>
              <w:rPr>
                <w:rFonts w:ascii="Arial" w:cs="Arial" w:eastAsia="Arial" w:hAnsi="Arial"/>
                <w:sz w:val="17"/>
                <w:szCs w:val="17"/>
                <w:color w:val="auto"/>
              </w:rPr>
              <w:t>shareholders. The liquidators may also call the</w:t>
            </w: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4480" w:type="dxa"/>
            <w:vAlign w:val="bottom"/>
          </w:tcPr>
          <w:p>
            <w:pPr>
              <w:ind w:left="700"/>
              <w:spacing w:after="0"/>
              <w:rPr>
                <w:sz w:val="20"/>
                <w:szCs w:val="20"/>
                <w:color w:val="auto"/>
              </w:rPr>
            </w:pPr>
            <w:r>
              <w:rPr>
                <w:rFonts w:ascii="Arial" w:cs="Arial" w:eastAsia="Arial" w:hAnsi="Arial"/>
                <w:sz w:val="17"/>
                <w:szCs w:val="17"/>
                <w:color w:val="auto"/>
              </w:rPr>
              <w:t>general meeting of shareholders.</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0700"/>
          </w:cols>
          <w:pgMar w:left="360" w:top="132" w:right="839" w:bottom="1440" w:gutter="0" w:footer="0" w:header="0"/>
          <w:type w:val="continuous"/>
        </w:sectPr>
      </w:pPr>
    </w:p>
    <w:p>
      <w:pPr>
        <w:jc w:val="both"/>
        <w:ind w:left="1700" w:right="313" w:hanging="219"/>
        <w:spacing w:after="0" w:line="259" w:lineRule="auto"/>
        <w:tabs>
          <w:tab w:leader="none" w:pos="16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Die Einberufung erfolgt durch einmalige Bekanntmachung im Publikationsorgan der Gesellschaft. Namenaktionäre können überdies schriftlich orientiert werden.</w:t>
      </w:r>
    </w:p>
    <w:p>
      <w:pPr>
        <w:spacing w:after="0" w:line="20" w:lineRule="exact"/>
        <w:rPr>
          <w:sz w:val="20"/>
          <w:szCs w:val="20"/>
          <w:color w:val="auto"/>
        </w:rPr>
      </w:pPr>
      <w:r>
        <w:rPr>
          <w:sz w:val="20"/>
          <w:szCs w:val="20"/>
          <w:color w:val="auto"/>
        </w:rPr>
        <w:br w:type="column"/>
      </w:r>
    </w:p>
    <w:p>
      <w:pPr>
        <w:jc w:val="both"/>
        <w:ind w:left="367" w:hanging="367"/>
        <w:spacing w:after="0" w:line="287" w:lineRule="auto"/>
        <w:tabs>
          <w:tab w:leader="none" w:pos="367" w:val="left"/>
        </w:tabs>
        <w:numPr>
          <w:ilvl w:val="0"/>
          <w:numId w:val="138"/>
        </w:numPr>
        <w:rPr>
          <w:rFonts w:ascii="Arial" w:cs="Arial" w:eastAsia="Arial" w:hAnsi="Arial"/>
          <w:sz w:val="13"/>
          <w:szCs w:val="13"/>
          <w:color w:val="auto"/>
        </w:rPr>
      </w:pPr>
      <w:r>
        <w:rPr>
          <w:rFonts w:ascii="Arial" w:cs="Arial" w:eastAsia="Arial" w:hAnsi="Arial"/>
          <w:sz w:val="17"/>
          <w:szCs w:val="17"/>
          <w:color w:val="auto"/>
        </w:rPr>
        <w:t>Notice of the general meeting of shareholders shall be given by way of a one-time</w:t>
      </w:r>
    </w:p>
    <w:p>
      <w:pPr>
        <w:spacing w:after="0" w:line="1" w:lineRule="exact"/>
        <w:rPr>
          <w:rFonts w:ascii="Arial" w:cs="Arial" w:eastAsia="Arial" w:hAnsi="Arial"/>
          <w:sz w:val="13"/>
          <w:szCs w:val="13"/>
          <w:color w:val="auto"/>
        </w:rPr>
      </w:pPr>
    </w:p>
    <w:p>
      <w:pPr>
        <w:jc w:val="both"/>
        <w:ind w:left="367"/>
        <w:spacing w:after="0" w:line="304" w:lineRule="auto"/>
        <w:rPr>
          <w:rFonts w:ascii="Arial" w:cs="Arial" w:eastAsia="Arial" w:hAnsi="Arial"/>
          <w:sz w:val="13"/>
          <w:szCs w:val="13"/>
          <w:color w:val="auto"/>
        </w:rPr>
      </w:pPr>
      <w:r>
        <w:rPr>
          <w:rFonts w:ascii="Arial" w:cs="Arial" w:eastAsia="Arial" w:hAnsi="Arial"/>
          <w:sz w:val="17"/>
          <w:szCs w:val="17"/>
          <w:color w:val="auto"/>
        </w:rPr>
        <w:t>announcement in the official means of publication of the Company. In addtion, shareholders of record may be informed by ordinary mail.</w:t>
      </w:r>
    </w:p>
    <w:p>
      <w:pPr>
        <w:spacing w:after="0" w:line="106" w:lineRule="exact"/>
        <w:rPr>
          <w:sz w:val="20"/>
          <w:szCs w:val="20"/>
          <w:color w:val="auto"/>
        </w:rPr>
      </w:pPr>
    </w:p>
    <w:p>
      <w:pPr>
        <w:sectPr>
          <w:pgSz w:w="11900" w:h="16838" w:orient="portrait"/>
          <w:cols w:equalWidth="0" w:num="2">
            <w:col w:w="5833" w:space="720"/>
            <w:col w:w="4147"/>
          </w:cols>
          <w:pgMar w:left="360" w:top="132" w:right="839" w:bottom="1440" w:gutter="0" w:footer="0" w:header="0"/>
          <w:type w:val="continuous"/>
        </w:sectPr>
      </w:pPr>
    </w:p>
    <w:p>
      <w:pPr>
        <w:jc w:val="both"/>
        <w:ind w:left="1700" w:right="333" w:hanging="219"/>
        <w:spacing w:after="0" w:line="259" w:lineRule="auto"/>
        <w:tabs>
          <w:tab w:leader="none" w:pos="16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Spätestens 20 Tage vor der ordentlichen Generalversammlung sind der Geschäftsbericht, der Vergütungsbericht, und die Revisionsberichte zugänglich zu machen.</w:t>
      </w:r>
    </w:p>
    <w:p>
      <w:pPr>
        <w:spacing w:after="0" w:line="20" w:lineRule="exact"/>
        <w:rPr>
          <w:sz w:val="20"/>
          <w:szCs w:val="20"/>
          <w:color w:val="auto"/>
        </w:rPr>
      </w:pPr>
      <w:r>
        <w:rPr>
          <w:sz w:val="20"/>
          <w:szCs w:val="20"/>
          <w:color w:val="auto"/>
        </w:rPr>
        <w:br w:type="column"/>
      </w:r>
    </w:p>
    <w:p>
      <w:pPr>
        <w:jc w:val="both"/>
        <w:ind w:left="367" w:right="20" w:hanging="367"/>
        <w:spacing w:after="0" w:line="305" w:lineRule="auto"/>
        <w:tabs>
          <w:tab w:leader="none" w:pos="367" w:val="left"/>
        </w:tabs>
        <w:numPr>
          <w:ilvl w:val="0"/>
          <w:numId w:val="139"/>
        </w:numPr>
        <w:rPr>
          <w:rFonts w:ascii="Arial" w:cs="Arial" w:eastAsia="Arial" w:hAnsi="Arial"/>
          <w:sz w:val="13"/>
          <w:szCs w:val="13"/>
          <w:color w:val="auto"/>
        </w:rPr>
      </w:pPr>
      <w:r>
        <w:rPr>
          <w:rFonts w:ascii="Arial" w:cs="Arial" w:eastAsia="Arial" w:hAnsi="Arial"/>
          <w:sz w:val="16"/>
          <w:szCs w:val="16"/>
          <w:color w:val="auto"/>
        </w:rPr>
        <w:t>The annual report, the compensation report and the auditors' reports shall be made available to the</w:t>
      </w:r>
    </w:p>
    <w:p>
      <w:pPr>
        <w:jc w:val="both"/>
        <w:ind w:left="367"/>
        <w:spacing w:after="0" w:line="304" w:lineRule="auto"/>
        <w:rPr>
          <w:rFonts w:ascii="Arial" w:cs="Arial" w:eastAsia="Arial" w:hAnsi="Arial"/>
          <w:sz w:val="13"/>
          <w:szCs w:val="13"/>
          <w:color w:val="auto"/>
        </w:rPr>
      </w:pPr>
      <w:r>
        <w:rPr>
          <w:rFonts w:ascii="Arial" w:cs="Arial" w:eastAsia="Arial" w:hAnsi="Arial"/>
          <w:sz w:val="17"/>
          <w:szCs w:val="17"/>
          <w:color w:val="auto"/>
        </w:rPr>
        <w:t>shareholders no later than twenty calendar days prior to the annual general meeting of shareholders.</w:t>
      </w:r>
    </w:p>
    <w:p>
      <w:pPr>
        <w:sectPr>
          <w:pgSz w:w="11900" w:h="16838" w:orient="portrait"/>
          <w:cols w:equalWidth="0" w:num="2">
            <w:col w:w="5833" w:space="720"/>
            <w:col w:w="4147"/>
          </w:cols>
          <w:pgMar w:left="360" w:top="132" w:right="839" w:bottom="1440" w:gutter="0" w:footer="0" w:header="0"/>
          <w:type w:val="continuous"/>
        </w:sectPr>
      </w:pPr>
    </w:p>
    <w:bookmarkStart w:id="234" w:name="page235"/>
    <w:bookmarkEnd w:id="234"/>
    <w:p>
      <w:pPr>
        <w:jc w:val="center"/>
        <w:ind w:right="-459"/>
        <w:spacing w:after="0"/>
        <w:rPr>
          <w:sz w:val="20"/>
          <w:szCs w:val="20"/>
          <w:color w:val="auto"/>
        </w:rPr>
      </w:pPr>
      <w:r>
        <w:rPr>
          <w:rFonts w:ascii="Arial" w:cs="Arial" w:eastAsia="Arial" w:hAnsi="Arial"/>
          <w:sz w:val="13"/>
          <w:szCs w:val="13"/>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p>
        </w:tc>
        <w:tc>
          <w:tcPr>
            <w:tcW w:w="5200" w:type="dxa"/>
            <w:vAlign w:val="bottom"/>
            <w:gridSpan w:val="2"/>
          </w:tcPr>
          <w:p>
            <w:pPr>
              <w:ind w:left="180"/>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6"/>
                <w:szCs w:val="16"/>
                <w:color w:val="auto"/>
              </w:rPr>
              <w:t>In der Einberufung sind bekanntzugeben:</w:t>
            </w:r>
          </w:p>
        </w:tc>
        <w:tc>
          <w:tcPr>
            <w:tcW w:w="460" w:type="dxa"/>
            <w:vAlign w:val="bottom"/>
          </w:tcPr>
          <w:p>
            <w:pPr>
              <w:jc w:val="right"/>
              <w:ind w:right="73"/>
              <w:spacing w:after="0"/>
              <w:rPr>
                <w:sz w:val="20"/>
                <w:szCs w:val="20"/>
                <w:color w:val="auto"/>
              </w:rPr>
            </w:pPr>
            <w:r>
              <w:rPr>
                <w:rFonts w:ascii="Arial" w:cs="Arial" w:eastAsia="Arial" w:hAnsi="Arial"/>
                <w:sz w:val="13"/>
                <w:szCs w:val="13"/>
                <w:color w:val="auto"/>
              </w:rPr>
              <w:t>4</w:t>
            </w: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The notice shall include:</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700" w:type="dxa"/>
            <w:vAlign w:val="bottom"/>
          </w:tcPr>
          <w:p>
            <w:pPr>
              <w:ind w:left="360"/>
              <w:spacing w:after="0"/>
              <w:rPr>
                <w:sz w:val="20"/>
                <w:szCs w:val="20"/>
                <w:color w:val="auto"/>
              </w:rPr>
            </w:pPr>
            <w:r>
              <w:rPr>
                <w:rFonts w:ascii="Arial" w:cs="Arial" w:eastAsia="Arial" w:hAnsi="Arial"/>
                <w:sz w:val="17"/>
                <w:szCs w:val="17"/>
                <w:color w:val="auto"/>
              </w:rPr>
              <w:t>1.</w:t>
            </w:r>
          </w:p>
        </w:tc>
        <w:tc>
          <w:tcPr>
            <w:tcW w:w="4500" w:type="dxa"/>
            <w:vAlign w:val="bottom"/>
          </w:tcPr>
          <w:p>
            <w:pPr>
              <w:jc w:val="right"/>
              <w:ind w:right="716"/>
              <w:spacing w:after="0"/>
              <w:rPr>
                <w:sz w:val="20"/>
                <w:szCs w:val="20"/>
                <w:color w:val="auto"/>
              </w:rPr>
            </w:pPr>
            <w:r>
              <w:rPr>
                <w:rFonts w:ascii="Arial" w:cs="Arial" w:eastAsia="Arial" w:hAnsi="Arial"/>
                <w:sz w:val="17"/>
                <w:szCs w:val="17"/>
                <w:color w:val="auto"/>
              </w:rPr>
              <w:t>Datum,  Beginn,  Art  und  Ort  der</w:t>
            </w:r>
          </w:p>
        </w:tc>
        <w:tc>
          <w:tcPr>
            <w:tcW w:w="4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1.</w:t>
            </w:r>
          </w:p>
        </w:tc>
        <w:tc>
          <w:tcPr>
            <w:tcW w:w="3780" w:type="dxa"/>
            <w:vAlign w:val="bottom"/>
          </w:tcPr>
          <w:p>
            <w:pPr>
              <w:jc w:val="right"/>
              <w:spacing w:after="0"/>
              <w:rPr>
                <w:sz w:val="20"/>
                <w:szCs w:val="20"/>
                <w:color w:val="auto"/>
              </w:rPr>
            </w:pPr>
            <w:r>
              <w:rPr>
                <w:rFonts w:ascii="Arial" w:cs="Arial" w:eastAsia="Arial" w:hAnsi="Arial"/>
                <w:sz w:val="17"/>
                <w:szCs w:val="17"/>
                <w:color w:val="auto"/>
              </w:rPr>
              <w:t>date, beginning, mode and venue of the general</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Generalversammlung;</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vMerge w:val="restart"/>
          </w:tcPr>
          <w:p>
            <w:pPr>
              <w:ind w:left="180"/>
              <w:spacing w:after="0"/>
              <w:rPr>
                <w:sz w:val="20"/>
                <w:szCs w:val="20"/>
                <w:color w:val="auto"/>
              </w:rPr>
            </w:pPr>
            <w:r>
              <w:rPr>
                <w:rFonts w:ascii="Arial" w:cs="Arial" w:eastAsia="Arial" w:hAnsi="Arial"/>
                <w:sz w:val="17"/>
                <w:szCs w:val="17"/>
                <w:color w:val="auto"/>
              </w:rPr>
              <w:t>meeting of shareholders;</w:t>
            </w: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700" w:type="dxa"/>
            <w:vAlign w:val="bottom"/>
            <w:vMerge w:val="restart"/>
          </w:tcPr>
          <w:p>
            <w:pPr>
              <w:ind w:left="360"/>
              <w:spacing w:after="0"/>
              <w:rPr>
                <w:sz w:val="20"/>
                <w:szCs w:val="20"/>
                <w:color w:val="auto"/>
              </w:rPr>
            </w:pPr>
            <w:r>
              <w:rPr>
                <w:rFonts w:ascii="Arial" w:cs="Arial" w:eastAsia="Arial" w:hAnsi="Arial"/>
                <w:sz w:val="17"/>
                <w:szCs w:val="17"/>
                <w:color w:val="auto"/>
              </w:rPr>
              <w:t>2.</w:t>
            </w:r>
          </w:p>
        </w:tc>
        <w:tc>
          <w:tcPr>
            <w:tcW w:w="4500" w:type="dxa"/>
            <w:vAlign w:val="bottom"/>
            <w:vMerge w:val="restart"/>
          </w:tcPr>
          <w:p>
            <w:pPr>
              <w:spacing w:after="0"/>
              <w:rPr>
                <w:sz w:val="20"/>
                <w:szCs w:val="20"/>
                <w:color w:val="auto"/>
              </w:rPr>
            </w:pPr>
            <w:r>
              <w:rPr>
                <w:rFonts w:ascii="Arial" w:cs="Arial" w:eastAsia="Arial" w:hAnsi="Arial"/>
                <w:sz w:val="17"/>
                <w:szCs w:val="17"/>
                <w:color w:val="auto"/>
              </w:rPr>
              <w:t>die Verhandlungsgegenstände;</w:t>
            </w: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auto"/>
              </w:rPr>
              <w:t>2.</w:t>
            </w:r>
          </w:p>
        </w:tc>
        <w:tc>
          <w:tcPr>
            <w:tcW w:w="3780" w:type="dxa"/>
            <w:vAlign w:val="bottom"/>
            <w:vMerge w:val="restart"/>
          </w:tcPr>
          <w:p>
            <w:pPr>
              <w:ind w:left="80"/>
              <w:spacing w:after="0"/>
              <w:rPr>
                <w:sz w:val="20"/>
                <w:szCs w:val="20"/>
                <w:color w:val="auto"/>
              </w:rPr>
            </w:pPr>
            <w:r>
              <w:rPr>
                <w:rFonts w:ascii="Arial" w:cs="Arial" w:eastAsia="Arial" w:hAnsi="Arial"/>
                <w:sz w:val="17"/>
                <w:szCs w:val="17"/>
                <w:color w:val="auto"/>
              </w:rPr>
              <w:t>the agenda;</w:t>
            </w: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700" w:type="dxa"/>
            <w:vAlign w:val="bottom"/>
            <w:vMerge w:val="restart"/>
          </w:tcPr>
          <w:p>
            <w:pPr>
              <w:ind w:left="360"/>
              <w:spacing w:after="0"/>
              <w:rPr>
                <w:sz w:val="20"/>
                <w:szCs w:val="20"/>
                <w:color w:val="auto"/>
              </w:rPr>
            </w:pPr>
            <w:r>
              <w:rPr>
                <w:rFonts w:ascii="Arial" w:cs="Arial" w:eastAsia="Arial" w:hAnsi="Arial"/>
                <w:sz w:val="17"/>
                <w:szCs w:val="17"/>
                <w:color w:val="auto"/>
              </w:rPr>
              <w:t>3.</w:t>
            </w:r>
          </w:p>
        </w:tc>
        <w:tc>
          <w:tcPr>
            <w:tcW w:w="4500" w:type="dxa"/>
            <w:vAlign w:val="bottom"/>
            <w:vMerge w:val="restart"/>
          </w:tcPr>
          <w:p>
            <w:pPr>
              <w:jc w:val="right"/>
              <w:ind w:right="716"/>
              <w:spacing w:after="0"/>
              <w:rPr>
                <w:sz w:val="20"/>
                <w:szCs w:val="20"/>
                <w:color w:val="auto"/>
              </w:rPr>
            </w:pPr>
            <w:r>
              <w:rPr>
                <w:rFonts w:ascii="Arial" w:cs="Arial" w:eastAsia="Arial" w:hAnsi="Arial"/>
                <w:sz w:val="17"/>
                <w:szCs w:val="17"/>
                <w:color w:val="auto"/>
              </w:rPr>
              <w:t>die Anträge des Verwaltungsrates samt kurzer</w:t>
            </w:r>
          </w:p>
        </w:tc>
        <w:tc>
          <w:tcPr>
            <w:tcW w:w="4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5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auto"/>
              </w:rPr>
              <w:t>3.</w:t>
            </w:r>
          </w:p>
        </w:tc>
        <w:tc>
          <w:tcPr>
            <w:tcW w:w="3780" w:type="dxa"/>
            <w:vAlign w:val="bottom"/>
            <w:vMerge w:val="restart"/>
          </w:tcPr>
          <w:p>
            <w:pPr>
              <w:jc w:val="right"/>
              <w:spacing w:after="0"/>
              <w:rPr>
                <w:sz w:val="20"/>
                <w:szCs w:val="20"/>
                <w:color w:val="auto"/>
              </w:rPr>
            </w:pPr>
            <w:r>
              <w:rPr>
                <w:rFonts w:ascii="Arial" w:cs="Arial" w:eastAsia="Arial" w:hAnsi="Arial"/>
                <w:sz w:val="17"/>
                <w:szCs w:val="17"/>
                <w:color w:val="auto"/>
              </w:rPr>
              <w:t>the proposals of the board of directors together</w:t>
            </w: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00" w:type="dxa"/>
            <w:vAlign w:val="bottom"/>
            <w:vMerge w:val="restart"/>
          </w:tcPr>
          <w:p>
            <w:pPr>
              <w:ind w:left="140"/>
              <w:spacing w:after="0"/>
              <w:rPr>
                <w:sz w:val="20"/>
                <w:szCs w:val="20"/>
                <w:color w:val="auto"/>
              </w:rPr>
            </w:pPr>
            <w:r>
              <w:rPr>
                <w:rFonts w:ascii="Arial" w:cs="Arial" w:eastAsia="Arial" w:hAnsi="Arial"/>
                <w:sz w:val="17"/>
                <w:szCs w:val="17"/>
                <w:color w:val="auto"/>
              </w:rPr>
              <w:t>Begründung;</w:t>
            </w:r>
          </w:p>
        </w:tc>
        <w:tc>
          <w:tcPr>
            <w:tcW w:w="4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780" w:type="dxa"/>
            <w:vAlign w:val="bottom"/>
            <w:vMerge w:val="restart"/>
          </w:tcPr>
          <w:p>
            <w:pPr>
              <w:ind w:left="180"/>
              <w:spacing w:after="0"/>
              <w:rPr>
                <w:sz w:val="20"/>
                <w:szCs w:val="20"/>
                <w:color w:val="auto"/>
              </w:rPr>
            </w:pPr>
            <w:r>
              <w:rPr>
                <w:rFonts w:ascii="Arial" w:cs="Arial" w:eastAsia="Arial" w:hAnsi="Arial"/>
                <w:sz w:val="17"/>
                <w:szCs w:val="17"/>
                <w:color w:val="auto"/>
              </w:rPr>
              <w:t>with a brief statement of the reasons;</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700" w:type="dxa"/>
            <w:vAlign w:val="bottom"/>
            <w:vMerge w:val="restart"/>
          </w:tcPr>
          <w:p>
            <w:pPr>
              <w:ind w:left="360"/>
              <w:spacing w:after="0"/>
              <w:rPr>
                <w:sz w:val="20"/>
                <w:szCs w:val="20"/>
                <w:color w:val="auto"/>
              </w:rPr>
            </w:pPr>
            <w:r>
              <w:rPr>
                <w:rFonts w:ascii="Arial" w:cs="Arial" w:eastAsia="Arial" w:hAnsi="Arial"/>
                <w:sz w:val="17"/>
                <w:szCs w:val="17"/>
                <w:color w:val="auto"/>
              </w:rPr>
              <w:t>4.</w:t>
            </w:r>
          </w:p>
        </w:tc>
        <w:tc>
          <w:tcPr>
            <w:tcW w:w="4500" w:type="dxa"/>
            <w:vAlign w:val="bottom"/>
            <w:vMerge w:val="restart"/>
          </w:tcPr>
          <w:p>
            <w:pPr>
              <w:jc w:val="right"/>
              <w:ind w:right="716"/>
              <w:spacing w:after="0"/>
              <w:rPr>
                <w:sz w:val="20"/>
                <w:szCs w:val="20"/>
                <w:color w:val="auto"/>
              </w:rPr>
            </w:pPr>
            <w:r>
              <w:rPr>
                <w:rFonts w:ascii="Arial" w:cs="Arial" w:eastAsia="Arial" w:hAnsi="Arial"/>
                <w:sz w:val="17"/>
                <w:szCs w:val="17"/>
                <w:color w:val="auto"/>
              </w:rPr>
              <w:t>gegebenenfalls die Anträge der Aktionäre samt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kurzer Begründung; und</w:t>
            </w:r>
          </w:p>
        </w:tc>
        <w:tc>
          <w:tcPr>
            <w:tcW w:w="4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4.</w:t>
            </w:r>
          </w:p>
        </w:tc>
        <w:tc>
          <w:tcPr>
            <w:tcW w:w="3780" w:type="dxa"/>
            <w:vAlign w:val="bottom"/>
          </w:tcPr>
          <w:p>
            <w:pPr>
              <w:ind w:left="180"/>
              <w:spacing w:after="0"/>
              <w:rPr>
                <w:sz w:val="20"/>
                <w:szCs w:val="20"/>
                <w:color w:val="auto"/>
              </w:rPr>
            </w:pPr>
            <w:r>
              <w:rPr>
                <w:rFonts w:ascii="Arial" w:cs="Arial" w:eastAsia="Arial" w:hAnsi="Arial"/>
                <w:sz w:val="17"/>
                <w:szCs w:val="17"/>
                <w:color w:val="auto"/>
              </w:rPr>
              <w:t>proposals of the shareholders, if any, together</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700" w:type="dxa"/>
            <w:vAlign w:val="bottom"/>
          </w:tcPr>
          <w:p>
            <w:pPr>
              <w:ind w:left="360"/>
              <w:spacing w:after="0"/>
              <w:rPr>
                <w:sz w:val="20"/>
                <w:szCs w:val="20"/>
                <w:color w:val="auto"/>
              </w:rPr>
            </w:pPr>
            <w:r>
              <w:rPr>
                <w:rFonts w:ascii="Arial" w:cs="Arial" w:eastAsia="Arial" w:hAnsi="Arial"/>
                <w:sz w:val="17"/>
                <w:szCs w:val="17"/>
                <w:color w:val="auto"/>
              </w:rPr>
              <w:t>5.</w:t>
            </w:r>
          </w:p>
        </w:tc>
        <w:tc>
          <w:tcPr>
            <w:tcW w:w="4500" w:type="dxa"/>
            <w:vAlign w:val="bottom"/>
          </w:tcPr>
          <w:p>
            <w:pPr>
              <w:jc w:val="right"/>
              <w:ind w:right="716"/>
              <w:spacing w:after="0"/>
              <w:rPr>
                <w:sz w:val="20"/>
                <w:szCs w:val="20"/>
                <w:color w:val="auto"/>
              </w:rPr>
            </w:pPr>
            <w:r>
              <w:rPr>
                <w:rFonts w:ascii="Arial" w:cs="Arial" w:eastAsia="Arial" w:hAnsi="Arial"/>
                <w:sz w:val="17"/>
                <w:szCs w:val="17"/>
                <w:color w:val="auto"/>
              </w:rPr>
              <w:t>der Name und die Adresse des unabhängigen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7"/>
                <w:szCs w:val="17"/>
                <w:color w:val="auto"/>
              </w:rPr>
              <w:t>with a brief statement of the reasons; and</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Stimmrechtsvertreters.</w:t>
            </w:r>
          </w:p>
        </w:tc>
        <w:tc>
          <w:tcPr>
            <w:tcW w:w="460" w:type="dxa"/>
            <w:vAlign w:val="bottom"/>
          </w:tcPr>
          <w:p>
            <w:pPr>
              <w:spacing w:after="0"/>
              <w:rPr>
                <w:sz w:val="19"/>
                <w:szCs w:val="19"/>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auto"/>
              </w:rPr>
              <w:t>5.</w:t>
            </w:r>
          </w:p>
        </w:tc>
        <w:tc>
          <w:tcPr>
            <w:tcW w:w="3780" w:type="dxa"/>
            <w:vAlign w:val="bottom"/>
            <w:vMerge w:val="restart"/>
          </w:tcPr>
          <w:p>
            <w:pPr>
              <w:jc w:val="right"/>
              <w:spacing w:after="0"/>
              <w:rPr>
                <w:sz w:val="20"/>
                <w:szCs w:val="20"/>
                <w:color w:val="auto"/>
              </w:rPr>
            </w:pPr>
            <w:r>
              <w:rPr>
                <w:rFonts w:ascii="Arial" w:cs="Arial" w:eastAsia="Arial" w:hAnsi="Arial"/>
                <w:sz w:val="17"/>
                <w:szCs w:val="17"/>
                <w:color w:val="auto"/>
              </w:rPr>
              <w:t>name and address of the independent voting</w:t>
            </w: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7"/>
                <w:szCs w:val="17"/>
                <w:color w:val="auto"/>
              </w:rPr>
              <w:t>rights representative.</w:t>
            </w:r>
          </w:p>
        </w:tc>
        <w:tc>
          <w:tcPr>
            <w:tcW w:w="0" w:type="dxa"/>
            <w:vAlign w:val="bottom"/>
          </w:tcPr>
          <w:p>
            <w:pPr>
              <w:spacing w:after="0"/>
              <w:rPr>
                <w:sz w:val="1"/>
                <w:szCs w:val="1"/>
                <w:color w:val="auto"/>
              </w:rPr>
            </w:pPr>
          </w:p>
        </w:tc>
      </w:tr>
      <w:tr>
        <w:trPr>
          <w:trHeight w:val="730"/>
        </w:trPr>
        <w:tc>
          <w:tcPr>
            <w:tcW w:w="86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b w:val="1"/>
                <w:bCs w:val="1"/>
                <w:color w:val="auto"/>
              </w:rPr>
              <w:t>Artikel 10a</w:t>
            </w:r>
          </w:p>
        </w:tc>
        <w:tc>
          <w:tcPr>
            <w:tcW w:w="460" w:type="dxa"/>
            <w:vAlign w:val="bottom"/>
          </w:tcPr>
          <w:p>
            <w:pPr>
              <w:spacing w:after="0"/>
              <w:rPr>
                <w:sz w:val="24"/>
                <w:szCs w:val="24"/>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b w:val="1"/>
                <w:bCs w:val="1"/>
                <w:color w:val="auto"/>
              </w:rPr>
              <w:t>Article 10a</w:t>
            </w:r>
          </w:p>
        </w:tc>
        <w:tc>
          <w:tcPr>
            <w:tcW w:w="0" w:type="dxa"/>
            <w:vAlign w:val="bottom"/>
          </w:tcPr>
          <w:p>
            <w:pPr>
              <w:spacing w:after="0"/>
              <w:rPr>
                <w:sz w:val="1"/>
                <w:szCs w:val="1"/>
                <w:color w:val="auto"/>
              </w:rPr>
            </w:pPr>
          </w:p>
        </w:tc>
      </w:tr>
      <w:tr>
        <w:trPr>
          <w:trHeight w:val="352"/>
        </w:trPr>
        <w:tc>
          <w:tcPr>
            <w:tcW w:w="860" w:type="dxa"/>
            <w:vAlign w:val="bottom"/>
          </w:tcPr>
          <w:p>
            <w:pPr>
              <w:spacing w:after="0"/>
              <w:rPr>
                <w:sz w:val="20"/>
                <w:szCs w:val="20"/>
                <w:color w:val="auto"/>
              </w:rPr>
            </w:pPr>
            <w:r>
              <w:rPr>
                <w:rFonts w:ascii="Arial" w:cs="Arial" w:eastAsia="Arial" w:hAnsi="Arial"/>
                <w:sz w:val="13"/>
                <w:szCs w:val="13"/>
                <w:color w:val="auto"/>
              </w:rPr>
              <w:t>Tagungsort</w:t>
            </w:r>
          </w:p>
        </w:tc>
        <w:tc>
          <w:tcPr>
            <w:tcW w:w="700" w:type="dxa"/>
            <w:vAlign w:val="bottom"/>
          </w:tcPr>
          <w:p>
            <w:pPr>
              <w:ind w:left="1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Der</w:t>
            </w:r>
          </w:p>
        </w:tc>
        <w:tc>
          <w:tcPr>
            <w:tcW w:w="4500" w:type="dxa"/>
            <w:vAlign w:val="bottom"/>
          </w:tcPr>
          <w:p>
            <w:pPr>
              <w:ind w:left="100"/>
              <w:spacing w:after="0"/>
              <w:rPr>
                <w:sz w:val="20"/>
                <w:szCs w:val="20"/>
                <w:color w:val="auto"/>
              </w:rPr>
            </w:pPr>
            <w:r>
              <w:rPr>
                <w:rFonts w:ascii="Arial" w:cs="Arial" w:eastAsia="Arial" w:hAnsi="Arial"/>
                <w:sz w:val="17"/>
                <w:szCs w:val="17"/>
                <w:color w:val="auto"/>
              </w:rPr>
              <w:t xml:space="preserve">Verwaltungsrat bestimmt den Tagungsort der  </w:t>
            </w:r>
            <w:r>
              <w:rPr>
                <w:rFonts w:ascii="Arial" w:cs="Arial" w:eastAsia="Arial" w:hAnsi="Arial"/>
                <w:sz w:val="13"/>
                <w:szCs w:val="13"/>
                <w:color w:val="auto"/>
              </w:rPr>
              <w:t>Venue</w:t>
            </w:r>
          </w:p>
        </w:tc>
        <w:tc>
          <w:tcPr>
            <w:tcW w:w="46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The board of directors shall determine the venue of</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Generalversammlung, welche in der Schweiz oder im</w:t>
            </w:r>
          </w:p>
        </w:tc>
        <w:tc>
          <w:tcPr>
            <w:tcW w:w="460" w:type="dxa"/>
            <w:vAlign w:val="bottom"/>
          </w:tcPr>
          <w:p>
            <w:pPr>
              <w:spacing w:after="0"/>
              <w:rPr>
                <w:sz w:val="17"/>
                <w:szCs w:val="17"/>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the general meeting of shareholders, which may be</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Ausland durchgeführt werden kann.</w:t>
            </w:r>
          </w:p>
        </w:tc>
        <w:tc>
          <w:tcPr>
            <w:tcW w:w="460" w:type="dxa"/>
            <w:vAlign w:val="bottom"/>
          </w:tcPr>
          <w:p>
            <w:pPr>
              <w:spacing w:after="0"/>
              <w:rPr>
                <w:sz w:val="19"/>
                <w:szCs w:val="19"/>
                <w:color w:val="auto"/>
              </w:rPr>
            </w:pPr>
          </w:p>
        </w:tc>
        <w:tc>
          <w:tcPr>
            <w:tcW w:w="4180" w:type="dxa"/>
            <w:vAlign w:val="bottom"/>
            <w:gridSpan w:val="2"/>
            <w:vMerge w:val="restart"/>
          </w:tcPr>
          <w:p>
            <w:pPr>
              <w:ind w:left="160"/>
              <w:spacing w:after="0"/>
              <w:rPr>
                <w:sz w:val="20"/>
                <w:szCs w:val="20"/>
                <w:color w:val="auto"/>
              </w:rPr>
            </w:pPr>
            <w:r>
              <w:rPr>
                <w:rFonts w:ascii="Arial" w:cs="Arial" w:eastAsia="Arial" w:hAnsi="Arial"/>
                <w:sz w:val="17"/>
                <w:szCs w:val="17"/>
                <w:color w:val="auto"/>
              </w:rPr>
              <w:t>held in Switzerland or abroad.</w:t>
            </w: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0"/>
        </w:trPr>
        <w:tc>
          <w:tcPr>
            <w:tcW w:w="860" w:type="dxa"/>
            <w:vAlign w:val="bottom"/>
          </w:tcPr>
          <w:p>
            <w:pPr>
              <w:spacing w:after="0"/>
              <w:rPr>
                <w:sz w:val="24"/>
                <w:szCs w:val="24"/>
                <w:color w:val="auto"/>
              </w:rPr>
            </w:pPr>
          </w:p>
        </w:tc>
        <w:tc>
          <w:tcPr>
            <w:tcW w:w="5200" w:type="dxa"/>
            <w:vAlign w:val="bottom"/>
            <w:gridSpan w:val="2"/>
          </w:tcPr>
          <w:p>
            <w:pPr>
              <w:ind w:left="18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Der  Verwaltungsrat  kann  bestimmen,  dass  die</w:t>
            </w:r>
          </w:p>
        </w:tc>
        <w:tc>
          <w:tcPr>
            <w:tcW w:w="46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w w:val="99"/>
              </w:rPr>
              <w:t>The board of directors can determine that the general</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Generalversammlung   an   verschiedenen   Orten</w:t>
            </w:r>
          </w:p>
        </w:tc>
        <w:tc>
          <w:tcPr>
            <w:tcW w:w="460" w:type="dxa"/>
            <w:vAlign w:val="bottom"/>
          </w:tcPr>
          <w:p>
            <w:pPr>
              <w:spacing w:after="0"/>
              <w:rPr>
                <w:sz w:val="17"/>
                <w:szCs w:val="17"/>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meeting of shareholders be held simultaneously at</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gleichzeitig durchgeführt wird, sofern die Voten der</w:t>
            </w:r>
          </w:p>
        </w:tc>
        <w:tc>
          <w:tcPr>
            <w:tcW w:w="460" w:type="dxa"/>
            <w:vAlign w:val="bottom"/>
          </w:tcPr>
          <w:p>
            <w:pPr>
              <w:spacing w:after="0"/>
              <w:rPr>
                <w:sz w:val="17"/>
                <w:szCs w:val="17"/>
                <w:color w:val="auto"/>
              </w:rPr>
            </w:pPr>
          </w:p>
        </w:tc>
        <w:tc>
          <w:tcPr>
            <w:tcW w:w="4180" w:type="dxa"/>
            <w:vAlign w:val="bottom"/>
            <w:gridSpan w:val="2"/>
            <w:vMerge w:val="restart"/>
          </w:tcPr>
          <w:p>
            <w:pPr>
              <w:ind w:left="160"/>
              <w:spacing w:after="0"/>
              <w:rPr>
                <w:sz w:val="20"/>
                <w:szCs w:val="20"/>
                <w:color w:val="auto"/>
              </w:rPr>
            </w:pPr>
            <w:r>
              <w:rPr>
                <w:rFonts w:ascii="Arial" w:cs="Arial" w:eastAsia="Arial" w:hAnsi="Arial"/>
                <w:sz w:val="17"/>
                <w:szCs w:val="17"/>
                <w:color w:val="auto"/>
              </w:rPr>
              <w:t>different locations, provided that the contributions of</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5200" w:type="dxa"/>
            <w:vAlign w:val="bottom"/>
            <w:gridSpan w:val="2"/>
            <w:vMerge w:val="restart"/>
          </w:tcPr>
          <w:p>
            <w:pPr>
              <w:ind w:left="420"/>
              <w:spacing w:after="0"/>
              <w:rPr>
                <w:sz w:val="20"/>
                <w:szCs w:val="20"/>
                <w:color w:val="auto"/>
              </w:rPr>
            </w:pPr>
            <w:r>
              <w:rPr>
                <w:rFonts w:ascii="Arial" w:cs="Arial" w:eastAsia="Arial" w:hAnsi="Arial"/>
                <w:sz w:val="17"/>
                <w:szCs w:val="17"/>
                <w:color w:val="auto"/>
              </w:rPr>
              <w:t>Teilnehmer unmittelbar in Bild und Ton an sämtliche</w:t>
            </w:r>
          </w:p>
        </w:tc>
        <w:tc>
          <w:tcPr>
            <w:tcW w:w="460" w:type="dxa"/>
            <w:vAlign w:val="bottom"/>
          </w:tcPr>
          <w:p>
            <w:pPr>
              <w:spacing w:after="0"/>
              <w:rPr>
                <w:sz w:val="8"/>
                <w:szCs w:val="8"/>
                <w:color w:val="auto"/>
              </w:rPr>
            </w:pPr>
          </w:p>
        </w:tc>
        <w:tc>
          <w:tcPr>
            <w:tcW w:w="4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520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4180" w:type="dxa"/>
            <w:vAlign w:val="bottom"/>
            <w:gridSpan w:val="2"/>
            <w:vMerge w:val="restart"/>
          </w:tcPr>
          <w:p>
            <w:pPr>
              <w:ind w:left="160"/>
              <w:spacing w:after="0"/>
              <w:rPr>
                <w:sz w:val="20"/>
                <w:szCs w:val="20"/>
                <w:color w:val="auto"/>
              </w:rPr>
            </w:pPr>
            <w:r>
              <w:rPr>
                <w:rFonts w:ascii="Arial" w:cs="Arial" w:eastAsia="Arial" w:hAnsi="Arial"/>
                <w:sz w:val="17"/>
                <w:szCs w:val="17"/>
                <w:color w:val="auto"/>
              </w:rPr>
              <w:t>the participants are transmitted directly in video and</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5200" w:type="dxa"/>
            <w:vAlign w:val="bottom"/>
            <w:gridSpan w:val="2"/>
            <w:vMerge w:val="restart"/>
          </w:tcPr>
          <w:p>
            <w:pPr>
              <w:ind w:left="420"/>
              <w:spacing w:after="0"/>
              <w:rPr>
                <w:sz w:val="20"/>
                <w:szCs w:val="20"/>
                <w:color w:val="auto"/>
              </w:rPr>
            </w:pPr>
            <w:r>
              <w:rPr>
                <w:rFonts w:ascii="Arial" w:cs="Arial" w:eastAsia="Arial" w:hAnsi="Arial"/>
                <w:sz w:val="17"/>
                <w:szCs w:val="17"/>
                <w:color w:val="auto"/>
              </w:rPr>
              <w:t>Tagungsorte übertragen werden.</w:t>
            </w:r>
          </w:p>
        </w:tc>
        <w:tc>
          <w:tcPr>
            <w:tcW w:w="460" w:type="dxa"/>
            <w:vAlign w:val="bottom"/>
          </w:tcPr>
          <w:p>
            <w:pPr>
              <w:spacing w:after="0"/>
              <w:rPr>
                <w:sz w:val="10"/>
                <w:szCs w:val="10"/>
                <w:color w:val="auto"/>
              </w:rPr>
            </w:pP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520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4180" w:type="dxa"/>
            <w:vAlign w:val="bottom"/>
            <w:gridSpan w:val="2"/>
            <w:vMerge w:val="restart"/>
          </w:tcPr>
          <w:p>
            <w:pPr>
              <w:ind w:left="160"/>
              <w:spacing w:after="0"/>
              <w:rPr>
                <w:sz w:val="20"/>
                <w:szCs w:val="20"/>
                <w:color w:val="auto"/>
              </w:rPr>
            </w:pPr>
            <w:r>
              <w:rPr>
                <w:rFonts w:ascii="Arial" w:cs="Arial" w:eastAsia="Arial" w:hAnsi="Arial"/>
                <w:sz w:val="17"/>
                <w:szCs w:val="17"/>
                <w:color w:val="auto"/>
              </w:rPr>
              <w:t>audio to all venues.</w:t>
            </w: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860" w:type="dxa"/>
            <w:vAlign w:val="bottom"/>
          </w:tcPr>
          <w:p>
            <w:pPr>
              <w:spacing w:after="0"/>
              <w:rPr>
                <w:sz w:val="24"/>
                <w:szCs w:val="24"/>
                <w:color w:val="auto"/>
              </w:rPr>
            </w:pPr>
          </w:p>
        </w:tc>
        <w:tc>
          <w:tcPr>
            <w:tcW w:w="5200" w:type="dxa"/>
            <w:vAlign w:val="bottom"/>
            <w:gridSpan w:val="2"/>
          </w:tcPr>
          <w:p>
            <w:pPr>
              <w:ind w:left="18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6"/>
                <w:szCs w:val="16"/>
                <w:color w:val="auto"/>
              </w:rPr>
              <w:t>Der  Verwaltungsrat  kann  vorsehen,  dass  die</w:t>
            </w:r>
          </w:p>
        </w:tc>
        <w:tc>
          <w:tcPr>
            <w:tcW w:w="46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The board of directors may also provide that the</w:t>
            </w: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Generalversammlung auf elektronischem Weg ohne</w:t>
            </w:r>
          </w:p>
        </w:tc>
        <w:tc>
          <w:tcPr>
            <w:tcW w:w="460" w:type="dxa"/>
            <w:vAlign w:val="bottom"/>
          </w:tcPr>
          <w:p>
            <w:pPr>
              <w:spacing w:after="0"/>
              <w:rPr>
                <w:sz w:val="17"/>
                <w:szCs w:val="17"/>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color w:val="auto"/>
              </w:rPr>
              <w:t>general  meeting  of  shareholders  will  be  held  by</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color w:val="auto"/>
              </w:rPr>
              <w:t>Tagungsort durchgeführt wird.</w:t>
            </w:r>
          </w:p>
        </w:tc>
        <w:tc>
          <w:tcPr>
            <w:tcW w:w="460" w:type="dxa"/>
            <w:vAlign w:val="bottom"/>
          </w:tcPr>
          <w:p>
            <w:pPr>
              <w:spacing w:after="0"/>
              <w:rPr>
                <w:sz w:val="19"/>
                <w:szCs w:val="19"/>
                <w:color w:val="auto"/>
              </w:rPr>
            </w:pPr>
          </w:p>
        </w:tc>
        <w:tc>
          <w:tcPr>
            <w:tcW w:w="4180" w:type="dxa"/>
            <w:vAlign w:val="bottom"/>
            <w:gridSpan w:val="2"/>
            <w:vMerge w:val="restart"/>
          </w:tcPr>
          <w:p>
            <w:pPr>
              <w:ind w:left="160"/>
              <w:spacing w:after="0"/>
              <w:rPr>
                <w:sz w:val="20"/>
                <w:szCs w:val="20"/>
                <w:color w:val="auto"/>
              </w:rPr>
            </w:pPr>
            <w:r>
              <w:rPr>
                <w:rFonts w:ascii="Arial" w:cs="Arial" w:eastAsia="Arial" w:hAnsi="Arial"/>
                <w:sz w:val="17"/>
                <w:szCs w:val="17"/>
                <w:color w:val="auto"/>
              </w:rPr>
              <w:t>electronic means without a venue.</w:t>
            </w: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0"/>
        </w:trPr>
        <w:tc>
          <w:tcPr>
            <w:tcW w:w="860" w:type="dxa"/>
            <w:vAlign w:val="bottom"/>
          </w:tcPr>
          <w:p>
            <w:pPr>
              <w:spacing w:after="0"/>
              <w:rPr>
                <w:sz w:val="24"/>
                <w:szCs w:val="24"/>
                <w:color w:val="auto"/>
              </w:rPr>
            </w:pPr>
          </w:p>
        </w:tc>
        <w:tc>
          <w:tcPr>
            <w:tcW w:w="5200" w:type="dxa"/>
            <w:vAlign w:val="bottom"/>
            <w:gridSpan w:val="2"/>
          </w:tcPr>
          <w:p>
            <w:pPr>
              <w:ind w:left="420"/>
              <w:spacing w:after="0"/>
              <w:rPr>
                <w:sz w:val="20"/>
                <w:szCs w:val="20"/>
                <w:color w:val="auto"/>
              </w:rPr>
            </w:pPr>
            <w:r>
              <w:rPr>
                <w:rFonts w:ascii="Arial" w:cs="Arial" w:eastAsia="Arial" w:hAnsi="Arial"/>
                <w:sz w:val="17"/>
                <w:szCs w:val="17"/>
                <w:b w:val="1"/>
                <w:bCs w:val="1"/>
                <w:color w:val="auto"/>
              </w:rPr>
              <w:t>Artikel 11</w:t>
            </w:r>
          </w:p>
        </w:tc>
        <w:tc>
          <w:tcPr>
            <w:tcW w:w="460" w:type="dxa"/>
            <w:vAlign w:val="bottom"/>
          </w:tcPr>
          <w:p>
            <w:pPr>
              <w:spacing w:after="0"/>
              <w:rPr>
                <w:sz w:val="24"/>
                <w:szCs w:val="24"/>
                <w:color w:val="auto"/>
              </w:rPr>
            </w:pPr>
          </w:p>
        </w:tc>
        <w:tc>
          <w:tcPr>
            <w:tcW w:w="4180" w:type="dxa"/>
            <w:vAlign w:val="bottom"/>
            <w:gridSpan w:val="2"/>
          </w:tcPr>
          <w:p>
            <w:pPr>
              <w:ind w:left="160"/>
              <w:spacing w:after="0"/>
              <w:rPr>
                <w:sz w:val="20"/>
                <w:szCs w:val="20"/>
                <w:color w:val="auto"/>
              </w:rPr>
            </w:pPr>
            <w:r>
              <w:rPr>
                <w:rFonts w:ascii="Arial" w:cs="Arial" w:eastAsia="Arial" w:hAnsi="Arial"/>
                <w:sz w:val="17"/>
                <w:szCs w:val="17"/>
                <w:b w:val="1"/>
                <w:bCs w:val="1"/>
                <w:color w:val="auto"/>
              </w:rPr>
              <w:t>Article 11</w:t>
            </w:r>
          </w:p>
        </w:tc>
        <w:tc>
          <w:tcPr>
            <w:tcW w:w="0" w:type="dxa"/>
            <w:vAlign w:val="bottom"/>
          </w:tcPr>
          <w:p>
            <w:pPr>
              <w:spacing w:after="0"/>
              <w:rPr>
                <w:sz w:val="1"/>
                <w:szCs w:val="1"/>
                <w:color w:val="auto"/>
              </w:rPr>
            </w:pPr>
          </w:p>
        </w:tc>
      </w:tr>
    </w:tbl>
    <w:p>
      <w:pPr>
        <w:sectPr>
          <w:pgSz w:w="11900" w:h="16838" w:orient="portrait"/>
          <w:cols w:equalWidth="0" w:num="1">
            <w:col w:w="10700"/>
          </w:cols>
          <w:pgMar w:left="360" w:top="132" w:right="839" w:bottom="1440" w:gutter="0" w:footer="0" w:header="0"/>
        </w:sectPr>
      </w:pPr>
    </w:p>
    <w:bookmarkStart w:id="235" w:name="page236"/>
    <w:bookmarkEnd w:id="235"/>
    <w:p>
      <w:pPr>
        <w:jc w:val="center"/>
        <w:ind w:right="-459"/>
        <w:spacing w:after="0"/>
        <w:rPr>
          <w:sz w:val="20"/>
          <w:szCs w:val="20"/>
          <w:color w:val="auto"/>
        </w:rPr>
      </w:pPr>
      <w:r>
        <w:rPr>
          <w:rFonts w:ascii="Arial" w:cs="Arial" w:eastAsia="Arial" w:hAnsi="Arial"/>
          <w:sz w:val="13"/>
          <w:szCs w:val="13"/>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Pr>
          <w:p>
            <w:pPr>
              <w:spacing w:after="0"/>
              <w:rPr>
                <w:sz w:val="20"/>
                <w:szCs w:val="20"/>
                <w:color w:val="auto"/>
              </w:rPr>
            </w:pPr>
            <w:r>
              <w:rPr>
                <w:rFonts w:ascii="Arial" w:cs="Arial" w:eastAsia="Arial" w:hAnsi="Arial"/>
                <w:sz w:val="13"/>
                <w:szCs w:val="13"/>
                <w:color w:val="auto"/>
              </w:rPr>
              <w:t>Traktandierung</w:t>
            </w:r>
          </w:p>
        </w:tc>
        <w:tc>
          <w:tcPr>
            <w:tcW w:w="180" w:type="dxa"/>
            <w:vAlign w:val="bottom"/>
          </w:tcPr>
          <w:p>
            <w:pPr>
              <w:ind w:left="40"/>
              <w:spacing w:after="0"/>
              <w:rPr>
                <w:sz w:val="20"/>
                <w:szCs w:val="20"/>
                <w:color w:val="auto"/>
              </w:rPr>
            </w:pPr>
            <w:r>
              <w:rPr>
                <w:rFonts w:ascii="Arial" w:cs="Arial" w:eastAsia="Arial" w:hAnsi="Arial"/>
                <w:sz w:val="13"/>
                <w:szCs w:val="13"/>
                <w:color w:val="auto"/>
              </w:rPr>
              <w:t>1</w:t>
            </w:r>
          </w:p>
        </w:tc>
        <w:tc>
          <w:tcPr>
            <w:tcW w:w="3480" w:type="dxa"/>
            <w:vAlign w:val="bottom"/>
            <w:gridSpan w:val="9"/>
          </w:tcPr>
          <w:p>
            <w:pPr>
              <w:ind w:left="80"/>
              <w:spacing w:after="0"/>
              <w:rPr>
                <w:sz w:val="20"/>
                <w:szCs w:val="20"/>
                <w:color w:val="auto"/>
              </w:rPr>
            </w:pPr>
            <w:r>
              <w:rPr>
                <w:rFonts w:ascii="Arial" w:cs="Arial" w:eastAsia="Arial" w:hAnsi="Arial"/>
                <w:sz w:val="17"/>
                <w:szCs w:val="17"/>
                <w:color w:val="auto"/>
              </w:rPr>
              <w:t>Aktionäre,  die  alleine  oder  zusammen</w:t>
            </w: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über</w:t>
            </w:r>
          </w:p>
        </w:tc>
        <w:tc>
          <w:tcPr>
            <w:tcW w:w="880" w:type="dxa"/>
            <w:vAlign w:val="bottom"/>
          </w:tcPr>
          <w:p>
            <w:pPr>
              <w:ind w:left="80"/>
              <w:spacing w:after="0"/>
              <w:rPr>
                <w:sz w:val="20"/>
                <w:szCs w:val="20"/>
                <w:color w:val="auto"/>
              </w:rPr>
            </w:pPr>
            <w:r>
              <w:rPr>
                <w:rFonts w:ascii="Arial" w:cs="Arial" w:eastAsia="Arial" w:hAnsi="Arial"/>
                <w:sz w:val="13"/>
                <w:szCs w:val="13"/>
                <w:color w:val="auto"/>
              </w:rPr>
              <w:t>Agenda</w:t>
            </w:r>
          </w:p>
        </w:tc>
        <w:tc>
          <w:tcPr>
            <w:tcW w:w="28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3980" w:type="dxa"/>
            <w:vAlign w:val="bottom"/>
          </w:tcPr>
          <w:p>
            <w:pPr>
              <w:ind w:left="140"/>
              <w:spacing w:after="0"/>
              <w:rPr>
                <w:sz w:val="20"/>
                <w:szCs w:val="20"/>
                <w:color w:val="auto"/>
              </w:rPr>
            </w:pPr>
            <w:r>
              <w:rPr>
                <w:rFonts w:ascii="Arial" w:cs="Arial" w:eastAsia="Arial" w:hAnsi="Arial"/>
                <w:sz w:val="17"/>
                <w:szCs w:val="17"/>
                <w:color w:val="auto"/>
              </w:rPr>
              <w:t>One  or  more  shareholders  whose  combined</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mindestens 0.5 Prozent des Aktienkapitals oder der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shareholdings represent at least 0.5 percent of the</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Stimmen  verfügen,  können  die  Traktandierung</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 capital or votes may request that an item be</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7"/>
                <w:szCs w:val="17"/>
                <w:color w:val="auto"/>
                <w:w w:val="93"/>
              </w:rPr>
              <w:t>eines</w:t>
            </w:r>
          </w:p>
        </w:tc>
        <w:tc>
          <w:tcPr>
            <w:tcW w:w="3000" w:type="dxa"/>
            <w:vAlign w:val="bottom"/>
            <w:gridSpan w:val="8"/>
          </w:tcPr>
          <w:p>
            <w:pPr>
              <w:ind w:left="280"/>
              <w:spacing w:after="0"/>
              <w:rPr>
                <w:sz w:val="20"/>
                <w:szCs w:val="20"/>
                <w:color w:val="auto"/>
              </w:rPr>
            </w:pPr>
            <w:r>
              <w:rPr>
                <w:rFonts w:ascii="Arial" w:cs="Arial" w:eastAsia="Arial" w:hAnsi="Arial"/>
                <w:sz w:val="17"/>
                <w:szCs w:val="17"/>
                <w:color w:val="auto"/>
              </w:rPr>
              <w:t>Verhandlungsgegenstandes   oder</w:t>
            </w:r>
          </w:p>
        </w:tc>
        <w:tc>
          <w:tcPr>
            <w:tcW w:w="560" w:type="dxa"/>
            <w:vAlign w:val="bottom"/>
          </w:tcPr>
          <w:p>
            <w:pPr>
              <w:jc w:val="right"/>
              <w:spacing w:after="0"/>
              <w:rPr>
                <w:sz w:val="20"/>
                <w:szCs w:val="20"/>
                <w:color w:val="auto"/>
              </w:rPr>
            </w:pPr>
            <w:r>
              <w:rPr>
                <w:rFonts w:ascii="Arial" w:cs="Arial" w:eastAsia="Arial" w:hAnsi="Arial"/>
                <w:sz w:val="17"/>
                <w:szCs w:val="17"/>
                <w:color w:val="auto"/>
              </w:rPr>
              <w:t>die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included on the agenda of a general meeting of</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auto"/>
              </w:rPr>
              <w:t>Aufnahme</w:t>
            </w:r>
          </w:p>
        </w:tc>
        <w:tc>
          <w:tcPr>
            <w:tcW w:w="24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8"/>
              </w:rPr>
              <w:t>eines</w:t>
            </w:r>
          </w:p>
        </w:tc>
        <w:tc>
          <w:tcPr>
            <w:tcW w:w="100" w:type="dxa"/>
            <w:vAlign w:val="bottom"/>
          </w:tcPr>
          <w:p>
            <w:pPr>
              <w:spacing w:after="0"/>
              <w:rPr>
                <w:sz w:val="20"/>
                <w:szCs w:val="20"/>
                <w:color w:val="auto"/>
              </w:rPr>
            </w:pPr>
          </w:p>
        </w:tc>
        <w:tc>
          <w:tcPr>
            <w:tcW w:w="1060" w:type="dxa"/>
            <w:vAlign w:val="bottom"/>
            <w:gridSpan w:val="2"/>
          </w:tcPr>
          <w:p>
            <w:pPr>
              <w:jc w:val="right"/>
              <w:ind w:right="56"/>
              <w:spacing w:after="0"/>
              <w:rPr>
                <w:sz w:val="20"/>
                <w:szCs w:val="20"/>
                <w:color w:val="auto"/>
              </w:rPr>
            </w:pPr>
            <w:r>
              <w:rPr>
                <w:rFonts w:ascii="Arial" w:cs="Arial" w:eastAsia="Arial" w:hAnsi="Arial"/>
                <w:sz w:val="17"/>
                <w:szCs w:val="17"/>
                <w:color w:val="auto"/>
              </w:rPr>
              <w:t>Antrages</w:t>
            </w:r>
          </w:p>
        </w:tc>
        <w:tc>
          <w:tcPr>
            <w:tcW w:w="560" w:type="dxa"/>
            <w:vAlign w:val="bottom"/>
          </w:tcPr>
          <w:p>
            <w:pPr>
              <w:ind w:left="200"/>
              <w:spacing w:after="0"/>
              <w:rPr>
                <w:sz w:val="20"/>
                <w:szCs w:val="20"/>
                <w:color w:val="auto"/>
              </w:rPr>
            </w:pPr>
            <w:r>
              <w:rPr>
                <w:rFonts w:ascii="Arial" w:cs="Arial" w:eastAsia="Arial" w:hAnsi="Arial"/>
                <w:sz w:val="17"/>
                <w:szCs w:val="17"/>
                <w:color w:val="auto"/>
              </w:rPr>
              <w:t>zu</w:t>
            </w:r>
          </w:p>
        </w:tc>
        <w:tc>
          <w:tcPr>
            <w:tcW w:w="16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w w:val="94"/>
              </w:rPr>
              <w:t>einem</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shareholders  or  that  a  proposal  relating  to  an</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Verhandlungsgegenstand in die Einberufung der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agenda item be included in the notice convening</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5"/>
          </w:tcPr>
          <w:p>
            <w:pPr>
              <w:ind w:left="80"/>
              <w:spacing w:after="0"/>
              <w:rPr>
                <w:sz w:val="20"/>
                <w:szCs w:val="20"/>
                <w:color w:val="auto"/>
              </w:rPr>
            </w:pPr>
            <w:r>
              <w:rPr>
                <w:rFonts w:ascii="Arial" w:cs="Arial" w:eastAsia="Arial" w:hAnsi="Arial"/>
                <w:sz w:val="17"/>
                <w:szCs w:val="17"/>
                <w:color w:val="auto"/>
                <w:w w:val="98"/>
              </w:rPr>
              <w:t>Generalversammlung</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verlangen.</w:t>
            </w:r>
          </w:p>
        </w:tc>
        <w:tc>
          <w:tcPr>
            <w:tcW w:w="560" w:type="dxa"/>
            <w:vAlign w:val="bottom"/>
          </w:tcPr>
          <w:p>
            <w:pPr>
              <w:ind w:left="160"/>
              <w:spacing w:after="0"/>
              <w:rPr>
                <w:sz w:val="20"/>
                <w:szCs w:val="20"/>
                <w:color w:val="auto"/>
              </w:rPr>
            </w:pPr>
            <w:r>
              <w:rPr>
                <w:rFonts w:ascii="Arial" w:cs="Arial" w:eastAsia="Arial" w:hAnsi="Arial"/>
                <w:sz w:val="17"/>
                <w:szCs w:val="17"/>
                <w:color w:val="auto"/>
              </w:rPr>
              <w:t>Ein</w:t>
            </w:r>
          </w:p>
        </w:tc>
        <w:tc>
          <w:tcPr>
            <w:tcW w:w="720" w:type="dxa"/>
            <w:vAlign w:val="bottom"/>
            <w:gridSpan w:val="2"/>
          </w:tcPr>
          <w:p>
            <w:pPr>
              <w:jc w:val="right"/>
              <w:ind w:right="16"/>
              <w:spacing w:after="0"/>
              <w:rPr>
                <w:sz w:val="20"/>
                <w:szCs w:val="20"/>
                <w:color w:val="auto"/>
              </w:rPr>
            </w:pPr>
            <w:r>
              <w:rPr>
                <w:rFonts w:ascii="Arial" w:cs="Arial" w:eastAsia="Arial" w:hAnsi="Arial"/>
                <w:sz w:val="17"/>
                <w:szCs w:val="17"/>
                <w:color w:val="auto"/>
              </w:rPr>
              <w:t>solches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the  general  meeting  of  shareholders.  Such  a</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Gesuch  muss  der  Gesellschaft  mindestens  45</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request  must  be  received  by  the  Company  in</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Kalendertage vor der Versammlung schriftlich unter</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writing  at  least  45  calendar  days  prior  to  the</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Angabe des Verhandlungsgegenstandes und des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general meeting of shareholders, specifying the</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7"/>
          </w:tcPr>
          <w:p>
            <w:pPr>
              <w:ind w:left="80"/>
              <w:spacing w:after="0"/>
              <w:rPr>
                <w:sz w:val="20"/>
                <w:szCs w:val="20"/>
                <w:color w:val="auto"/>
              </w:rPr>
            </w:pPr>
            <w:r>
              <w:rPr>
                <w:rFonts w:ascii="Arial" w:cs="Arial" w:eastAsia="Arial" w:hAnsi="Arial"/>
                <w:sz w:val="17"/>
                <w:szCs w:val="17"/>
                <w:color w:val="auto"/>
              </w:rPr>
              <w:t>Antrags oder der Anträge zugehen.</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agenda item and the proposal or proposals.</w:t>
            </w:r>
          </w:p>
        </w:tc>
      </w:tr>
      <w:tr>
        <w:trPr>
          <w:trHeight w:val="393"/>
        </w:trPr>
        <w:tc>
          <w:tcPr>
            <w:tcW w:w="134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Über</w:t>
            </w:r>
          </w:p>
        </w:tc>
        <w:tc>
          <w:tcPr>
            <w:tcW w:w="700" w:type="dxa"/>
            <w:vAlign w:val="bottom"/>
            <w:gridSpan w:val="2"/>
          </w:tcPr>
          <w:p>
            <w:pPr>
              <w:ind w:left="100"/>
              <w:spacing w:after="0"/>
              <w:rPr>
                <w:sz w:val="20"/>
                <w:szCs w:val="20"/>
                <w:color w:val="auto"/>
              </w:rPr>
            </w:pPr>
            <w:r>
              <w:rPr>
                <w:rFonts w:ascii="Arial" w:cs="Arial" w:eastAsia="Arial" w:hAnsi="Arial"/>
                <w:sz w:val="17"/>
                <w:szCs w:val="17"/>
                <w:color w:val="auto"/>
                <w:w w:val="97"/>
              </w:rPr>
              <w:t>Anträge</w:t>
            </w:r>
          </w:p>
        </w:tc>
        <w:tc>
          <w:tcPr>
            <w:tcW w:w="420" w:type="dxa"/>
            <w:vAlign w:val="bottom"/>
          </w:tcPr>
          <w:p>
            <w:pPr>
              <w:jc w:val="center"/>
              <w:spacing w:after="0"/>
              <w:rPr>
                <w:sz w:val="20"/>
                <w:szCs w:val="20"/>
                <w:color w:val="auto"/>
              </w:rPr>
            </w:pPr>
            <w:r>
              <w:rPr>
                <w:rFonts w:ascii="Arial" w:cs="Arial" w:eastAsia="Arial" w:hAnsi="Arial"/>
                <w:sz w:val="17"/>
                <w:szCs w:val="17"/>
                <w:color w:val="auto"/>
                <w:w w:val="99"/>
              </w:rPr>
              <w:t>zu</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nicht  gehörig</w:t>
            </w:r>
          </w:p>
        </w:tc>
        <w:tc>
          <w:tcPr>
            <w:tcW w:w="1280" w:type="dxa"/>
            <w:vAlign w:val="bottom"/>
            <w:gridSpan w:val="3"/>
          </w:tcPr>
          <w:p>
            <w:pPr>
              <w:jc w:val="right"/>
              <w:ind w:right="16"/>
              <w:spacing w:after="0"/>
              <w:rPr>
                <w:sz w:val="20"/>
                <w:szCs w:val="20"/>
                <w:color w:val="auto"/>
              </w:rPr>
            </w:pPr>
            <w:r>
              <w:rPr>
                <w:rFonts w:ascii="Arial" w:cs="Arial" w:eastAsia="Arial" w:hAnsi="Arial"/>
                <w:sz w:val="17"/>
                <w:szCs w:val="17"/>
                <w:color w:val="auto"/>
              </w:rPr>
              <w:t>angekündigten</w:t>
            </w:r>
          </w:p>
        </w:tc>
        <w:tc>
          <w:tcPr>
            <w:tcW w:w="88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3"/>
                <w:szCs w:val="13"/>
                <w:color w:val="auto"/>
              </w:rPr>
              <w:t>2</w:t>
            </w:r>
          </w:p>
        </w:tc>
        <w:tc>
          <w:tcPr>
            <w:tcW w:w="3980" w:type="dxa"/>
            <w:vAlign w:val="bottom"/>
          </w:tcPr>
          <w:p>
            <w:pPr>
              <w:ind w:left="140"/>
              <w:spacing w:after="0"/>
              <w:rPr>
                <w:sz w:val="20"/>
                <w:szCs w:val="20"/>
                <w:color w:val="auto"/>
              </w:rPr>
            </w:pPr>
            <w:r>
              <w:rPr>
                <w:rFonts w:ascii="Arial" w:cs="Arial" w:eastAsia="Arial" w:hAnsi="Arial"/>
                <w:sz w:val="17"/>
                <w:szCs w:val="17"/>
                <w:color w:val="auto"/>
              </w:rPr>
              <w:t>No  resolutions  may  be  passed  at  a  general</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6"/>
          </w:tcPr>
          <w:p>
            <w:pPr>
              <w:ind w:left="80"/>
              <w:spacing w:after="0"/>
              <w:rPr>
                <w:sz w:val="20"/>
                <w:szCs w:val="20"/>
                <w:color w:val="auto"/>
              </w:rPr>
            </w:pPr>
            <w:r>
              <w:rPr>
                <w:rFonts w:ascii="Arial" w:cs="Arial" w:eastAsia="Arial" w:hAnsi="Arial"/>
                <w:sz w:val="17"/>
                <w:szCs w:val="17"/>
                <w:color w:val="auto"/>
              </w:rPr>
              <w:t>Verhandlungsgegenständen</w:t>
            </w:r>
          </w:p>
        </w:tc>
        <w:tc>
          <w:tcPr>
            <w:tcW w:w="4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kann</w:t>
            </w:r>
          </w:p>
        </w:tc>
        <w:tc>
          <w:tcPr>
            <w:tcW w:w="16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die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meeting of shareholders concerning agenda items</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5"/>
          </w:tcPr>
          <w:p>
            <w:pPr>
              <w:ind w:left="80"/>
              <w:spacing w:after="0"/>
              <w:rPr>
                <w:sz w:val="20"/>
                <w:szCs w:val="20"/>
                <w:color w:val="auto"/>
              </w:rPr>
            </w:pPr>
            <w:r>
              <w:rPr>
                <w:rFonts w:ascii="Arial" w:cs="Arial" w:eastAsia="Arial" w:hAnsi="Arial"/>
                <w:sz w:val="17"/>
                <w:szCs w:val="17"/>
                <w:color w:val="auto"/>
                <w:w w:val="98"/>
              </w:rPr>
              <w:t>Generalversammlung</w:t>
            </w:r>
          </w:p>
        </w:tc>
        <w:tc>
          <w:tcPr>
            <w:tcW w:w="620" w:type="dxa"/>
            <w:vAlign w:val="bottom"/>
          </w:tcPr>
          <w:p>
            <w:pPr>
              <w:ind w:left="140"/>
              <w:spacing w:after="0"/>
              <w:rPr>
                <w:sz w:val="20"/>
                <w:szCs w:val="20"/>
                <w:color w:val="auto"/>
              </w:rPr>
            </w:pPr>
            <w:r>
              <w:rPr>
                <w:rFonts w:ascii="Arial" w:cs="Arial" w:eastAsia="Arial" w:hAnsi="Arial"/>
                <w:sz w:val="17"/>
                <w:szCs w:val="17"/>
                <w:color w:val="auto"/>
              </w:rPr>
              <w:t>keine</w:t>
            </w:r>
          </w:p>
        </w:tc>
        <w:tc>
          <w:tcPr>
            <w:tcW w:w="1000" w:type="dxa"/>
            <w:vAlign w:val="bottom"/>
            <w:gridSpan w:val="2"/>
          </w:tcPr>
          <w:p>
            <w:pPr>
              <w:ind w:left="80"/>
              <w:spacing w:after="0"/>
              <w:rPr>
                <w:sz w:val="20"/>
                <w:szCs w:val="20"/>
                <w:color w:val="auto"/>
              </w:rPr>
            </w:pPr>
            <w:r>
              <w:rPr>
                <w:rFonts w:ascii="Arial" w:cs="Arial" w:eastAsia="Arial" w:hAnsi="Arial"/>
                <w:sz w:val="17"/>
                <w:szCs w:val="17"/>
                <w:color w:val="auto"/>
              </w:rPr>
              <w:t>Beschlüsse</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fassen;</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for  which  proper  notice  was  not  given.  This</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ausgenommen sind Anträge auf Einberufung einer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provision shall not apply, however, to proposals</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4"/>
          </w:tcPr>
          <w:p>
            <w:pPr>
              <w:ind w:left="80"/>
              <w:spacing w:after="0"/>
              <w:rPr>
                <w:sz w:val="20"/>
                <w:szCs w:val="20"/>
                <w:color w:val="auto"/>
              </w:rPr>
            </w:pPr>
            <w:r>
              <w:rPr>
                <w:rFonts w:ascii="Arial" w:cs="Arial" w:eastAsia="Arial" w:hAnsi="Arial"/>
                <w:sz w:val="17"/>
                <w:szCs w:val="17"/>
                <w:color w:val="auto"/>
              </w:rPr>
              <w:t>ausserordentlichen</w:t>
            </w:r>
          </w:p>
        </w:tc>
        <w:tc>
          <w:tcPr>
            <w:tcW w:w="1720" w:type="dxa"/>
            <w:vAlign w:val="bottom"/>
            <w:gridSpan w:val="4"/>
          </w:tcPr>
          <w:p>
            <w:pPr>
              <w:ind w:left="20"/>
              <w:spacing w:after="0"/>
              <w:rPr>
                <w:sz w:val="20"/>
                <w:szCs w:val="20"/>
                <w:color w:val="auto"/>
              </w:rPr>
            </w:pPr>
            <w:r>
              <w:rPr>
                <w:rFonts w:ascii="Arial" w:cs="Arial" w:eastAsia="Arial" w:hAnsi="Arial"/>
                <w:sz w:val="17"/>
                <w:szCs w:val="17"/>
                <w:color w:val="auto"/>
              </w:rPr>
              <w:t>Generalversammlung</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und auf</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made during a general meeting of shareholders to</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8"/>
          </w:tcPr>
          <w:p>
            <w:pPr>
              <w:ind w:left="80"/>
              <w:spacing w:after="0"/>
              <w:rPr>
                <w:sz w:val="20"/>
                <w:szCs w:val="20"/>
                <w:color w:val="auto"/>
              </w:rPr>
            </w:pPr>
            <w:r>
              <w:rPr>
                <w:rFonts w:ascii="Arial" w:cs="Arial" w:eastAsia="Arial" w:hAnsi="Arial"/>
                <w:sz w:val="17"/>
                <w:szCs w:val="17"/>
                <w:color w:val="auto"/>
              </w:rPr>
              <w:t>Durchführung einer Sonderuntersuchung.</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convene  an  extraordinary  general  meeting  of</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shareholders or to initiate a special investigation.</w:t>
            </w:r>
          </w:p>
        </w:tc>
      </w:tr>
      <w:tr>
        <w:trPr>
          <w:trHeight w:val="393"/>
        </w:trPr>
        <w:tc>
          <w:tcPr>
            <w:tcW w:w="134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6"/>
                <w:szCs w:val="16"/>
                <w:color w:val="auto"/>
              </w:rPr>
              <w:t>Zur</w:t>
            </w:r>
          </w:p>
        </w:tc>
        <w:tc>
          <w:tcPr>
            <w:tcW w:w="700" w:type="dxa"/>
            <w:vAlign w:val="bottom"/>
            <w:gridSpan w:val="2"/>
          </w:tcPr>
          <w:p>
            <w:pPr>
              <w:ind w:left="20"/>
              <w:spacing w:after="0"/>
              <w:rPr>
                <w:sz w:val="20"/>
                <w:szCs w:val="20"/>
                <w:color w:val="auto"/>
              </w:rPr>
            </w:pPr>
            <w:r>
              <w:rPr>
                <w:rFonts w:ascii="Arial" w:cs="Arial" w:eastAsia="Arial" w:hAnsi="Arial"/>
                <w:sz w:val="17"/>
                <w:szCs w:val="17"/>
                <w:color w:val="auto"/>
              </w:rPr>
              <w:t>Stellung</w:t>
            </w:r>
          </w:p>
        </w:tc>
        <w:tc>
          <w:tcPr>
            <w:tcW w:w="420" w:type="dxa"/>
            <w:vAlign w:val="bottom"/>
          </w:tcPr>
          <w:p>
            <w:pPr>
              <w:jc w:val="center"/>
              <w:spacing w:after="0"/>
              <w:rPr>
                <w:sz w:val="20"/>
                <w:szCs w:val="20"/>
                <w:color w:val="auto"/>
              </w:rPr>
            </w:pPr>
            <w:r>
              <w:rPr>
                <w:rFonts w:ascii="Arial" w:cs="Arial" w:eastAsia="Arial" w:hAnsi="Arial"/>
                <w:sz w:val="17"/>
                <w:szCs w:val="17"/>
                <w:color w:val="auto"/>
                <w:w w:val="94"/>
              </w:rPr>
              <w:t>von</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Anträgen  im</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Rahmen  der</w:t>
            </w:r>
          </w:p>
        </w:tc>
        <w:tc>
          <w:tcPr>
            <w:tcW w:w="88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3"/>
                <w:szCs w:val="13"/>
                <w:color w:val="auto"/>
              </w:rPr>
              <w:t>3</w:t>
            </w:r>
          </w:p>
        </w:tc>
        <w:tc>
          <w:tcPr>
            <w:tcW w:w="3980" w:type="dxa"/>
            <w:vAlign w:val="bottom"/>
          </w:tcPr>
          <w:p>
            <w:pPr>
              <w:ind w:left="140"/>
              <w:spacing w:after="0"/>
              <w:rPr>
                <w:sz w:val="20"/>
                <w:szCs w:val="20"/>
                <w:color w:val="auto"/>
              </w:rPr>
            </w:pPr>
            <w:r>
              <w:rPr>
                <w:rFonts w:ascii="Arial" w:cs="Arial" w:eastAsia="Arial" w:hAnsi="Arial"/>
                <w:sz w:val="17"/>
                <w:szCs w:val="17"/>
                <w:color w:val="auto"/>
              </w:rPr>
              <w:t>No  previous  notification  shall  be  required  for</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Verhandlungsgegenstände und zu Verhandlungen</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proposals  concerning  items  included  on  the</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ohne   Beschlussfassung   bedarf   es   keiner</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agenda and for debates as to which no vote is</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6"/>
          </w:tcPr>
          <w:p>
            <w:pPr>
              <w:ind w:left="80"/>
              <w:spacing w:after="0"/>
              <w:rPr>
                <w:sz w:val="20"/>
                <w:szCs w:val="20"/>
                <w:color w:val="auto"/>
              </w:rPr>
            </w:pPr>
            <w:r>
              <w:rPr>
                <w:rFonts w:ascii="Arial" w:cs="Arial" w:eastAsia="Arial" w:hAnsi="Arial"/>
                <w:sz w:val="17"/>
                <w:szCs w:val="17"/>
                <w:color w:val="auto"/>
              </w:rPr>
              <w:t>vorgängigen Ankündigung.</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taken.</w:t>
            </w:r>
          </w:p>
        </w:tc>
      </w:tr>
      <w:tr>
        <w:trPr>
          <w:trHeight w:val="730"/>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b w:val="1"/>
                <w:bCs w:val="1"/>
                <w:color w:val="auto"/>
              </w:rPr>
              <w:t>Artikel 12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ind w:left="140"/>
              <w:spacing w:after="0"/>
              <w:rPr>
                <w:sz w:val="20"/>
                <w:szCs w:val="20"/>
                <w:color w:val="auto"/>
              </w:rPr>
            </w:pPr>
            <w:r>
              <w:rPr>
                <w:rFonts w:ascii="Arial" w:cs="Arial" w:eastAsia="Arial" w:hAnsi="Arial"/>
                <w:sz w:val="17"/>
                <w:szCs w:val="17"/>
                <w:b w:val="1"/>
                <w:bCs w:val="1"/>
                <w:color w:val="auto"/>
              </w:rPr>
              <w:t>Article 12</w:t>
            </w:r>
          </w:p>
        </w:tc>
      </w:tr>
      <w:tr>
        <w:trPr>
          <w:trHeight w:val="385"/>
        </w:trPr>
        <w:tc>
          <w:tcPr>
            <w:tcW w:w="1340" w:type="dxa"/>
            <w:vAlign w:val="bottom"/>
          </w:tcPr>
          <w:p>
            <w:pPr>
              <w:spacing w:after="0"/>
              <w:rPr>
                <w:sz w:val="20"/>
                <w:szCs w:val="20"/>
                <w:color w:val="auto"/>
              </w:rPr>
            </w:pPr>
            <w:r>
              <w:rPr>
                <w:rFonts w:ascii="Arial" w:cs="Arial" w:eastAsia="Arial" w:hAnsi="Arial"/>
                <w:sz w:val="13"/>
                <w:szCs w:val="13"/>
                <w:color w:val="auto"/>
              </w:rPr>
              <w:t>Vorsitz der</w:t>
            </w:r>
          </w:p>
        </w:tc>
        <w:tc>
          <w:tcPr>
            <w:tcW w:w="180" w:type="dxa"/>
            <w:vAlign w:val="bottom"/>
          </w:tcPr>
          <w:p>
            <w:pPr>
              <w:ind w:left="40"/>
              <w:spacing w:after="0"/>
              <w:rPr>
                <w:sz w:val="20"/>
                <w:szCs w:val="20"/>
                <w:color w:val="auto"/>
              </w:rPr>
            </w:pPr>
            <w:r>
              <w:rPr>
                <w:rFonts w:ascii="Arial" w:cs="Arial" w:eastAsia="Arial" w:hAnsi="Arial"/>
                <w:sz w:val="13"/>
                <w:szCs w:val="13"/>
                <w:color w:val="auto"/>
              </w:rPr>
              <w:t>1</w:t>
            </w: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Der Präsident des Verwaltungsrats führt den Vorsitz</w:t>
            </w:r>
          </w:p>
        </w:tc>
        <w:tc>
          <w:tcPr>
            <w:tcW w:w="880" w:type="dxa"/>
            <w:vAlign w:val="bottom"/>
          </w:tcPr>
          <w:p>
            <w:pPr>
              <w:ind w:left="80"/>
              <w:spacing w:after="0"/>
              <w:rPr>
                <w:sz w:val="20"/>
                <w:szCs w:val="20"/>
                <w:color w:val="auto"/>
              </w:rPr>
            </w:pPr>
            <w:r>
              <w:rPr>
                <w:rFonts w:ascii="Arial" w:cs="Arial" w:eastAsia="Arial" w:hAnsi="Arial"/>
                <w:sz w:val="13"/>
                <w:szCs w:val="13"/>
                <w:color w:val="auto"/>
              </w:rPr>
              <w:t>Acting Chair,</w:t>
            </w:r>
          </w:p>
        </w:tc>
        <w:tc>
          <w:tcPr>
            <w:tcW w:w="28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3980" w:type="dxa"/>
            <w:vAlign w:val="bottom"/>
          </w:tcPr>
          <w:p>
            <w:pPr>
              <w:ind w:left="140"/>
              <w:spacing w:after="0"/>
              <w:rPr>
                <w:sz w:val="20"/>
                <w:szCs w:val="20"/>
                <w:color w:val="auto"/>
              </w:rPr>
            </w:pPr>
            <w:r>
              <w:rPr>
                <w:rFonts w:ascii="Arial" w:cs="Arial" w:eastAsia="Arial" w:hAnsi="Arial"/>
                <w:sz w:val="17"/>
                <w:szCs w:val="17"/>
                <w:color w:val="auto"/>
              </w:rPr>
              <w:t>At  the  general  meeting  of  shareholders,  the</w:t>
            </w:r>
          </w:p>
        </w:tc>
      </w:tr>
      <w:tr>
        <w:trPr>
          <w:trHeight w:val="228"/>
        </w:trPr>
        <w:tc>
          <w:tcPr>
            <w:tcW w:w="1340" w:type="dxa"/>
            <w:vAlign w:val="bottom"/>
          </w:tcPr>
          <w:p>
            <w:pPr>
              <w:spacing w:after="0"/>
              <w:rPr>
                <w:sz w:val="20"/>
                <w:szCs w:val="20"/>
                <w:color w:val="auto"/>
              </w:rPr>
            </w:pPr>
            <w:r>
              <w:rPr>
                <w:rFonts w:ascii="Arial" w:cs="Arial" w:eastAsia="Arial" w:hAnsi="Arial"/>
                <w:sz w:val="13"/>
                <w:szCs w:val="13"/>
                <w:color w:val="auto"/>
              </w:rPr>
              <w:t>Generalversammlung,</w:t>
            </w:r>
          </w:p>
        </w:tc>
        <w:tc>
          <w:tcPr>
            <w:tcW w:w="1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7"/>
                <w:szCs w:val="17"/>
                <w:color w:val="auto"/>
              </w:rPr>
              <w:t>in</w:t>
            </w:r>
          </w:p>
        </w:tc>
        <w:tc>
          <w:tcPr>
            <w:tcW w:w="460" w:type="dxa"/>
            <w:vAlign w:val="bottom"/>
          </w:tcPr>
          <w:p>
            <w:pPr>
              <w:ind w:left="20"/>
              <w:spacing w:after="0"/>
              <w:rPr>
                <w:sz w:val="20"/>
                <w:szCs w:val="20"/>
                <w:color w:val="auto"/>
              </w:rPr>
            </w:pPr>
            <w:r>
              <w:rPr>
                <w:rFonts w:ascii="Arial" w:cs="Arial" w:eastAsia="Arial" w:hAnsi="Arial"/>
                <w:sz w:val="17"/>
                <w:szCs w:val="17"/>
                <w:color w:val="auto"/>
              </w:rPr>
              <w:t>der</w:t>
            </w:r>
          </w:p>
        </w:tc>
        <w:tc>
          <w:tcPr>
            <w:tcW w:w="1820" w:type="dxa"/>
            <w:vAlign w:val="bottom"/>
            <w:gridSpan w:val="5"/>
          </w:tcPr>
          <w:p>
            <w:pPr>
              <w:jc w:val="right"/>
              <w:spacing w:after="0"/>
              <w:rPr>
                <w:sz w:val="20"/>
                <w:szCs w:val="20"/>
                <w:color w:val="auto"/>
              </w:rPr>
            </w:pPr>
            <w:r>
              <w:rPr>
                <w:rFonts w:ascii="Arial" w:cs="Arial" w:eastAsia="Arial" w:hAnsi="Arial"/>
                <w:sz w:val="17"/>
                <w:szCs w:val="17"/>
                <w:color w:val="auto"/>
              </w:rPr>
              <w:t>Generalversammlung.</w:t>
            </w:r>
          </w:p>
        </w:tc>
        <w:tc>
          <w:tcPr>
            <w:tcW w:w="560" w:type="dxa"/>
            <w:vAlign w:val="bottom"/>
          </w:tcPr>
          <w:p>
            <w:pPr>
              <w:ind w:left="200"/>
              <w:spacing w:after="0"/>
              <w:rPr>
                <w:sz w:val="20"/>
                <w:szCs w:val="20"/>
                <w:color w:val="auto"/>
              </w:rPr>
            </w:pPr>
            <w:r>
              <w:rPr>
                <w:rFonts w:ascii="Arial" w:cs="Arial" w:eastAsia="Arial" w:hAnsi="Arial"/>
                <w:sz w:val="17"/>
                <w:szCs w:val="17"/>
                <w:color w:val="auto"/>
              </w:rPr>
              <w:t>Bei</w:t>
            </w:r>
          </w:p>
        </w:tc>
        <w:tc>
          <w:tcPr>
            <w:tcW w:w="16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7"/>
                <w:szCs w:val="17"/>
                <w:color w:val="auto"/>
                <w:w w:val="94"/>
              </w:rPr>
              <w:t>seiner</w:t>
            </w:r>
          </w:p>
        </w:tc>
        <w:tc>
          <w:tcPr>
            <w:tcW w:w="880" w:type="dxa"/>
            <w:vAlign w:val="bottom"/>
          </w:tcPr>
          <w:p>
            <w:pPr>
              <w:ind w:left="80"/>
              <w:spacing w:after="0"/>
              <w:rPr>
                <w:sz w:val="20"/>
                <w:szCs w:val="20"/>
                <w:color w:val="auto"/>
              </w:rPr>
            </w:pPr>
            <w:r>
              <w:rPr>
                <w:rFonts w:ascii="Arial" w:cs="Arial" w:eastAsia="Arial" w:hAnsi="Arial"/>
                <w:sz w:val="13"/>
                <w:szCs w:val="13"/>
                <w:color w:val="auto"/>
              </w:rPr>
              <w:t>Vote</w:t>
            </w: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Chairman  of  the  board  of  directors  or,  in  his</w:t>
            </w:r>
          </w:p>
        </w:tc>
      </w:tr>
      <w:tr>
        <w:trPr>
          <w:trHeight w:val="241"/>
        </w:trPr>
        <w:tc>
          <w:tcPr>
            <w:tcW w:w="1340" w:type="dxa"/>
            <w:vAlign w:val="bottom"/>
          </w:tcPr>
          <w:p>
            <w:pPr>
              <w:spacing w:after="0"/>
              <w:rPr>
                <w:sz w:val="20"/>
                <w:szCs w:val="20"/>
                <w:color w:val="auto"/>
              </w:rPr>
            </w:pPr>
            <w:r>
              <w:rPr>
                <w:rFonts w:ascii="Arial" w:cs="Arial" w:eastAsia="Arial" w:hAnsi="Arial"/>
                <w:sz w:val="13"/>
                <w:szCs w:val="13"/>
                <w:color w:val="auto"/>
              </w:rPr>
              <w:t>Stimmenzähler,</w:t>
            </w:r>
          </w:p>
        </w:tc>
        <w:tc>
          <w:tcPr>
            <w:tcW w:w="180" w:type="dxa"/>
            <w:vAlign w:val="bottom"/>
          </w:tcPr>
          <w:p>
            <w:pPr>
              <w:spacing w:after="0"/>
              <w:rPr>
                <w:sz w:val="20"/>
                <w:szCs w:val="20"/>
                <w:color w:val="auto"/>
              </w:rPr>
            </w:pPr>
          </w:p>
        </w:tc>
        <w:tc>
          <w:tcPr>
            <w:tcW w:w="1180" w:type="dxa"/>
            <w:vAlign w:val="bottom"/>
            <w:gridSpan w:val="3"/>
          </w:tcPr>
          <w:p>
            <w:pPr>
              <w:ind w:left="80"/>
              <w:spacing w:after="0"/>
              <w:rPr>
                <w:sz w:val="20"/>
                <w:szCs w:val="20"/>
                <w:color w:val="auto"/>
              </w:rPr>
            </w:pPr>
            <w:r>
              <w:rPr>
                <w:rFonts w:ascii="Arial" w:cs="Arial" w:eastAsia="Arial" w:hAnsi="Arial"/>
                <w:sz w:val="17"/>
                <w:szCs w:val="17"/>
                <w:color w:val="auto"/>
              </w:rPr>
              <w:t>Abwesenheit</w:t>
            </w: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führt</w:t>
            </w:r>
          </w:p>
        </w:tc>
        <w:tc>
          <w:tcPr>
            <w:tcW w:w="620" w:type="dxa"/>
            <w:vAlign w:val="bottom"/>
          </w:tcPr>
          <w:p>
            <w:pPr>
              <w:ind w:left="200"/>
              <w:spacing w:after="0"/>
              <w:rPr>
                <w:sz w:val="20"/>
                <w:szCs w:val="20"/>
                <w:color w:val="auto"/>
              </w:rPr>
            </w:pPr>
            <w:r>
              <w:rPr>
                <w:rFonts w:ascii="Arial" w:cs="Arial" w:eastAsia="Arial" w:hAnsi="Arial"/>
                <w:sz w:val="17"/>
                <w:szCs w:val="17"/>
                <w:color w:val="auto"/>
              </w:rPr>
              <w:t>der</w:t>
            </w:r>
          </w:p>
        </w:tc>
        <w:tc>
          <w:tcPr>
            <w:tcW w:w="1160" w:type="dxa"/>
            <w:vAlign w:val="bottom"/>
            <w:gridSpan w:val="3"/>
          </w:tcPr>
          <w:p>
            <w:pPr>
              <w:ind w:left="80"/>
              <w:spacing w:after="0"/>
              <w:rPr>
                <w:sz w:val="20"/>
                <w:szCs w:val="20"/>
                <w:color w:val="auto"/>
              </w:rPr>
            </w:pPr>
            <w:r>
              <w:rPr>
                <w:rFonts w:ascii="Arial" w:cs="Arial" w:eastAsia="Arial" w:hAnsi="Arial"/>
                <w:sz w:val="17"/>
                <w:szCs w:val="17"/>
                <w:color w:val="auto"/>
              </w:rPr>
              <w:t>Vizepräsident</w:t>
            </w:r>
          </w:p>
        </w:tc>
        <w:tc>
          <w:tcPr>
            <w:tcW w:w="560" w:type="dxa"/>
            <w:vAlign w:val="bottom"/>
          </w:tcPr>
          <w:p>
            <w:pPr>
              <w:jc w:val="right"/>
              <w:ind w:right="16"/>
              <w:spacing w:after="0"/>
              <w:rPr>
                <w:sz w:val="20"/>
                <w:szCs w:val="20"/>
                <w:color w:val="auto"/>
              </w:rPr>
            </w:pPr>
            <w:r>
              <w:rPr>
                <w:rFonts w:ascii="Arial" w:cs="Arial" w:eastAsia="Arial" w:hAnsi="Arial"/>
                <w:sz w:val="17"/>
                <w:szCs w:val="17"/>
                <w:color w:val="auto"/>
              </w:rPr>
              <w:t>des</w:t>
            </w:r>
          </w:p>
        </w:tc>
        <w:tc>
          <w:tcPr>
            <w:tcW w:w="880" w:type="dxa"/>
            <w:vAlign w:val="bottom"/>
          </w:tcPr>
          <w:p>
            <w:pPr>
              <w:ind w:left="80"/>
              <w:spacing w:after="0"/>
              <w:rPr>
                <w:sz w:val="20"/>
                <w:szCs w:val="20"/>
                <w:color w:val="auto"/>
              </w:rPr>
            </w:pPr>
            <w:r>
              <w:rPr>
                <w:rFonts w:ascii="Arial" w:cs="Arial" w:eastAsia="Arial" w:hAnsi="Arial"/>
                <w:sz w:val="13"/>
                <w:szCs w:val="13"/>
                <w:color w:val="auto"/>
              </w:rPr>
              <w:t>Counters,</w:t>
            </w: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absence, the Vice-Chairman or, in his absence,</w:t>
            </w:r>
          </w:p>
        </w:tc>
      </w:tr>
      <w:tr>
        <w:trPr>
          <w:trHeight w:val="228"/>
        </w:trPr>
        <w:tc>
          <w:tcPr>
            <w:tcW w:w="1340" w:type="dxa"/>
            <w:vAlign w:val="bottom"/>
          </w:tcPr>
          <w:p>
            <w:pPr>
              <w:spacing w:after="0"/>
              <w:rPr>
                <w:sz w:val="20"/>
                <w:szCs w:val="20"/>
                <w:color w:val="auto"/>
              </w:rPr>
            </w:pPr>
            <w:r>
              <w:rPr>
                <w:rFonts w:ascii="Arial" w:cs="Arial" w:eastAsia="Arial" w:hAnsi="Arial"/>
                <w:sz w:val="13"/>
                <w:szCs w:val="13"/>
                <w:color w:val="auto"/>
              </w:rPr>
              <w:t>Protokoll</w:t>
            </w:r>
          </w:p>
        </w:tc>
        <w:tc>
          <w:tcPr>
            <w:tcW w:w="180" w:type="dxa"/>
            <w:vAlign w:val="bottom"/>
          </w:tcPr>
          <w:p>
            <w:pPr>
              <w:spacing w:after="0"/>
              <w:rPr>
                <w:sz w:val="19"/>
                <w:szCs w:val="19"/>
                <w:color w:val="auto"/>
              </w:rPr>
            </w:pPr>
          </w:p>
        </w:tc>
        <w:tc>
          <w:tcPr>
            <w:tcW w:w="3320" w:type="dxa"/>
            <w:vAlign w:val="bottom"/>
            <w:gridSpan w:val="8"/>
          </w:tcPr>
          <w:p>
            <w:pPr>
              <w:ind w:left="80"/>
              <w:spacing w:after="0"/>
              <w:rPr>
                <w:sz w:val="20"/>
                <w:szCs w:val="20"/>
                <w:color w:val="auto"/>
              </w:rPr>
            </w:pPr>
            <w:r>
              <w:rPr>
                <w:rFonts w:ascii="Arial" w:cs="Arial" w:eastAsia="Arial" w:hAnsi="Arial"/>
                <w:sz w:val="17"/>
                <w:szCs w:val="17"/>
                <w:color w:val="auto"/>
              </w:rPr>
              <w:t>Verwaltungsrats  den  Vorsitz.  Ist  auch</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dieser</w:t>
            </w:r>
          </w:p>
        </w:tc>
        <w:tc>
          <w:tcPr>
            <w:tcW w:w="880" w:type="dxa"/>
            <w:vAlign w:val="bottom"/>
          </w:tcPr>
          <w:p>
            <w:pPr>
              <w:ind w:left="80"/>
              <w:spacing w:after="0"/>
              <w:rPr>
                <w:sz w:val="20"/>
                <w:szCs w:val="20"/>
                <w:color w:val="auto"/>
              </w:rPr>
            </w:pPr>
            <w:r>
              <w:rPr>
                <w:rFonts w:ascii="Arial" w:cs="Arial" w:eastAsia="Arial" w:hAnsi="Arial"/>
                <w:sz w:val="13"/>
                <w:szCs w:val="13"/>
                <w:color w:val="auto"/>
              </w:rPr>
              <w:t>Minutes</w:t>
            </w: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any  other  person  designated  by  the  board  of</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abwesend,  so  wird  der  Vorsitzende  durch  den</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directors shall take the chair.</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6"/>
          </w:tcPr>
          <w:p>
            <w:pPr>
              <w:ind w:left="80"/>
              <w:spacing w:after="0"/>
              <w:rPr>
                <w:sz w:val="20"/>
                <w:szCs w:val="20"/>
                <w:color w:val="auto"/>
              </w:rPr>
            </w:pPr>
            <w:r>
              <w:rPr>
                <w:rFonts w:ascii="Arial" w:cs="Arial" w:eastAsia="Arial" w:hAnsi="Arial"/>
                <w:sz w:val="17"/>
                <w:szCs w:val="17"/>
                <w:color w:val="auto"/>
              </w:rPr>
              <w:t>Verwaltungsrat gewählt.</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2</w:t>
            </w: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Der Vorsitzende bezeichnet einen Protokollführer</w:t>
            </w:r>
          </w:p>
        </w:tc>
        <w:tc>
          <w:tcPr>
            <w:tcW w:w="88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Arial" w:cs="Arial" w:eastAsia="Arial" w:hAnsi="Arial"/>
                <w:sz w:val="13"/>
                <w:szCs w:val="13"/>
                <w:color w:val="auto"/>
              </w:rPr>
              <w:t>2</w:t>
            </w:r>
          </w:p>
        </w:tc>
        <w:tc>
          <w:tcPr>
            <w:tcW w:w="3980" w:type="dxa"/>
            <w:vAlign w:val="bottom"/>
          </w:tcPr>
          <w:p>
            <w:pPr>
              <w:ind w:left="140"/>
              <w:spacing w:after="0"/>
              <w:rPr>
                <w:sz w:val="20"/>
                <w:szCs w:val="20"/>
                <w:color w:val="auto"/>
              </w:rPr>
            </w:pPr>
            <w:r>
              <w:rPr>
                <w:rFonts w:ascii="Arial" w:cs="Arial" w:eastAsia="Arial" w:hAnsi="Arial"/>
                <w:sz w:val="17"/>
                <w:szCs w:val="17"/>
                <w:color w:val="auto"/>
              </w:rPr>
              <w:t>The  acting  chair  of  the  general  meeting  of</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und die Stimmenzähler, die nicht Aktionäre sein</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shareholders shall appoint the secretary and the</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0"/>
          </w:tcPr>
          <w:p>
            <w:pPr>
              <w:ind w:left="80"/>
              <w:spacing w:after="0"/>
              <w:rPr>
                <w:sz w:val="20"/>
                <w:szCs w:val="20"/>
                <w:color w:val="auto"/>
              </w:rPr>
            </w:pPr>
            <w:r>
              <w:rPr>
                <w:rFonts w:ascii="Arial" w:cs="Arial" w:eastAsia="Arial" w:hAnsi="Arial"/>
                <w:sz w:val="17"/>
                <w:szCs w:val="17"/>
                <w:color w:val="auto"/>
              </w:rPr>
              <w:t>müssen. Das Protokoll ist vom Vorsitzenden und</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vote   counters,   none   of   whom   need   be</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8"/>
          </w:tcPr>
          <w:p>
            <w:pPr>
              <w:ind w:left="80"/>
              <w:spacing w:after="0"/>
              <w:rPr>
                <w:sz w:val="20"/>
                <w:szCs w:val="20"/>
                <w:color w:val="auto"/>
              </w:rPr>
            </w:pPr>
            <w:r>
              <w:rPr>
                <w:rFonts w:ascii="Arial" w:cs="Arial" w:eastAsia="Arial" w:hAnsi="Arial"/>
                <w:sz w:val="17"/>
                <w:szCs w:val="17"/>
                <w:color w:val="auto"/>
              </w:rPr>
              <w:t>vom Protokollführer zu unterzeichnen.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shareholders. The minutes of the general meeting</w:t>
            </w:r>
          </w:p>
        </w:tc>
      </w:tr>
      <w:tr>
        <w:trPr>
          <w:trHeight w:val="241"/>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of shareholders shall be signed by the acting chair</w:t>
            </w:r>
          </w:p>
        </w:tc>
      </w:t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ind w:left="140"/>
              <w:spacing w:after="0"/>
              <w:rPr>
                <w:sz w:val="20"/>
                <w:szCs w:val="20"/>
                <w:color w:val="auto"/>
              </w:rPr>
            </w:pPr>
            <w:r>
              <w:rPr>
                <w:rFonts w:ascii="Arial" w:cs="Arial" w:eastAsia="Arial" w:hAnsi="Arial"/>
                <w:sz w:val="17"/>
                <w:szCs w:val="17"/>
                <w:color w:val="auto"/>
              </w:rPr>
              <w:t>and the secretary.</w:t>
            </w:r>
          </w:p>
        </w:tc>
      </w:tr>
    </w:tbl>
    <w:p>
      <w:pPr>
        <w:sectPr>
          <w:pgSz w:w="11900" w:h="16838" w:orient="portrait"/>
          <w:cols w:equalWidth="0" w:num="1">
            <w:col w:w="10700"/>
          </w:cols>
          <w:pgMar w:left="360" w:top="132" w:right="839" w:bottom="1440" w:gutter="0" w:footer="0" w:header="0"/>
        </w:sectPr>
      </w:pPr>
    </w:p>
    <w:bookmarkStart w:id="236" w:name="page237"/>
    <w:bookmarkEnd w:id="236"/>
    <w:p>
      <w:pPr>
        <w:ind w:left="4380"/>
        <w:spacing w:after="0"/>
        <w:rPr>
          <w:sz w:val="20"/>
          <w:szCs w:val="20"/>
          <w:color w:val="auto"/>
        </w:rPr>
      </w:pPr>
      <w:r>
        <w:rPr>
          <w:rFonts w:ascii="Arial" w:cs="Arial" w:eastAsia="Arial" w:hAnsi="Arial"/>
          <w:sz w:val="13"/>
          <w:szCs w:val="13"/>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6"/>
                <w:szCs w:val="16"/>
                <w:color w:val="auto"/>
              </w:rPr>
              <w:t>Die</w:t>
            </w:r>
          </w:p>
        </w:tc>
        <w:tc>
          <w:tcPr>
            <w:tcW w:w="960" w:type="dxa"/>
            <w:vAlign w:val="bottom"/>
          </w:tcPr>
          <w:p>
            <w:pPr>
              <w:jc w:val="center"/>
              <w:spacing w:after="0"/>
              <w:rPr>
                <w:sz w:val="20"/>
                <w:szCs w:val="20"/>
                <w:color w:val="auto"/>
              </w:rPr>
            </w:pPr>
            <w:r>
              <w:rPr>
                <w:rFonts w:ascii="Arial" w:cs="Arial" w:eastAsia="Arial" w:hAnsi="Arial"/>
                <w:sz w:val="17"/>
                <w:szCs w:val="17"/>
                <w:color w:val="auto"/>
                <w:w w:val="98"/>
              </w:rPr>
              <w:t>Beschlüsse</w:t>
            </w:r>
          </w:p>
        </w:tc>
        <w:tc>
          <w:tcPr>
            <w:tcW w:w="460" w:type="dxa"/>
            <w:vAlign w:val="bottom"/>
          </w:tcPr>
          <w:p>
            <w:pPr>
              <w:ind w:left="100"/>
              <w:spacing w:after="0"/>
              <w:rPr>
                <w:sz w:val="20"/>
                <w:szCs w:val="20"/>
                <w:color w:val="auto"/>
              </w:rPr>
            </w:pPr>
            <w:r>
              <w:rPr>
                <w:rFonts w:ascii="Arial" w:cs="Arial" w:eastAsia="Arial" w:hAnsi="Arial"/>
                <w:sz w:val="17"/>
                <w:szCs w:val="17"/>
                <w:color w:val="auto"/>
              </w:rPr>
              <w:t>und</w:t>
            </w:r>
          </w:p>
        </w:tc>
        <w:tc>
          <w:tcPr>
            <w:tcW w:w="1780" w:type="dxa"/>
            <w:vAlign w:val="bottom"/>
            <w:gridSpan w:val="3"/>
          </w:tcPr>
          <w:p>
            <w:pPr>
              <w:ind w:left="60"/>
              <w:spacing w:after="0"/>
              <w:rPr>
                <w:sz w:val="20"/>
                <w:szCs w:val="20"/>
                <w:color w:val="auto"/>
              </w:rPr>
            </w:pPr>
            <w:r>
              <w:rPr>
                <w:rFonts w:ascii="Arial" w:cs="Arial" w:eastAsia="Arial" w:hAnsi="Arial"/>
                <w:sz w:val="17"/>
                <w:szCs w:val="17"/>
                <w:color w:val="auto"/>
              </w:rPr>
              <w:t>Wahlergebnisse  sind</w:t>
            </w:r>
          </w:p>
        </w:tc>
        <w:tc>
          <w:tcPr>
            <w:tcW w:w="960" w:type="dxa"/>
            <w:vAlign w:val="bottom"/>
          </w:tcPr>
          <w:p>
            <w:pPr>
              <w:jc w:val="right"/>
              <w:ind w:right="416"/>
              <w:spacing w:after="0"/>
              <w:rPr>
                <w:sz w:val="20"/>
                <w:szCs w:val="20"/>
                <w:color w:val="auto"/>
              </w:rPr>
            </w:pPr>
            <w:r>
              <w:rPr>
                <w:rFonts w:ascii="Arial" w:cs="Arial" w:eastAsia="Arial" w:hAnsi="Arial"/>
                <w:sz w:val="17"/>
                <w:szCs w:val="17"/>
                <w:color w:val="auto"/>
              </w:rPr>
              <w:t>unter</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4180" w:type="dxa"/>
            <w:vAlign w:val="bottom"/>
          </w:tcPr>
          <w:p>
            <w:pPr>
              <w:ind w:left="160"/>
              <w:spacing w:after="0"/>
              <w:rPr>
                <w:sz w:val="20"/>
                <w:szCs w:val="20"/>
                <w:color w:val="auto"/>
              </w:rPr>
            </w:pPr>
            <w:r>
              <w:rPr>
                <w:rFonts w:ascii="Arial" w:cs="Arial" w:eastAsia="Arial" w:hAnsi="Arial"/>
                <w:sz w:val="17"/>
                <w:szCs w:val="17"/>
                <w:color w:val="auto"/>
              </w:rPr>
              <w:t>The resolutions and election results shall be made</w:t>
            </w:r>
          </w:p>
        </w:tc>
      </w:tr>
      <w:tr>
        <w:trPr>
          <w:trHeight w:val="228"/>
        </w:trPr>
        <w:tc>
          <w:tcPr>
            <w:tcW w:w="4740" w:type="dxa"/>
            <w:vAlign w:val="bottom"/>
            <w:gridSpan w:val="7"/>
          </w:tcPr>
          <w:p>
            <w:pPr>
              <w:ind w:left="240"/>
              <w:spacing w:after="0"/>
              <w:rPr>
                <w:sz w:val="20"/>
                <w:szCs w:val="20"/>
                <w:color w:val="auto"/>
              </w:rPr>
            </w:pPr>
            <w:r>
              <w:rPr>
                <w:rFonts w:ascii="Arial" w:cs="Arial" w:eastAsia="Arial" w:hAnsi="Arial"/>
                <w:sz w:val="17"/>
                <w:szCs w:val="17"/>
                <w:color w:val="auto"/>
              </w:rPr>
              <w:t>Angabe der genauen Stimmenverhältnisse innerhalb</w:t>
            </w:r>
          </w:p>
        </w:tc>
        <w:tc>
          <w:tcPr>
            <w:tcW w:w="74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available electronically within 15 calendar days after</w:t>
            </w:r>
          </w:p>
        </w:tc>
      </w:tr>
      <w:tr>
        <w:trPr>
          <w:trHeight w:val="241"/>
        </w:trPr>
        <w:tc>
          <w:tcPr>
            <w:tcW w:w="580" w:type="dxa"/>
            <w:vAlign w:val="bottom"/>
          </w:tcPr>
          <w:p>
            <w:pPr>
              <w:ind w:left="240"/>
              <w:spacing w:after="0"/>
              <w:rPr>
                <w:sz w:val="20"/>
                <w:szCs w:val="20"/>
                <w:color w:val="auto"/>
              </w:rPr>
            </w:pPr>
            <w:r>
              <w:rPr>
                <w:rFonts w:ascii="Arial" w:cs="Arial" w:eastAsia="Arial" w:hAnsi="Arial"/>
                <w:sz w:val="17"/>
                <w:szCs w:val="17"/>
                <w:color w:val="auto"/>
              </w:rPr>
              <w:t>von</w:t>
            </w:r>
          </w:p>
        </w:tc>
        <w:tc>
          <w:tcPr>
            <w:tcW w:w="960" w:type="dxa"/>
            <w:vAlign w:val="bottom"/>
          </w:tcPr>
          <w:p>
            <w:pPr>
              <w:jc w:val="right"/>
              <w:ind w:right="296"/>
              <w:spacing w:after="0"/>
              <w:rPr>
                <w:sz w:val="20"/>
                <w:szCs w:val="20"/>
                <w:color w:val="auto"/>
              </w:rPr>
            </w:pPr>
            <w:r>
              <w:rPr>
                <w:rFonts w:ascii="Arial" w:cs="Arial" w:eastAsia="Arial" w:hAnsi="Arial"/>
                <w:sz w:val="17"/>
                <w:szCs w:val="17"/>
                <w:color w:val="auto"/>
              </w:rPr>
              <w:t>15</w:t>
            </w:r>
          </w:p>
        </w:tc>
        <w:tc>
          <w:tcPr>
            <w:tcW w:w="1400" w:type="dxa"/>
            <w:vAlign w:val="bottom"/>
            <w:gridSpan w:val="3"/>
          </w:tcPr>
          <w:p>
            <w:pPr>
              <w:ind w:left="60"/>
              <w:spacing w:after="0"/>
              <w:rPr>
                <w:sz w:val="20"/>
                <w:szCs w:val="20"/>
                <w:color w:val="auto"/>
              </w:rPr>
            </w:pPr>
            <w:r>
              <w:rPr>
                <w:rFonts w:ascii="Arial" w:cs="Arial" w:eastAsia="Arial" w:hAnsi="Arial"/>
                <w:sz w:val="17"/>
                <w:szCs w:val="17"/>
                <w:color w:val="auto"/>
              </w:rPr>
              <w:t>Kalendertagen</w:t>
            </w:r>
          </w:p>
        </w:tc>
        <w:tc>
          <w:tcPr>
            <w:tcW w:w="840" w:type="dxa"/>
            <w:vAlign w:val="bottom"/>
          </w:tcPr>
          <w:p>
            <w:pPr>
              <w:ind w:left="220"/>
              <w:spacing w:after="0"/>
              <w:rPr>
                <w:sz w:val="20"/>
                <w:szCs w:val="20"/>
                <w:color w:val="auto"/>
              </w:rPr>
            </w:pPr>
            <w:r>
              <w:rPr>
                <w:rFonts w:ascii="Arial" w:cs="Arial" w:eastAsia="Arial" w:hAnsi="Arial"/>
                <w:sz w:val="17"/>
                <w:szCs w:val="17"/>
                <w:color w:val="auto"/>
              </w:rPr>
              <w:t>nach</w:t>
            </w:r>
          </w:p>
        </w:tc>
        <w:tc>
          <w:tcPr>
            <w:tcW w:w="960" w:type="dxa"/>
            <w:vAlign w:val="bottom"/>
          </w:tcPr>
          <w:p>
            <w:pPr>
              <w:jc w:val="right"/>
              <w:ind w:right="436"/>
              <w:spacing w:after="0"/>
              <w:rPr>
                <w:sz w:val="20"/>
                <w:szCs w:val="20"/>
                <w:color w:val="auto"/>
              </w:rPr>
            </w:pPr>
            <w:r>
              <w:rPr>
                <w:rFonts w:ascii="Arial" w:cs="Arial" w:eastAsia="Arial" w:hAnsi="Arial"/>
                <w:sz w:val="17"/>
                <w:szCs w:val="17"/>
                <w:color w:val="auto"/>
              </w:rPr>
              <w:t>der</w:t>
            </w:r>
          </w:p>
        </w:tc>
        <w:tc>
          <w:tcPr>
            <w:tcW w:w="74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the  general  meeting  of  shareholders,  stating  the</w:t>
            </w:r>
          </w:p>
        </w:tc>
      </w:tr>
      <w:tr>
        <w:trPr>
          <w:trHeight w:val="228"/>
        </w:trPr>
        <w:tc>
          <w:tcPr>
            <w:tcW w:w="2000" w:type="dxa"/>
            <w:vAlign w:val="bottom"/>
            <w:gridSpan w:val="3"/>
          </w:tcPr>
          <w:p>
            <w:pPr>
              <w:ind w:left="240"/>
              <w:spacing w:after="0"/>
              <w:rPr>
                <w:sz w:val="20"/>
                <w:szCs w:val="20"/>
                <w:color w:val="auto"/>
              </w:rPr>
            </w:pPr>
            <w:r>
              <w:rPr>
                <w:rFonts w:ascii="Arial" w:cs="Arial" w:eastAsia="Arial" w:hAnsi="Arial"/>
                <w:sz w:val="17"/>
                <w:szCs w:val="17"/>
                <w:color w:val="auto"/>
              </w:rPr>
              <w:t>Generalversammlung</w:t>
            </w:r>
          </w:p>
        </w:tc>
        <w:tc>
          <w:tcPr>
            <w:tcW w:w="460" w:type="dxa"/>
            <w:vAlign w:val="bottom"/>
          </w:tcPr>
          <w:p>
            <w:pPr>
              <w:ind w:left="80"/>
              <w:spacing w:after="0"/>
              <w:rPr>
                <w:sz w:val="20"/>
                <w:szCs w:val="20"/>
                <w:color w:val="auto"/>
              </w:rPr>
            </w:pPr>
            <w:r>
              <w:rPr>
                <w:rFonts w:ascii="Arial" w:cs="Arial" w:eastAsia="Arial" w:hAnsi="Arial"/>
                <w:sz w:val="17"/>
                <w:szCs w:val="17"/>
                <w:color w:val="auto"/>
              </w:rPr>
              <w:t>auf</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elektronischem</w:t>
            </w:r>
          </w:p>
        </w:tc>
        <w:tc>
          <w:tcPr>
            <w:tcW w:w="960" w:type="dxa"/>
            <w:vAlign w:val="bottom"/>
          </w:tcPr>
          <w:p>
            <w:pPr>
              <w:jc w:val="right"/>
              <w:ind w:right="416"/>
              <w:spacing w:after="0"/>
              <w:rPr>
                <w:sz w:val="20"/>
                <w:szCs w:val="20"/>
                <w:color w:val="auto"/>
              </w:rPr>
            </w:pPr>
            <w:r>
              <w:rPr>
                <w:rFonts w:ascii="Arial" w:cs="Arial" w:eastAsia="Arial" w:hAnsi="Arial"/>
                <w:sz w:val="17"/>
                <w:szCs w:val="17"/>
                <w:color w:val="auto"/>
              </w:rPr>
              <w:t>Weg</w:t>
            </w:r>
          </w:p>
        </w:tc>
        <w:tc>
          <w:tcPr>
            <w:tcW w:w="74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exact proportion of votes; each shareholder may</w:t>
            </w:r>
          </w:p>
        </w:tc>
      </w:tr>
      <w:tr>
        <w:trPr>
          <w:trHeight w:val="241"/>
        </w:trPr>
        <w:tc>
          <w:tcPr>
            <w:tcW w:w="4740" w:type="dxa"/>
            <w:vAlign w:val="bottom"/>
            <w:gridSpan w:val="7"/>
          </w:tcPr>
          <w:p>
            <w:pPr>
              <w:ind w:left="240"/>
              <w:spacing w:after="0"/>
              <w:rPr>
                <w:sz w:val="20"/>
                <w:szCs w:val="20"/>
                <w:color w:val="auto"/>
              </w:rPr>
            </w:pPr>
            <w:r>
              <w:rPr>
                <w:rFonts w:ascii="Arial" w:cs="Arial" w:eastAsia="Arial" w:hAnsi="Arial"/>
                <w:sz w:val="17"/>
                <w:szCs w:val="17"/>
                <w:color w:val="auto"/>
              </w:rPr>
              <w:t>zugänglich  zu  machen;  jeder  Aktionär  kann</w:t>
            </w:r>
          </w:p>
        </w:tc>
        <w:tc>
          <w:tcPr>
            <w:tcW w:w="74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request that the minutes be made available to him</w:t>
            </w:r>
          </w:p>
        </w:tc>
      </w:tr>
      <w:tr>
        <w:trPr>
          <w:trHeight w:val="228"/>
        </w:trPr>
        <w:tc>
          <w:tcPr>
            <w:tcW w:w="4740" w:type="dxa"/>
            <w:vAlign w:val="bottom"/>
            <w:gridSpan w:val="7"/>
          </w:tcPr>
          <w:p>
            <w:pPr>
              <w:ind w:left="240"/>
              <w:spacing w:after="0"/>
              <w:rPr>
                <w:sz w:val="20"/>
                <w:szCs w:val="20"/>
                <w:color w:val="auto"/>
              </w:rPr>
            </w:pPr>
            <w:r>
              <w:rPr>
                <w:rFonts w:ascii="Arial" w:cs="Arial" w:eastAsia="Arial" w:hAnsi="Arial"/>
                <w:sz w:val="17"/>
                <w:szCs w:val="17"/>
                <w:color w:val="auto"/>
              </w:rPr>
              <w:t>verlangen, dass ihm das Protokoll innerhalb von 30</w:t>
            </w:r>
          </w:p>
        </w:tc>
        <w:tc>
          <w:tcPr>
            <w:tcW w:w="74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within 30 calendar days after the general meeting of</w:t>
            </w:r>
          </w:p>
        </w:tc>
      </w:tr>
      <w:tr>
        <w:trPr>
          <w:trHeight w:val="241"/>
        </w:trPr>
        <w:tc>
          <w:tcPr>
            <w:tcW w:w="1540" w:type="dxa"/>
            <w:vAlign w:val="bottom"/>
            <w:gridSpan w:val="2"/>
          </w:tcPr>
          <w:p>
            <w:pPr>
              <w:ind w:left="240"/>
              <w:spacing w:after="0"/>
              <w:rPr>
                <w:sz w:val="20"/>
                <w:szCs w:val="20"/>
                <w:color w:val="auto"/>
              </w:rPr>
            </w:pPr>
            <w:r>
              <w:rPr>
                <w:rFonts w:ascii="Arial" w:cs="Arial" w:eastAsia="Arial" w:hAnsi="Arial"/>
                <w:sz w:val="17"/>
                <w:szCs w:val="17"/>
                <w:color w:val="auto"/>
              </w:rPr>
              <w:t>Kalendertagen</w:t>
            </w:r>
          </w:p>
        </w:tc>
        <w:tc>
          <w:tcPr>
            <w:tcW w:w="460" w:type="dxa"/>
            <w:vAlign w:val="bottom"/>
          </w:tcPr>
          <w:p>
            <w:pPr>
              <w:ind w:left="20"/>
              <w:spacing w:after="0"/>
              <w:rPr>
                <w:sz w:val="20"/>
                <w:szCs w:val="20"/>
                <w:color w:val="auto"/>
              </w:rPr>
            </w:pPr>
            <w:r>
              <w:rPr>
                <w:rFonts w:ascii="Arial" w:cs="Arial" w:eastAsia="Arial" w:hAnsi="Arial"/>
                <w:sz w:val="17"/>
                <w:szCs w:val="17"/>
                <w:color w:val="auto"/>
              </w:rPr>
              <w:t>nach</w:t>
            </w:r>
          </w:p>
        </w:tc>
        <w:tc>
          <w:tcPr>
            <w:tcW w:w="460" w:type="dxa"/>
            <w:vAlign w:val="bottom"/>
          </w:tcPr>
          <w:p>
            <w:pPr>
              <w:ind w:left="140"/>
              <w:spacing w:after="0"/>
              <w:rPr>
                <w:sz w:val="20"/>
                <w:szCs w:val="20"/>
                <w:color w:val="auto"/>
              </w:rPr>
            </w:pPr>
            <w:r>
              <w:rPr>
                <w:rFonts w:ascii="Arial" w:cs="Arial" w:eastAsia="Arial" w:hAnsi="Arial"/>
                <w:sz w:val="17"/>
                <w:szCs w:val="17"/>
                <w:color w:val="auto"/>
              </w:rPr>
              <w:t>der</w:t>
            </w:r>
          </w:p>
        </w:tc>
        <w:tc>
          <w:tcPr>
            <w:tcW w:w="2280" w:type="dxa"/>
            <w:vAlign w:val="bottom"/>
            <w:gridSpan w:val="3"/>
          </w:tcPr>
          <w:p>
            <w:pPr>
              <w:jc w:val="right"/>
              <w:ind w:right="436"/>
              <w:spacing w:after="0"/>
              <w:rPr>
                <w:sz w:val="20"/>
                <w:szCs w:val="20"/>
                <w:color w:val="auto"/>
              </w:rPr>
            </w:pPr>
            <w:r>
              <w:rPr>
                <w:rFonts w:ascii="Arial" w:cs="Arial" w:eastAsia="Arial" w:hAnsi="Arial"/>
                <w:sz w:val="17"/>
                <w:szCs w:val="17"/>
                <w:color w:val="auto"/>
              </w:rPr>
              <w:t>Generalversammlung</w:t>
            </w:r>
          </w:p>
        </w:tc>
        <w:tc>
          <w:tcPr>
            <w:tcW w:w="74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7"/>
                <w:szCs w:val="17"/>
                <w:color w:val="auto"/>
              </w:rPr>
              <w:t>shareholders.</w:t>
            </w:r>
          </w:p>
        </w:tc>
      </w:tr>
    </w:tbl>
    <w:p>
      <w:pPr>
        <w:spacing w:after="0" w:line="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zugänglich gemacht wird.</w:t>
      </w:r>
    </w:p>
    <w:p>
      <w:pPr>
        <w:sectPr>
          <w:pgSz w:w="11900" w:h="16838" w:orient="portrait"/>
          <w:cols w:equalWidth="0" w:num="1">
            <w:col w:w="9660"/>
          </w:cols>
          <w:pgMar w:left="1400" w:top="132" w:right="839" w:bottom="1440" w:gutter="0" w:footer="0" w:header="0"/>
        </w:sectPr>
      </w:pPr>
    </w:p>
    <w:bookmarkStart w:id="237" w:name="page238"/>
    <w:bookmarkEnd w:id="237"/>
    <w:p>
      <w:pPr>
        <w:ind w:left="5420"/>
        <w:spacing w:after="0"/>
        <w:rPr>
          <w:sz w:val="20"/>
          <w:szCs w:val="20"/>
          <w:color w:val="auto"/>
        </w:rPr>
      </w:pPr>
      <w:r>
        <w:rPr>
          <w:rFonts w:ascii="Arial" w:cs="Arial" w:eastAsia="Arial" w:hAnsi="Arial"/>
          <w:sz w:val="13"/>
          <w:szCs w:val="13"/>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80"/>
        <w:spacing w:after="0"/>
        <w:tabs>
          <w:tab w:leader="none" w:pos="6600" w:val="left"/>
        </w:tabs>
        <w:rPr>
          <w:sz w:val="20"/>
          <w:szCs w:val="20"/>
          <w:color w:val="auto"/>
        </w:rPr>
      </w:pPr>
      <w:r>
        <w:rPr>
          <w:rFonts w:ascii="Arial" w:cs="Arial" w:eastAsia="Arial" w:hAnsi="Arial"/>
          <w:sz w:val="17"/>
          <w:szCs w:val="17"/>
          <w:b w:val="1"/>
          <w:bCs w:val="1"/>
          <w:color w:val="auto"/>
        </w:rPr>
        <w:t>Artikel 13</w:t>
      </w:r>
      <w:r>
        <w:rPr>
          <w:sz w:val="20"/>
          <w:szCs w:val="20"/>
          <w:color w:val="auto"/>
        </w:rPr>
        <w:tab/>
      </w:r>
      <w:r>
        <w:rPr>
          <w:rFonts w:ascii="Arial" w:cs="Arial" w:eastAsia="Arial" w:hAnsi="Arial"/>
          <w:sz w:val="16"/>
          <w:szCs w:val="16"/>
          <w:b w:val="1"/>
          <w:bCs w:val="1"/>
          <w:color w:val="auto"/>
        </w:rPr>
        <w:t>Article 13</w:t>
      </w:r>
    </w:p>
    <w:p>
      <w:pPr>
        <w:sectPr>
          <w:pgSz w:w="11900" w:h="16838" w:orient="portrait"/>
          <w:cols w:equalWidth="0" w:num="1">
            <w:col w:w="10580"/>
          </w:cols>
          <w:pgMar w:left="360" w:top="132" w:right="95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3"/>
                <w:szCs w:val="13"/>
                <w:color w:val="auto"/>
              </w:rPr>
              <w:t>Stimmrecht,</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4040" w:type="dxa"/>
            <w:vAlign w:val="bottom"/>
            <w:gridSpan w:val="5"/>
          </w:tcPr>
          <w:p>
            <w:pPr>
              <w:ind w:left="80"/>
              <w:spacing w:after="0"/>
              <w:rPr>
                <w:sz w:val="20"/>
                <w:szCs w:val="20"/>
                <w:color w:val="auto"/>
              </w:rPr>
            </w:pPr>
            <w:r>
              <w:rPr>
                <w:rFonts w:ascii="Arial" w:cs="Arial" w:eastAsia="Arial" w:hAnsi="Arial"/>
                <w:sz w:val="17"/>
                <w:szCs w:val="17"/>
                <w:color w:val="auto"/>
              </w:rPr>
              <w:t>Jede mit Stimmrecht im Aktienbuch eingetragene</w:t>
            </w:r>
          </w:p>
        </w:tc>
      </w:tr>
      <w:tr>
        <w:trPr>
          <w:trHeight w:val="228"/>
        </w:trPr>
        <w:tc>
          <w:tcPr>
            <w:tcW w:w="880" w:type="dxa"/>
            <w:vAlign w:val="bottom"/>
          </w:tcPr>
          <w:p>
            <w:pPr>
              <w:spacing w:after="0"/>
              <w:rPr>
                <w:sz w:val="20"/>
                <w:szCs w:val="20"/>
                <w:color w:val="auto"/>
              </w:rPr>
            </w:pPr>
            <w:r>
              <w:rPr>
                <w:rFonts w:ascii="Arial" w:cs="Arial" w:eastAsia="Arial" w:hAnsi="Arial"/>
                <w:sz w:val="13"/>
                <w:szCs w:val="13"/>
                <w:color w:val="auto"/>
              </w:rPr>
              <w:t>Vertretung</w:t>
            </w:r>
          </w:p>
        </w:tc>
        <w:tc>
          <w:tcPr>
            <w:tcW w:w="320" w:type="dxa"/>
            <w:vAlign w:val="bottom"/>
          </w:tcPr>
          <w:p>
            <w:pPr>
              <w:spacing w:after="0"/>
              <w:rPr>
                <w:sz w:val="19"/>
                <w:szCs w:val="19"/>
                <w:color w:val="auto"/>
              </w:rPr>
            </w:pPr>
          </w:p>
        </w:tc>
        <w:tc>
          <w:tcPr>
            <w:tcW w:w="3680" w:type="dxa"/>
            <w:vAlign w:val="bottom"/>
            <w:gridSpan w:val="4"/>
          </w:tcPr>
          <w:p>
            <w:pPr>
              <w:ind w:left="80"/>
              <w:spacing w:after="0"/>
              <w:rPr>
                <w:sz w:val="20"/>
                <w:szCs w:val="20"/>
                <w:color w:val="auto"/>
              </w:rPr>
            </w:pPr>
            <w:r>
              <w:rPr>
                <w:rFonts w:ascii="Arial" w:cs="Arial" w:eastAsia="Arial" w:hAnsi="Arial"/>
                <w:sz w:val="17"/>
                <w:szCs w:val="17"/>
                <w:color w:val="auto"/>
              </w:rPr>
              <w:t>Aktie berechtigt zu einer Stimme.</w:t>
            </w:r>
          </w:p>
        </w:tc>
        <w:tc>
          <w:tcPr>
            <w:tcW w:w="360" w:type="dxa"/>
            <w:vAlign w:val="bottom"/>
          </w:tcPr>
          <w:p>
            <w:pPr>
              <w:spacing w:after="0"/>
              <w:rPr>
                <w:sz w:val="19"/>
                <w:szCs w:val="19"/>
                <w:color w:val="auto"/>
              </w:rPr>
            </w:pPr>
          </w:p>
        </w:tc>
      </w:tr>
      <w:tr>
        <w:trPr>
          <w:trHeight w:val="393"/>
        </w:trPr>
        <w:tc>
          <w:tcPr>
            <w:tcW w:w="880" w:type="dxa"/>
            <w:vAlign w:val="bottom"/>
          </w:tcPr>
          <w:p>
            <w:pPr>
              <w:spacing w:after="0"/>
              <w:rPr>
                <w:sz w:val="24"/>
                <w:szCs w:val="24"/>
                <w:color w:val="auto"/>
              </w:rPr>
            </w:pP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660" w:type="dxa"/>
            <w:vAlign w:val="bottom"/>
          </w:tcPr>
          <w:p>
            <w:pPr>
              <w:ind w:left="80"/>
              <w:spacing w:after="0"/>
              <w:rPr>
                <w:sz w:val="20"/>
                <w:szCs w:val="20"/>
                <w:color w:val="auto"/>
              </w:rPr>
            </w:pPr>
            <w:r>
              <w:rPr>
                <w:rFonts w:ascii="Arial" w:cs="Arial" w:eastAsia="Arial" w:hAnsi="Arial"/>
                <w:sz w:val="17"/>
                <w:szCs w:val="17"/>
                <w:color w:val="auto"/>
              </w:rPr>
              <w:t>Der</w:t>
            </w:r>
          </w:p>
        </w:tc>
        <w:tc>
          <w:tcPr>
            <w:tcW w:w="1700" w:type="dxa"/>
            <w:vAlign w:val="bottom"/>
            <w:gridSpan w:val="2"/>
          </w:tcPr>
          <w:p>
            <w:pPr>
              <w:ind w:left="300"/>
              <w:spacing w:after="0"/>
              <w:rPr>
                <w:sz w:val="20"/>
                <w:szCs w:val="20"/>
                <w:color w:val="auto"/>
              </w:rPr>
            </w:pPr>
            <w:r>
              <w:rPr>
                <w:rFonts w:ascii="Arial" w:cs="Arial" w:eastAsia="Arial" w:hAnsi="Arial"/>
                <w:sz w:val="17"/>
                <w:szCs w:val="17"/>
                <w:color w:val="auto"/>
              </w:rPr>
              <w:t>Verwaltungsrat</w:t>
            </w:r>
          </w:p>
        </w:tc>
        <w:tc>
          <w:tcPr>
            <w:tcW w:w="1320" w:type="dxa"/>
            <w:vAlign w:val="bottom"/>
          </w:tcPr>
          <w:p>
            <w:pPr>
              <w:ind w:left="340"/>
              <w:spacing w:after="0"/>
              <w:rPr>
                <w:sz w:val="20"/>
                <w:szCs w:val="20"/>
                <w:color w:val="auto"/>
              </w:rPr>
            </w:pPr>
            <w:r>
              <w:rPr>
                <w:rFonts w:ascii="Arial" w:cs="Arial" w:eastAsia="Arial" w:hAnsi="Arial"/>
                <w:sz w:val="17"/>
                <w:szCs w:val="17"/>
                <w:color w:val="auto"/>
              </w:rPr>
              <w:t>erlässt</w:t>
            </w:r>
          </w:p>
        </w:tc>
        <w:tc>
          <w:tcPr>
            <w:tcW w:w="360" w:type="dxa"/>
            <w:vAlign w:val="bottom"/>
          </w:tcPr>
          <w:p>
            <w:pPr>
              <w:jc w:val="right"/>
              <w:spacing w:after="0"/>
              <w:rPr>
                <w:sz w:val="20"/>
                <w:szCs w:val="20"/>
                <w:color w:val="auto"/>
              </w:rPr>
            </w:pPr>
            <w:r>
              <w:rPr>
                <w:rFonts w:ascii="Arial" w:cs="Arial" w:eastAsia="Arial" w:hAnsi="Arial"/>
                <w:sz w:val="17"/>
                <w:szCs w:val="17"/>
                <w:color w:val="auto"/>
              </w:rPr>
              <w:t>die</w:t>
            </w:r>
          </w:p>
        </w:tc>
      </w:tr>
      <w:tr>
        <w:trPr>
          <w:trHeight w:val="228"/>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5"/>
          </w:tcPr>
          <w:p>
            <w:pPr>
              <w:ind w:left="80"/>
              <w:spacing w:after="0"/>
              <w:rPr>
                <w:sz w:val="20"/>
                <w:szCs w:val="20"/>
                <w:color w:val="auto"/>
              </w:rPr>
            </w:pPr>
            <w:r>
              <w:rPr>
                <w:rFonts w:ascii="Arial" w:cs="Arial" w:eastAsia="Arial" w:hAnsi="Arial"/>
                <w:sz w:val="17"/>
                <w:szCs w:val="17"/>
                <w:color w:val="auto"/>
              </w:rPr>
              <w:t>Verfahrensvorschriften  über  die  Teilnahme  und</w:t>
            </w:r>
          </w:p>
        </w:tc>
      </w:tr>
      <w:tr>
        <w:trPr>
          <w:trHeight w:val="241"/>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Vertretung</w:t>
            </w:r>
          </w:p>
        </w:tc>
        <w:tc>
          <w:tcPr>
            <w:tcW w:w="2640" w:type="dxa"/>
            <w:vAlign w:val="bottom"/>
            <w:gridSpan w:val="2"/>
          </w:tcPr>
          <w:p>
            <w:pPr>
              <w:ind w:left="40"/>
              <w:spacing w:after="0"/>
              <w:rPr>
                <w:sz w:val="20"/>
                <w:szCs w:val="20"/>
                <w:color w:val="auto"/>
              </w:rPr>
            </w:pPr>
            <w:r>
              <w:rPr>
                <w:rFonts w:ascii="Arial" w:cs="Arial" w:eastAsia="Arial" w:hAnsi="Arial"/>
                <w:sz w:val="17"/>
                <w:szCs w:val="17"/>
                <w:color w:val="auto"/>
              </w:rPr>
              <w:t>an   der   Generalversammlung.</w:t>
            </w:r>
          </w:p>
        </w:tc>
        <w:tc>
          <w:tcPr>
            <w:tcW w:w="360" w:type="dxa"/>
            <w:vAlign w:val="bottom"/>
          </w:tcPr>
          <w:p>
            <w:pPr>
              <w:jc w:val="right"/>
              <w:spacing w:after="0"/>
              <w:rPr>
                <w:sz w:val="20"/>
                <w:szCs w:val="20"/>
                <w:color w:val="auto"/>
              </w:rPr>
            </w:pPr>
            <w:r>
              <w:rPr>
                <w:rFonts w:ascii="Arial" w:cs="Arial" w:eastAsia="Arial" w:hAnsi="Arial"/>
                <w:sz w:val="17"/>
                <w:szCs w:val="17"/>
                <w:color w:val="auto"/>
              </w:rPr>
              <w:t>Ein</w:t>
            </w:r>
          </w:p>
        </w:tc>
      </w:tr>
      <w:tr>
        <w:trPr>
          <w:trHeight w:val="228"/>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5"/>
          </w:tcPr>
          <w:p>
            <w:pPr>
              <w:ind w:left="80"/>
              <w:spacing w:after="0"/>
              <w:rPr>
                <w:sz w:val="20"/>
                <w:szCs w:val="20"/>
                <w:color w:val="auto"/>
              </w:rPr>
            </w:pPr>
            <w:r>
              <w:rPr>
                <w:rFonts w:ascii="Arial" w:cs="Arial" w:eastAsia="Arial" w:hAnsi="Arial"/>
                <w:sz w:val="17"/>
                <w:szCs w:val="17"/>
                <w:color w:val="auto"/>
              </w:rPr>
              <w:t>Aktionär kann sich an der Generalversammlung nur</w:t>
            </w:r>
          </w:p>
        </w:tc>
      </w:tr>
      <w:tr>
        <w:trPr>
          <w:trHeight w:val="241"/>
        </w:trPr>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durch</w:t>
            </w:r>
          </w:p>
        </w:tc>
        <w:tc>
          <w:tcPr>
            <w:tcW w:w="380" w:type="dxa"/>
            <w:vAlign w:val="bottom"/>
          </w:tcPr>
          <w:p>
            <w:pPr>
              <w:ind w:left="60"/>
              <w:spacing w:after="0"/>
              <w:rPr>
                <w:sz w:val="20"/>
                <w:szCs w:val="20"/>
                <w:color w:val="auto"/>
              </w:rPr>
            </w:pPr>
            <w:r>
              <w:rPr>
                <w:rFonts w:ascii="Arial" w:cs="Arial" w:eastAsia="Arial" w:hAnsi="Arial"/>
                <w:sz w:val="17"/>
                <w:szCs w:val="17"/>
                <w:color w:val="auto"/>
              </w:rPr>
              <w:t>den</w:t>
            </w:r>
          </w:p>
        </w:tc>
        <w:tc>
          <w:tcPr>
            <w:tcW w:w="1320" w:type="dxa"/>
            <w:vAlign w:val="bottom"/>
          </w:tcPr>
          <w:p>
            <w:pPr>
              <w:ind w:left="160"/>
              <w:spacing w:after="0"/>
              <w:rPr>
                <w:sz w:val="20"/>
                <w:szCs w:val="20"/>
                <w:color w:val="auto"/>
              </w:rPr>
            </w:pPr>
            <w:r>
              <w:rPr>
                <w:rFonts w:ascii="Arial" w:cs="Arial" w:eastAsia="Arial" w:hAnsi="Arial"/>
                <w:sz w:val="17"/>
                <w:szCs w:val="17"/>
                <w:color w:val="auto"/>
              </w:rPr>
              <w:t>unabhängigen</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Stimmrechtsvertreter</w:t>
            </w:r>
          </w:p>
        </w:tc>
      </w:tr>
      <w:tr>
        <w:trPr>
          <w:trHeight w:val="228"/>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(mittels</w:t>
            </w:r>
          </w:p>
        </w:tc>
        <w:tc>
          <w:tcPr>
            <w:tcW w:w="3380" w:type="dxa"/>
            <w:vAlign w:val="bottom"/>
            <w:gridSpan w:val="4"/>
          </w:tcPr>
          <w:p>
            <w:pPr>
              <w:jc w:val="right"/>
              <w:spacing w:after="0"/>
              <w:rPr>
                <w:sz w:val="20"/>
                <w:szCs w:val="20"/>
                <w:color w:val="auto"/>
              </w:rPr>
            </w:pPr>
            <w:r>
              <w:rPr>
                <w:rFonts w:ascii="Arial" w:cs="Arial" w:eastAsia="Arial" w:hAnsi="Arial"/>
                <w:sz w:val="17"/>
                <w:szCs w:val="17"/>
                <w:color w:val="auto"/>
              </w:rPr>
              <w:t>schriftlicher oder elektronischer Vollmacht),</w:t>
            </w:r>
          </w:p>
        </w:tc>
      </w:tr>
    </w:tbl>
    <w:p>
      <w:pPr>
        <w:spacing w:after="0" w:line="18" w:lineRule="exact"/>
        <w:rPr>
          <w:sz w:val="20"/>
          <w:szCs w:val="20"/>
          <w:color w:val="auto"/>
        </w:rPr>
      </w:pPr>
    </w:p>
    <w:p>
      <w:pPr>
        <w:jc w:val="both"/>
        <w:ind w:left="1280"/>
        <w:spacing w:after="0" w:line="295" w:lineRule="auto"/>
        <w:rPr>
          <w:sz w:val="20"/>
          <w:szCs w:val="20"/>
          <w:color w:val="auto"/>
        </w:rPr>
      </w:pPr>
      <w:r>
        <w:rPr>
          <w:rFonts w:ascii="Arial" w:cs="Arial" w:eastAsia="Arial" w:hAnsi="Arial"/>
          <w:sz w:val="17"/>
          <w:szCs w:val="17"/>
          <w:color w:val="auto"/>
        </w:rPr>
        <w:t>seinen gesetzlichen Vertreter oder (mittels schriftlicher Vollmacht) durch einen anderen Bevollmächtigten, der nicht Aktionär zu sein braucht, vertreten lassen. Alle von einem Aktionär gehaltenen Aktien können nur von einer Person vertreten werden.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960" w:val="left"/>
          <w:tab w:leader="none" w:pos="1200" w:val="left"/>
        </w:tabs>
        <w:rPr>
          <w:sz w:val="20"/>
          <w:szCs w:val="20"/>
          <w:color w:val="auto"/>
        </w:rPr>
      </w:pPr>
      <w:r>
        <w:rPr>
          <w:rFonts w:ascii="Arial" w:cs="Arial" w:eastAsia="Arial" w:hAnsi="Arial"/>
          <w:sz w:val="13"/>
          <w:szCs w:val="13"/>
          <w:color w:val="auto"/>
        </w:rPr>
        <w:t>Voting Rights,</w:t>
        <w:tab/>
        <w:t>1</w:t>
      </w:r>
      <w:r>
        <w:rPr>
          <w:sz w:val="20"/>
          <w:szCs w:val="20"/>
          <w:color w:val="auto"/>
        </w:rPr>
        <w:tab/>
      </w:r>
      <w:r>
        <w:rPr>
          <w:rFonts w:ascii="Arial" w:cs="Arial" w:eastAsia="Arial" w:hAnsi="Arial"/>
          <w:sz w:val="17"/>
          <w:szCs w:val="17"/>
          <w:color w:val="auto"/>
        </w:rPr>
        <w:t>Each share registered in the share register grants</w:t>
      </w:r>
    </w:p>
    <w:p>
      <w:pPr>
        <w:spacing w:after="0" w:line="32" w:lineRule="exact"/>
        <w:rPr>
          <w:sz w:val="20"/>
          <w:szCs w:val="20"/>
          <w:color w:val="auto"/>
        </w:rPr>
      </w:pPr>
    </w:p>
    <w:p>
      <w:pPr>
        <w:spacing w:after="0"/>
        <w:tabs>
          <w:tab w:leader="none" w:pos="1200" w:val="left"/>
        </w:tabs>
        <w:rPr>
          <w:sz w:val="20"/>
          <w:szCs w:val="20"/>
          <w:color w:val="auto"/>
        </w:rPr>
      </w:pPr>
      <w:r>
        <w:rPr>
          <w:rFonts w:ascii="Arial" w:cs="Arial" w:eastAsia="Arial" w:hAnsi="Arial"/>
          <w:sz w:val="13"/>
          <w:szCs w:val="13"/>
          <w:color w:val="auto"/>
        </w:rPr>
        <w:t>Representation</w:t>
      </w:r>
      <w:r>
        <w:rPr>
          <w:sz w:val="20"/>
          <w:szCs w:val="20"/>
          <w:color w:val="auto"/>
        </w:rPr>
        <w:tab/>
      </w:r>
      <w:r>
        <w:rPr>
          <w:rFonts w:ascii="Arial" w:cs="Arial" w:eastAsia="Arial" w:hAnsi="Arial"/>
          <w:sz w:val="17"/>
          <w:szCs w:val="17"/>
          <w:color w:val="auto"/>
        </w:rPr>
        <w:t>one vote.</w:t>
      </w:r>
    </w:p>
    <w:p>
      <w:pPr>
        <w:spacing w:after="0" w:line="197" w:lineRule="exact"/>
        <w:rPr>
          <w:sz w:val="20"/>
          <w:szCs w:val="20"/>
          <w:color w:val="auto"/>
        </w:rPr>
      </w:pPr>
    </w:p>
    <w:p>
      <w:pPr>
        <w:jc w:val="both"/>
        <w:ind w:left="1220" w:hanging="244"/>
        <w:spacing w:after="0" w:line="287" w:lineRule="auto"/>
        <w:tabs>
          <w:tab w:leader="none" w:pos="1220" w:val="left"/>
        </w:tabs>
        <w:numPr>
          <w:ilvl w:val="0"/>
          <w:numId w:val="140"/>
        </w:numPr>
        <w:rPr>
          <w:rFonts w:ascii="Arial" w:cs="Arial" w:eastAsia="Arial" w:hAnsi="Arial"/>
          <w:sz w:val="13"/>
          <w:szCs w:val="13"/>
          <w:color w:val="auto"/>
        </w:rPr>
      </w:pPr>
      <w:r>
        <w:rPr>
          <w:rFonts w:ascii="Arial" w:cs="Arial" w:eastAsia="Arial" w:hAnsi="Arial"/>
          <w:sz w:val="17"/>
          <w:szCs w:val="17"/>
          <w:color w:val="auto"/>
        </w:rPr>
        <w:t>The board of directors shall issue procedural rules regarding participation in and representation at the</w:t>
      </w:r>
    </w:p>
    <w:p>
      <w:pPr>
        <w:spacing w:after="0" w:line="1" w:lineRule="exact"/>
        <w:rPr>
          <w:rFonts w:ascii="Arial" w:cs="Arial" w:eastAsia="Arial" w:hAnsi="Arial"/>
          <w:sz w:val="13"/>
          <w:szCs w:val="13"/>
          <w:color w:val="auto"/>
        </w:rPr>
      </w:pPr>
    </w:p>
    <w:p>
      <w:pPr>
        <w:jc w:val="both"/>
        <w:ind w:left="1220"/>
        <w:spacing w:after="0" w:line="287" w:lineRule="auto"/>
        <w:rPr>
          <w:rFonts w:ascii="Arial" w:cs="Arial" w:eastAsia="Arial" w:hAnsi="Arial"/>
          <w:sz w:val="13"/>
          <w:szCs w:val="13"/>
          <w:color w:val="auto"/>
        </w:rPr>
      </w:pPr>
      <w:r>
        <w:rPr>
          <w:rFonts w:ascii="Arial" w:cs="Arial" w:eastAsia="Arial" w:hAnsi="Arial"/>
          <w:sz w:val="17"/>
          <w:szCs w:val="17"/>
          <w:color w:val="auto"/>
        </w:rPr>
        <w:t>general meeting of shareholders. A shareholder may be represented only by the independent voting rights</w:t>
      </w:r>
    </w:p>
    <w:p>
      <w:pPr>
        <w:spacing w:after="0" w:line="1" w:lineRule="exact"/>
        <w:rPr>
          <w:rFonts w:ascii="Arial" w:cs="Arial" w:eastAsia="Arial" w:hAnsi="Arial"/>
          <w:sz w:val="13"/>
          <w:szCs w:val="13"/>
          <w:color w:val="auto"/>
        </w:rPr>
      </w:pPr>
    </w:p>
    <w:p>
      <w:pPr>
        <w:jc w:val="both"/>
        <w:ind w:left="1220" w:right="20"/>
        <w:spacing w:after="0" w:line="287" w:lineRule="auto"/>
        <w:rPr>
          <w:rFonts w:ascii="Arial" w:cs="Arial" w:eastAsia="Arial" w:hAnsi="Arial"/>
          <w:sz w:val="13"/>
          <w:szCs w:val="13"/>
          <w:color w:val="auto"/>
        </w:rPr>
      </w:pPr>
      <w:r>
        <w:rPr>
          <w:rFonts w:ascii="Arial" w:cs="Arial" w:eastAsia="Arial" w:hAnsi="Arial"/>
          <w:sz w:val="17"/>
          <w:szCs w:val="17"/>
          <w:color w:val="auto"/>
        </w:rPr>
        <w:t>representative (</w:t>
      </w:r>
      <w:r>
        <w:rPr>
          <w:rFonts w:ascii="Arial" w:cs="Arial" w:eastAsia="Arial" w:hAnsi="Arial"/>
          <w:sz w:val="17"/>
          <w:szCs w:val="17"/>
          <w:i w:val="1"/>
          <w:iCs w:val="1"/>
          <w:color w:val="auto"/>
        </w:rPr>
        <w:t>unabhängiger Stimmrechtsvertreter</w:t>
      </w:r>
      <w:r>
        <w:rPr>
          <w:rFonts w:ascii="Arial" w:cs="Arial" w:eastAsia="Arial" w:hAnsi="Arial"/>
          <w:sz w:val="17"/>
          <w:szCs w:val="17"/>
          <w:color w:val="auto"/>
        </w:rPr>
        <w:t>) (by way of a written or electronic proxy), his legal</w:t>
      </w:r>
    </w:p>
    <w:p>
      <w:pPr>
        <w:spacing w:after="0" w:line="1" w:lineRule="exact"/>
        <w:rPr>
          <w:rFonts w:ascii="Arial" w:cs="Arial" w:eastAsia="Arial" w:hAnsi="Arial"/>
          <w:sz w:val="13"/>
          <w:szCs w:val="13"/>
          <w:color w:val="auto"/>
        </w:rPr>
      </w:pPr>
    </w:p>
    <w:p>
      <w:pPr>
        <w:jc w:val="both"/>
        <w:ind w:left="1220"/>
        <w:spacing w:after="0" w:line="287" w:lineRule="auto"/>
        <w:rPr>
          <w:rFonts w:ascii="Arial" w:cs="Arial" w:eastAsia="Arial" w:hAnsi="Arial"/>
          <w:sz w:val="13"/>
          <w:szCs w:val="13"/>
          <w:color w:val="auto"/>
        </w:rPr>
      </w:pPr>
      <w:r>
        <w:rPr>
          <w:rFonts w:ascii="Arial" w:cs="Arial" w:eastAsia="Arial" w:hAnsi="Arial"/>
          <w:sz w:val="17"/>
          <w:szCs w:val="17"/>
          <w:color w:val="auto"/>
        </w:rPr>
        <w:t>representative or, by means of a written proxy, by any other proxy who need not be a shareholder. All</w:t>
      </w:r>
    </w:p>
    <w:p>
      <w:pPr>
        <w:spacing w:after="0" w:line="1" w:lineRule="exact"/>
        <w:rPr>
          <w:rFonts w:ascii="Arial" w:cs="Arial" w:eastAsia="Arial" w:hAnsi="Arial"/>
          <w:sz w:val="13"/>
          <w:szCs w:val="13"/>
          <w:color w:val="auto"/>
        </w:rPr>
      </w:pPr>
    </w:p>
    <w:p>
      <w:pPr>
        <w:ind w:left="1220"/>
        <w:spacing w:after="0" w:line="313" w:lineRule="auto"/>
        <w:rPr>
          <w:rFonts w:ascii="Arial" w:cs="Arial" w:eastAsia="Arial" w:hAnsi="Arial"/>
          <w:sz w:val="13"/>
          <w:szCs w:val="13"/>
          <w:color w:val="auto"/>
        </w:rPr>
      </w:pPr>
      <w:r>
        <w:rPr>
          <w:rFonts w:ascii="Arial" w:cs="Arial" w:eastAsia="Arial" w:hAnsi="Arial"/>
          <w:sz w:val="17"/>
          <w:szCs w:val="17"/>
          <w:color w:val="auto"/>
        </w:rPr>
        <w:t>shares held by one shareholder must be represented by only one representative.</w:t>
      </w:r>
    </w:p>
    <w:p>
      <w:pPr>
        <w:spacing w:after="0" w:line="579" w:lineRule="exact"/>
        <w:rPr>
          <w:sz w:val="20"/>
          <w:szCs w:val="20"/>
          <w:color w:val="auto"/>
        </w:rPr>
      </w:pPr>
    </w:p>
    <w:p>
      <w:pPr>
        <w:sectPr>
          <w:pgSz w:w="11900" w:h="16838" w:orient="portrait"/>
          <w:cols w:equalWidth="0" w:num="2">
            <w:col w:w="5240" w:space="160"/>
            <w:col w:w="5180"/>
          </w:cols>
          <w:pgMar w:left="360" w:top="132" w:right="959" w:bottom="1440" w:gutter="0" w:footer="0" w:header="0"/>
          <w:type w:val="continuous"/>
        </w:sectPr>
      </w:pPr>
    </w:p>
    <w:p>
      <w:pPr>
        <w:jc w:val="both"/>
        <w:ind w:left="1280" w:right="416" w:hanging="235"/>
        <w:spacing w:after="0" w:line="287" w:lineRule="auto"/>
        <w:tabs>
          <w:tab w:leader="none" w:pos="1280" w:val="left"/>
        </w:tabs>
        <w:numPr>
          <w:ilvl w:val="0"/>
          <w:numId w:val="141"/>
        </w:numPr>
        <w:rPr>
          <w:rFonts w:ascii="Arial" w:cs="Arial" w:eastAsia="Arial" w:hAnsi="Arial"/>
          <w:sz w:val="13"/>
          <w:szCs w:val="13"/>
          <w:color w:val="auto"/>
        </w:rPr>
      </w:pPr>
      <w:r>
        <w:rPr>
          <w:rFonts w:ascii="Arial" w:cs="Arial" w:eastAsia="Arial" w:hAnsi="Arial"/>
          <w:sz w:val="17"/>
          <w:szCs w:val="17"/>
          <w:color w:val="auto"/>
        </w:rPr>
        <w:t>Die Generalversammlung wählt den unabhängigen Stimmrechtsvertreter für eine Amtsdauer bis zum</w:t>
      </w:r>
    </w:p>
    <w:p>
      <w:pPr>
        <w:spacing w:after="0" w:line="1" w:lineRule="exact"/>
        <w:rPr>
          <w:rFonts w:ascii="Arial" w:cs="Arial" w:eastAsia="Arial" w:hAnsi="Arial"/>
          <w:sz w:val="13"/>
          <w:szCs w:val="13"/>
          <w:color w:val="auto"/>
        </w:rPr>
      </w:pPr>
    </w:p>
    <w:p>
      <w:pPr>
        <w:jc w:val="both"/>
        <w:ind w:left="1280" w:right="416"/>
        <w:spacing w:after="0" w:line="287" w:lineRule="auto"/>
        <w:rPr>
          <w:rFonts w:ascii="Arial" w:cs="Arial" w:eastAsia="Arial" w:hAnsi="Arial"/>
          <w:sz w:val="13"/>
          <w:szCs w:val="13"/>
          <w:color w:val="auto"/>
        </w:rPr>
      </w:pPr>
      <w:r>
        <w:rPr>
          <w:rFonts w:ascii="Arial" w:cs="Arial" w:eastAsia="Arial" w:hAnsi="Arial"/>
          <w:sz w:val="17"/>
          <w:szCs w:val="17"/>
          <w:color w:val="auto"/>
        </w:rPr>
        <w:t>Abschluss der nächsten ordentlichen Generalversammlung. Wiederwahl ist möglich. Hat</w:t>
      </w:r>
    </w:p>
    <w:p>
      <w:pPr>
        <w:spacing w:after="0" w:line="1" w:lineRule="exact"/>
        <w:rPr>
          <w:rFonts w:ascii="Arial" w:cs="Arial" w:eastAsia="Arial" w:hAnsi="Arial"/>
          <w:sz w:val="13"/>
          <w:szCs w:val="13"/>
          <w:color w:val="auto"/>
        </w:rPr>
      </w:pPr>
    </w:p>
    <w:p>
      <w:pPr>
        <w:jc w:val="both"/>
        <w:ind w:left="1280" w:right="436"/>
        <w:spacing w:after="0" w:line="287" w:lineRule="auto"/>
        <w:rPr>
          <w:rFonts w:ascii="Arial" w:cs="Arial" w:eastAsia="Arial" w:hAnsi="Arial"/>
          <w:sz w:val="13"/>
          <w:szCs w:val="13"/>
          <w:color w:val="auto"/>
        </w:rPr>
      </w:pPr>
      <w:r>
        <w:rPr>
          <w:rFonts w:ascii="Arial" w:cs="Arial" w:eastAsia="Arial" w:hAnsi="Arial"/>
          <w:sz w:val="17"/>
          <w:szCs w:val="17"/>
          <w:color w:val="auto"/>
        </w:rPr>
        <w:t>die Gesellschaft aus irgendwelchen Gründen keinen unabhängigen Stimmrechtsvertreter, bezeichnet der</w:t>
      </w:r>
    </w:p>
    <w:p>
      <w:pPr>
        <w:spacing w:after="0" w:line="1" w:lineRule="exact"/>
        <w:rPr>
          <w:rFonts w:ascii="Arial" w:cs="Arial" w:eastAsia="Arial" w:hAnsi="Arial"/>
          <w:sz w:val="13"/>
          <w:szCs w:val="13"/>
          <w:color w:val="auto"/>
        </w:rPr>
      </w:pPr>
    </w:p>
    <w:p>
      <w:pPr>
        <w:ind w:left="1280"/>
        <w:spacing w:after="0"/>
        <w:rPr>
          <w:rFonts w:ascii="Arial" w:cs="Arial" w:eastAsia="Arial" w:hAnsi="Arial"/>
          <w:sz w:val="13"/>
          <w:szCs w:val="13"/>
          <w:color w:val="auto"/>
        </w:rPr>
      </w:pPr>
      <w:r>
        <w:rPr>
          <w:rFonts w:ascii="Arial" w:cs="Arial" w:eastAsia="Arial" w:hAnsi="Arial"/>
          <w:sz w:val="17"/>
          <w:szCs w:val="17"/>
          <w:color w:val="auto"/>
        </w:rPr>
        <w:t>Verwaltungsrat   für   die   nächste   stattfindende</w:t>
      </w:r>
    </w:p>
    <w:p>
      <w:pPr>
        <w:spacing w:after="0" w:line="32" w:lineRule="exact"/>
        <w:rPr>
          <w:rFonts w:ascii="Arial" w:cs="Arial" w:eastAsia="Arial" w:hAnsi="Arial"/>
          <w:sz w:val="13"/>
          <w:szCs w:val="13"/>
          <w:color w:val="auto"/>
        </w:rPr>
      </w:pPr>
    </w:p>
    <w:p>
      <w:pPr>
        <w:ind w:left="1280" w:right="436"/>
        <w:spacing w:after="0" w:line="328" w:lineRule="auto"/>
        <w:rPr>
          <w:rFonts w:ascii="Arial" w:cs="Arial" w:eastAsia="Arial" w:hAnsi="Arial"/>
          <w:sz w:val="13"/>
          <w:szCs w:val="13"/>
          <w:color w:val="auto"/>
        </w:rPr>
      </w:pPr>
      <w:r>
        <w:rPr>
          <w:rFonts w:ascii="Arial" w:cs="Arial" w:eastAsia="Arial" w:hAnsi="Arial"/>
          <w:sz w:val="17"/>
          <w:szCs w:val="17"/>
          <w:color w:val="auto"/>
        </w:rPr>
        <w:t>Generalversammlung einen unabhängigen Stimmrechtsvertreter.</w:t>
      </w:r>
    </w:p>
    <w:p>
      <w:pPr>
        <w:spacing w:after="0" w:line="327" w:lineRule="exact"/>
        <w:rPr>
          <w:sz w:val="20"/>
          <w:szCs w:val="20"/>
          <w:color w:val="auto"/>
        </w:rPr>
      </w:pPr>
    </w:p>
    <w:p>
      <w:pPr>
        <w:jc w:val="both"/>
        <w:ind w:left="1280" w:right="416" w:hanging="235"/>
        <w:spacing w:after="0" w:line="304" w:lineRule="auto"/>
        <w:tabs>
          <w:tab w:leader="none" w:pos="1280" w:val="left"/>
        </w:tabs>
        <w:numPr>
          <w:ilvl w:val="0"/>
          <w:numId w:val="142"/>
        </w:numPr>
        <w:rPr>
          <w:rFonts w:ascii="Arial" w:cs="Arial" w:eastAsia="Arial" w:hAnsi="Arial"/>
          <w:sz w:val="13"/>
          <w:szCs w:val="13"/>
          <w:color w:val="auto"/>
        </w:rPr>
      </w:pPr>
      <w:r>
        <w:rPr>
          <w:rFonts w:ascii="Arial" w:cs="Arial" w:eastAsia="Arial" w:hAnsi="Arial"/>
          <w:sz w:val="17"/>
          <w:szCs w:val="17"/>
          <w:color w:val="auto"/>
        </w:rPr>
        <w:t>Der Verwaltungsrat regelt die Anforderungen an die Vollmachten und Weisungen an den unabhängigen Stimmrechtsvertreter.</w:t>
      </w:r>
    </w:p>
    <w:p>
      <w:pPr>
        <w:spacing w:after="0" w:line="20" w:lineRule="exact"/>
        <w:rPr>
          <w:sz w:val="20"/>
          <w:szCs w:val="20"/>
          <w:color w:val="auto"/>
        </w:rPr>
      </w:pPr>
      <w:r>
        <w:rPr>
          <w:sz w:val="20"/>
          <w:szCs w:val="20"/>
          <w:color w:val="auto"/>
        </w:rPr>
        <w:br w:type="column"/>
      </w:r>
    </w:p>
    <w:p>
      <w:pPr>
        <w:jc w:val="both"/>
        <w:ind w:left="244" w:hanging="244"/>
        <w:spacing w:after="0" w:line="305" w:lineRule="auto"/>
        <w:tabs>
          <w:tab w:leader="none" w:pos="244" w:val="left"/>
        </w:tabs>
        <w:numPr>
          <w:ilvl w:val="0"/>
          <w:numId w:val="143"/>
        </w:numPr>
        <w:rPr>
          <w:rFonts w:ascii="Arial" w:cs="Arial" w:eastAsia="Arial" w:hAnsi="Arial"/>
          <w:sz w:val="13"/>
          <w:szCs w:val="13"/>
          <w:color w:val="auto"/>
        </w:rPr>
      </w:pPr>
      <w:r>
        <w:rPr>
          <w:rFonts w:ascii="Arial" w:cs="Arial" w:eastAsia="Arial" w:hAnsi="Arial"/>
          <w:sz w:val="16"/>
          <w:szCs w:val="16"/>
          <w:color w:val="auto"/>
        </w:rPr>
        <w:t>The general meeting of shareholders shall elect the independent voting rights representative at a general</w:t>
      </w: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meeting of shareholders for a term of office extending until completion of the next ordinary</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general meeting of shareholders. Re-election is possible. If the company does not have an</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independent voting rights representative for whatever reason, the board of directors shall appoint</w:t>
      </w:r>
    </w:p>
    <w:p>
      <w:pPr>
        <w:spacing w:after="0" w:line="1" w:lineRule="exact"/>
        <w:rPr>
          <w:rFonts w:ascii="Arial" w:cs="Arial" w:eastAsia="Arial" w:hAnsi="Arial"/>
          <w:sz w:val="13"/>
          <w:szCs w:val="13"/>
          <w:color w:val="auto"/>
        </w:rPr>
      </w:pPr>
    </w:p>
    <w:p>
      <w:pPr>
        <w:ind w:left="244"/>
        <w:spacing w:after="0" w:line="313" w:lineRule="auto"/>
        <w:rPr>
          <w:rFonts w:ascii="Arial" w:cs="Arial" w:eastAsia="Arial" w:hAnsi="Arial"/>
          <w:sz w:val="13"/>
          <w:szCs w:val="13"/>
          <w:color w:val="auto"/>
        </w:rPr>
      </w:pPr>
      <w:r>
        <w:rPr>
          <w:rFonts w:ascii="Arial" w:cs="Arial" w:eastAsia="Arial" w:hAnsi="Arial"/>
          <w:sz w:val="17"/>
          <w:szCs w:val="17"/>
          <w:color w:val="auto"/>
        </w:rPr>
        <w:t>the independent voting rights representative for the next meeting of shareholders.</w:t>
      </w:r>
    </w:p>
    <w:p>
      <w:pPr>
        <w:spacing w:after="0" w:line="111" w:lineRule="exact"/>
        <w:rPr>
          <w:sz w:val="20"/>
          <w:szCs w:val="20"/>
          <w:color w:val="auto"/>
        </w:rPr>
      </w:pPr>
    </w:p>
    <w:p>
      <w:pPr>
        <w:jc w:val="both"/>
        <w:ind w:left="244" w:hanging="244"/>
        <w:spacing w:after="0" w:line="304" w:lineRule="auto"/>
        <w:tabs>
          <w:tab w:leader="none" w:pos="244" w:val="left"/>
        </w:tabs>
        <w:numPr>
          <w:ilvl w:val="0"/>
          <w:numId w:val="144"/>
        </w:numPr>
        <w:rPr>
          <w:rFonts w:ascii="Arial" w:cs="Arial" w:eastAsia="Arial" w:hAnsi="Arial"/>
          <w:sz w:val="13"/>
          <w:szCs w:val="13"/>
          <w:color w:val="auto"/>
        </w:rPr>
      </w:pPr>
      <w:r>
        <w:rPr>
          <w:rFonts w:ascii="Arial" w:cs="Arial" w:eastAsia="Arial" w:hAnsi="Arial"/>
          <w:sz w:val="17"/>
          <w:szCs w:val="17"/>
          <w:color w:val="auto"/>
        </w:rPr>
        <w:t>The board of directors shall issue the particulars for the proxy of and for providing instructions to the independent voting rights representative.</w:t>
      </w:r>
    </w:p>
    <w:p>
      <w:pPr>
        <w:spacing w:after="0" w:line="200" w:lineRule="exact"/>
        <w:rPr>
          <w:sz w:val="20"/>
          <w:szCs w:val="20"/>
          <w:color w:val="auto"/>
        </w:rPr>
      </w:pPr>
    </w:p>
    <w:p>
      <w:pPr>
        <w:sectPr>
          <w:pgSz w:w="11900" w:h="16838" w:orient="portrait"/>
          <w:cols w:equalWidth="0" w:num="2">
            <w:col w:w="5656" w:space="720"/>
            <w:col w:w="4204"/>
          </w:cols>
          <w:pgMar w:left="360" w:top="132" w:right="95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7"/>
                <w:szCs w:val="17"/>
                <w:b w:val="1"/>
                <w:bCs w:val="1"/>
                <w:color w:val="auto"/>
              </w:rPr>
              <w:t>Artikel 14</w:t>
            </w:r>
          </w:p>
        </w:tc>
        <w:tc>
          <w:tcPr>
            <w:tcW w:w="98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7"/>
                <w:szCs w:val="17"/>
                <w:b w:val="1"/>
                <w:bCs w:val="1"/>
                <w:color w:val="auto"/>
              </w:rPr>
              <w:t>Article 14</w:t>
            </w:r>
          </w:p>
        </w:tc>
      </w:tr>
      <w:tr>
        <w:trPr>
          <w:trHeight w:val="385"/>
        </w:trPr>
        <w:tc>
          <w:tcPr>
            <w:tcW w:w="880" w:type="dxa"/>
            <w:vAlign w:val="bottom"/>
          </w:tcPr>
          <w:p>
            <w:pPr>
              <w:spacing w:after="0"/>
              <w:rPr>
                <w:sz w:val="20"/>
                <w:szCs w:val="20"/>
                <w:color w:val="auto"/>
              </w:rPr>
            </w:pPr>
            <w:r>
              <w:rPr>
                <w:rFonts w:ascii="Arial" w:cs="Arial" w:eastAsia="Arial" w:hAnsi="Arial"/>
                <w:sz w:val="13"/>
                <w:szCs w:val="13"/>
                <w:color w:val="auto"/>
              </w:rPr>
              <w:t>Beschlüsse,</w:t>
            </w:r>
          </w:p>
        </w:tc>
        <w:tc>
          <w:tcPr>
            <w:tcW w:w="4440" w:type="dxa"/>
            <w:vAlign w:val="bottom"/>
          </w:tcPr>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Generalversammlung  beschliesst  und  wählt,</w:t>
            </w:r>
          </w:p>
        </w:tc>
        <w:tc>
          <w:tcPr>
            <w:tcW w:w="980" w:type="dxa"/>
            <w:vAlign w:val="bottom"/>
          </w:tcPr>
          <w:p>
            <w:pPr>
              <w:ind w:left="80"/>
              <w:spacing w:after="0"/>
              <w:rPr>
                <w:sz w:val="20"/>
                <w:szCs w:val="20"/>
                <w:color w:val="auto"/>
              </w:rPr>
            </w:pPr>
            <w:r>
              <w:rPr>
                <w:rFonts w:ascii="Arial" w:cs="Arial" w:eastAsia="Arial" w:hAnsi="Arial"/>
                <w:sz w:val="13"/>
                <w:szCs w:val="13"/>
                <w:color w:val="auto"/>
              </w:rPr>
              <w:t>Resolutions</w:t>
            </w:r>
          </w:p>
        </w:tc>
        <w:tc>
          <w:tcPr>
            <w:tcW w:w="4280" w:type="dxa"/>
            <w:vAlign w:val="bottom"/>
          </w:tcPr>
          <w:p>
            <w:pPr>
              <w:ind w:left="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Unless otherwise required by law or these Articles of</w:t>
            </w:r>
          </w:p>
        </w:tc>
      </w:tr>
      <w:tr>
        <w:trPr>
          <w:trHeight w:val="228"/>
        </w:trPr>
        <w:tc>
          <w:tcPr>
            <w:tcW w:w="880" w:type="dxa"/>
            <w:vAlign w:val="bottom"/>
          </w:tcPr>
          <w:p>
            <w:pPr>
              <w:spacing w:after="0"/>
              <w:rPr>
                <w:sz w:val="20"/>
                <w:szCs w:val="20"/>
                <w:color w:val="auto"/>
              </w:rPr>
            </w:pPr>
            <w:r>
              <w:rPr>
                <w:rFonts w:ascii="Arial" w:cs="Arial" w:eastAsia="Arial" w:hAnsi="Arial"/>
                <w:sz w:val="13"/>
                <w:szCs w:val="13"/>
                <w:color w:val="auto"/>
              </w:rPr>
              <w:t>Wahlen</w:t>
            </w:r>
          </w:p>
        </w:tc>
        <w:tc>
          <w:tcPr>
            <w:tcW w:w="4440" w:type="dxa"/>
            <w:vAlign w:val="bottom"/>
          </w:tcPr>
          <w:p>
            <w:pPr>
              <w:ind w:left="400"/>
              <w:spacing w:after="0"/>
              <w:rPr>
                <w:sz w:val="20"/>
                <w:szCs w:val="20"/>
                <w:color w:val="auto"/>
              </w:rPr>
            </w:pPr>
            <w:r>
              <w:rPr>
                <w:rFonts w:ascii="Arial" w:cs="Arial" w:eastAsia="Arial" w:hAnsi="Arial"/>
                <w:sz w:val="17"/>
                <w:szCs w:val="17"/>
                <w:color w:val="auto"/>
              </w:rPr>
              <w:t>soweit das Gesetz und die Statuten es nicht anders</w:t>
            </w:r>
          </w:p>
        </w:tc>
        <w:tc>
          <w:tcPr>
            <w:tcW w:w="980" w:type="dxa"/>
            <w:vAlign w:val="bottom"/>
          </w:tcPr>
          <w:p>
            <w:pPr>
              <w:ind w:left="80"/>
              <w:spacing w:after="0"/>
              <w:rPr>
                <w:sz w:val="20"/>
                <w:szCs w:val="20"/>
                <w:color w:val="auto"/>
              </w:rPr>
            </w:pPr>
            <w:r>
              <w:rPr>
                <w:rFonts w:ascii="Arial" w:cs="Arial" w:eastAsia="Arial" w:hAnsi="Arial"/>
                <w:sz w:val="13"/>
                <w:szCs w:val="13"/>
                <w:color w:val="auto"/>
              </w:rPr>
              <w:t>and Elections</w:t>
            </w:r>
          </w:p>
        </w:tc>
        <w:tc>
          <w:tcPr>
            <w:tcW w:w="4280" w:type="dxa"/>
            <w:vAlign w:val="bottom"/>
          </w:tcPr>
          <w:p>
            <w:pPr>
              <w:ind w:left="320"/>
              <w:spacing w:after="0"/>
              <w:rPr>
                <w:sz w:val="20"/>
                <w:szCs w:val="20"/>
                <w:color w:val="auto"/>
              </w:rPr>
            </w:pPr>
            <w:r>
              <w:rPr>
                <w:rFonts w:ascii="Arial" w:cs="Arial" w:eastAsia="Arial" w:hAnsi="Arial"/>
                <w:sz w:val="17"/>
                <w:szCs w:val="17"/>
                <w:color w:val="auto"/>
              </w:rPr>
              <w:t>Incorporation, the general meeting of shareholders</w:t>
            </w:r>
          </w:p>
        </w:tc>
      </w:tr>
      <w:tr>
        <w:trPr>
          <w:trHeight w:val="241"/>
        </w:trPr>
        <w:tc>
          <w:tcPr>
            <w:tcW w:w="88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7"/>
                <w:szCs w:val="17"/>
                <w:color w:val="auto"/>
              </w:rPr>
              <w:t>bestimmen,  mit  der  Mehrheit  der  vertretenen</w:t>
            </w:r>
          </w:p>
        </w:tc>
        <w:tc>
          <w:tcPr>
            <w:tcW w:w="98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7"/>
                <w:szCs w:val="17"/>
                <w:color w:val="auto"/>
              </w:rPr>
              <w:t>shall take resolutions and decide elections upon a</w:t>
            </w:r>
          </w:p>
        </w:tc>
      </w:tr>
      <w:tr>
        <w:trPr>
          <w:trHeight w:val="228"/>
        </w:trPr>
        <w:tc>
          <w:tcPr>
            <w:tcW w:w="880" w:type="dxa"/>
            <w:vAlign w:val="bottom"/>
          </w:tcPr>
          <w:p>
            <w:pPr>
              <w:spacing w:after="0"/>
              <w:rPr>
                <w:sz w:val="19"/>
                <w:szCs w:val="19"/>
                <w:color w:val="auto"/>
              </w:rPr>
            </w:pPr>
          </w:p>
        </w:tc>
        <w:tc>
          <w:tcPr>
            <w:tcW w:w="4440" w:type="dxa"/>
            <w:vAlign w:val="bottom"/>
          </w:tcPr>
          <w:p>
            <w:pPr>
              <w:ind w:left="400"/>
              <w:spacing w:after="0"/>
              <w:rPr>
                <w:sz w:val="20"/>
                <w:szCs w:val="20"/>
                <w:color w:val="auto"/>
              </w:rPr>
            </w:pPr>
            <w:r>
              <w:rPr>
                <w:rFonts w:ascii="Arial" w:cs="Arial" w:eastAsia="Arial" w:hAnsi="Arial"/>
                <w:sz w:val="17"/>
                <w:szCs w:val="17"/>
                <w:color w:val="auto"/>
              </w:rPr>
              <w:t>Aktienstimmen.</w:t>
            </w:r>
          </w:p>
        </w:tc>
        <w:tc>
          <w:tcPr>
            <w:tcW w:w="98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Arial" w:cs="Arial" w:eastAsia="Arial" w:hAnsi="Arial"/>
                <w:sz w:val="17"/>
                <w:szCs w:val="17"/>
                <w:color w:val="auto"/>
              </w:rPr>
              <w:t>majority of the votes represented at the general</w:t>
            </w:r>
          </w:p>
        </w:tc>
      </w:tr>
      <w:tr>
        <w:trPr>
          <w:trHeight w:val="241"/>
        </w:trPr>
        <w:tc>
          <w:tcPr>
            <w:tcW w:w="8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7"/>
                <w:szCs w:val="17"/>
                <w:color w:val="auto"/>
              </w:rPr>
              <w:t>meeting of shareholders.</w:t>
            </w:r>
          </w:p>
        </w:tc>
      </w:tr>
    </w:tbl>
    <w:p>
      <w:pPr>
        <w:sectPr>
          <w:pgSz w:w="11900" w:h="16838" w:orient="portrait"/>
          <w:cols w:equalWidth="0" w:num="1">
            <w:col w:w="10580"/>
          </w:cols>
          <w:pgMar w:left="360" w:top="132" w:right="959" w:bottom="1440" w:gutter="0" w:footer="0" w:header="0"/>
          <w:type w:val="continuous"/>
        </w:sectPr>
      </w:pPr>
    </w:p>
    <w:bookmarkStart w:id="238" w:name="page239"/>
    <w:bookmarkEnd w:id="238"/>
    <w:p>
      <w:pPr>
        <w:jc w:val="center"/>
        <w:ind w:right="500"/>
        <w:spacing w:after="0"/>
        <w:rPr>
          <w:sz w:val="20"/>
          <w:szCs w:val="20"/>
          <w:color w:val="auto"/>
        </w:rPr>
      </w:pPr>
      <w:r>
        <w:rPr>
          <w:rFonts w:ascii="Arial" w:cs="Arial" w:eastAsia="Arial" w:hAnsi="Arial"/>
          <w:sz w:val="13"/>
          <w:szCs w:val="13"/>
          <w:color w:val="auto"/>
        </w:rPr>
        <w:t>- 17 -</w:t>
      </w:r>
    </w:p>
    <w:p>
      <w:pPr>
        <w:sectPr>
          <w:pgSz w:w="11900" w:h="16838" w:orient="portrait"/>
          <w:cols w:equalWidth="0" w:num="1">
            <w:col w:w="9500"/>
          </w:cols>
          <w:pgMar w:left="144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00" w:right="305" w:hanging="239"/>
        <w:spacing w:after="0" w:line="296" w:lineRule="auto"/>
        <w:tabs>
          <w:tab w:leader="none" w:pos="1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Ein Beschluss der Generalversammlung, der mindestens zwei Drittel der vertretenen Stimmen und die Mehrheit der vertretenen Aktiennennwerte auf sich vereinigt, ist erforderlich für:</w:t>
      </w:r>
    </w:p>
    <w:p>
      <w:pPr>
        <w:spacing w:after="0" w:line="23" w:lineRule="exact"/>
        <w:rPr>
          <w:sz w:val="20"/>
          <w:szCs w:val="20"/>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Änderung des Gesellschaftszweckes;</w:t>
      </w:r>
    </w:p>
    <w:p>
      <w:pPr>
        <w:spacing w:after="0" w:line="83"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Zusammenlegung von Aktien;</w:t>
      </w:r>
    </w:p>
    <w:p>
      <w:pPr>
        <w:spacing w:after="0" w:line="95"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Einführung von Stimmrechtsaktien;</w:t>
      </w:r>
    </w:p>
    <w:p>
      <w:pPr>
        <w:spacing w:after="0" w:line="83"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Beschränkung  der  Übertragbarkeit  von</w:t>
      </w:r>
    </w:p>
    <w:p>
      <w:pPr>
        <w:spacing w:after="0" w:line="45" w:lineRule="exact"/>
        <w:rPr>
          <w:rFonts w:ascii="Arial" w:cs="Arial" w:eastAsia="Arial" w:hAnsi="Arial"/>
          <w:sz w:val="17"/>
          <w:szCs w:val="17"/>
          <w:color w:val="auto"/>
        </w:rPr>
      </w:pPr>
    </w:p>
    <w:p>
      <w:pPr>
        <w:ind w:left="620" w:right="325"/>
        <w:spacing w:after="0" w:line="313" w:lineRule="auto"/>
        <w:rPr>
          <w:rFonts w:ascii="Arial" w:cs="Arial" w:eastAsia="Arial" w:hAnsi="Arial"/>
          <w:sz w:val="17"/>
          <w:szCs w:val="17"/>
          <w:color w:val="auto"/>
        </w:rPr>
      </w:pPr>
      <w:r>
        <w:rPr>
          <w:rFonts w:ascii="Arial" w:cs="Arial" w:eastAsia="Arial" w:hAnsi="Arial"/>
          <w:sz w:val="17"/>
          <w:szCs w:val="17"/>
          <w:color w:val="auto"/>
        </w:rPr>
        <w:t>Namenaktien und die Aufhebung einer solchen Beschränkung;</w:t>
      </w:r>
    </w:p>
    <w:p>
      <w:pPr>
        <w:spacing w:after="0" w:line="9" w:lineRule="exact"/>
        <w:rPr>
          <w:rFonts w:ascii="Arial" w:cs="Arial" w:eastAsia="Arial" w:hAnsi="Arial"/>
          <w:sz w:val="17"/>
          <w:szCs w:val="17"/>
          <w:color w:val="auto"/>
        </w:rPr>
      </w:pPr>
    </w:p>
    <w:p>
      <w:pPr>
        <w:ind w:left="620" w:right="305" w:hanging="415"/>
        <w:spacing w:after="0" w:line="318" w:lineRule="auto"/>
        <w:tabs>
          <w:tab w:leader="none" w:pos="61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Einführung eines bedingten Kapitals oder die Einführung eines Kapitalbands;</w:t>
      </w:r>
    </w:p>
    <w:p>
      <w:pPr>
        <w:spacing w:after="0" w:line="1"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Kapitalerhöhung aus Eigenkapital, gegen</w:t>
      </w:r>
    </w:p>
    <w:p>
      <w:pPr>
        <w:spacing w:after="0" w:line="45" w:lineRule="exact"/>
        <w:rPr>
          <w:rFonts w:ascii="Arial" w:cs="Arial" w:eastAsia="Arial" w:hAnsi="Arial"/>
          <w:sz w:val="17"/>
          <w:szCs w:val="17"/>
          <w:color w:val="auto"/>
        </w:rPr>
      </w:pPr>
    </w:p>
    <w:p>
      <w:pPr>
        <w:jc w:val="both"/>
        <w:ind w:left="620" w:right="305"/>
        <w:spacing w:after="0" w:line="304" w:lineRule="auto"/>
        <w:rPr>
          <w:rFonts w:ascii="Arial" w:cs="Arial" w:eastAsia="Arial" w:hAnsi="Arial"/>
          <w:sz w:val="17"/>
          <w:szCs w:val="17"/>
          <w:color w:val="auto"/>
        </w:rPr>
      </w:pPr>
      <w:r>
        <w:rPr>
          <w:rFonts w:ascii="Arial" w:cs="Arial" w:eastAsia="Arial" w:hAnsi="Arial"/>
          <w:sz w:val="17"/>
          <w:szCs w:val="17"/>
          <w:color w:val="auto"/>
        </w:rPr>
        <w:t>Sacheinlage oder durch Verrechnung mit einer Forderung und die Gewährung von besonderen Vorteilen;</w:t>
      </w:r>
    </w:p>
    <w:p>
      <w:pPr>
        <w:spacing w:after="0" w:line="4" w:lineRule="exact"/>
        <w:rPr>
          <w:rFonts w:ascii="Arial" w:cs="Arial" w:eastAsia="Arial" w:hAnsi="Arial"/>
          <w:sz w:val="17"/>
          <w:szCs w:val="17"/>
          <w:color w:val="auto"/>
        </w:rPr>
      </w:pPr>
    </w:p>
    <w:p>
      <w:pPr>
        <w:ind w:left="620" w:right="305" w:hanging="415"/>
        <w:spacing w:after="0" w:line="318" w:lineRule="auto"/>
        <w:tabs>
          <w:tab w:leader="none" w:pos="61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Einschränkung oder Aufhebung des Bezugsrechtes;</w:t>
      </w:r>
    </w:p>
    <w:p>
      <w:pPr>
        <w:spacing w:after="0" w:line="1" w:lineRule="exact"/>
        <w:rPr>
          <w:rFonts w:ascii="Arial" w:cs="Arial" w:eastAsia="Arial" w:hAnsi="Arial"/>
          <w:sz w:val="17"/>
          <w:szCs w:val="17"/>
          <w:color w:val="auto"/>
        </w:rPr>
      </w:pPr>
    </w:p>
    <w:p>
      <w:pPr>
        <w:ind w:left="620" w:right="305" w:hanging="415"/>
        <w:spacing w:after="0" w:line="318" w:lineRule="auto"/>
        <w:tabs>
          <w:tab w:leader="none" w:pos="61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Einführung des Stichentscheids des Vorsitzenden in der Generalversammlung;</w:t>
      </w:r>
    </w:p>
    <w:p>
      <w:pPr>
        <w:spacing w:after="0" w:line="1" w:lineRule="exact"/>
        <w:rPr>
          <w:rFonts w:ascii="Arial" w:cs="Arial" w:eastAsia="Arial" w:hAnsi="Arial"/>
          <w:sz w:val="17"/>
          <w:szCs w:val="17"/>
          <w:color w:val="auto"/>
        </w:rPr>
      </w:pPr>
    </w:p>
    <w:p>
      <w:pPr>
        <w:ind w:left="620" w:right="305" w:hanging="415"/>
        <w:spacing w:after="0" w:line="318" w:lineRule="auto"/>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Dekotierung der Beteiligungspapiere der Gesellschaft</w:t>
      </w:r>
    </w:p>
    <w:p>
      <w:pPr>
        <w:spacing w:after="0" w:line="1"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Verlegung des Sitzes der Gesellschaft;</w:t>
      </w:r>
    </w:p>
    <w:p>
      <w:pPr>
        <w:spacing w:after="0" w:line="95"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den Wechsel der Währung des Aktienkapitals;</w:t>
      </w:r>
    </w:p>
    <w:p>
      <w:pPr>
        <w:spacing w:after="0" w:line="83" w:lineRule="exact"/>
        <w:rPr>
          <w:rFonts w:ascii="Arial" w:cs="Arial" w:eastAsia="Arial" w:hAnsi="Arial"/>
          <w:sz w:val="17"/>
          <w:szCs w:val="17"/>
          <w:color w:val="auto"/>
        </w:rPr>
      </w:pPr>
    </w:p>
    <w:p>
      <w:pPr>
        <w:ind w:left="620" w:right="305" w:hanging="415"/>
        <w:spacing w:after="0" w:line="318" w:lineRule="auto"/>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dieEinführung einer statutarischen Schiedsklausel; und</w:t>
      </w:r>
    </w:p>
    <w:p>
      <w:pPr>
        <w:spacing w:after="0" w:line="1" w:lineRule="exact"/>
        <w:rPr>
          <w:rFonts w:ascii="Arial" w:cs="Arial" w:eastAsia="Arial" w:hAnsi="Arial"/>
          <w:sz w:val="17"/>
          <w:szCs w:val="17"/>
          <w:color w:val="auto"/>
        </w:rPr>
      </w:pPr>
    </w:p>
    <w:p>
      <w:pPr>
        <w:ind w:left="620" w:hanging="415"/>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die Auflösung der Gesellschaft.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35" w:hanging="235"/>
        <w:spacing w:after="0" w:line="287" w:lineRule="auto"/>
        <w:tabs>
          <w:tab w:leader="none" w:pos="235" w:val="left"/>
        </w:tabs>
        <w:numPr>
          <w:ilvl w:val="0"/>
          <w:numId w:val="146"/>
        </w:numPr>
        <w:rPr>
          <w:rFonts w:ascii="Arial" w:cs="Arial" w:eastAsia="Arial" w:hAnsi="Arial"/>
          <w:sz w:val="13"/>
          <w:szCs w:val="13"/>
          <w:color w:val="auto"/>
        </w:rPr>
      </w:pPr>
      <w:r>
        <w:rPr>
          <w:rFonts w:ascii="Arial" w:cs="Arial" w:eastAsia="Arial" w:hAnsi="Arial"/>
          <w:sz w:val="17"/>
          <w:szCs w:val="17"/>
          <w:color w:val="auto"/>
        </w:rPr>
        <w:t>The approval of at least two-thirds of the votes and the majority of the par value of shares, each as</w:t>
      </w:r>
    </w:p>
    <w:p>
      <w:pPr>
        <w:spacing w:after="0" w:line="1" w:lineRule="exact"/>
        <w:rPr>
          <w:rFonts w:ascii="Arial" w:cs="Arial" w:eastAsia="Arial" w:hAnsi="Arial"/>
          <w:sz w:val="13"/>
          <w:szCs w:val="13"/>
          <w:color w:val="auto"/>
        </w:rPr>
      </w:pPr>
    </w:p>
    <w:p>
      <w:pPr>
        <w:ind w:left="235"/>
        <w:spacing w:after="0" w:line="313" w:lineRule="auto"/>
        <w:rPr>
          <w:rFonts w:ascii="Arial" w:cs="Arial" w:eastAsia="Arial" w:hAnsi="Arial"/>
          <w:sz w:val="13"/>
          <w:szCs w:val="13"/>
          <w:color w:val="auto"/>
        </w:rPr>
      </w:pPr>
      <w:r>
        <w:rPr>
          <w:rFonts w:ascii="Arial" w:cs="Arial" w:eastAsia="Arial" w:hAnsi="Arial"/>
          <w:sz w:val="17"/>
          <w:szCs w:val="17"/>
          <w:color w:val="auto"/>
        </w:rPr>
        <w:t>represented at a general meeting of shareholders, shall be required for resolutions with respect to:</w:t>
      </w:r>
    </w:p>
    <w:p>
      <w:pPr>
        <w:spacing w:after="0" w:line="9" w:lineRule="exact"/>
        <w:rPr>
          <w:rFonts w:ascii="Arial" w:cs="Arial" w:eastAsia="Arial" w:hAnsi="Arial"/>
          <w:sz w:val="13"/>
          <w:szCs w:val="13"/>
          <w:color w:val="auto"/>
        </w:rPr>
      </w:pPr>
    </w:p>
    <w:p>
      <w:pPr>
        <w:ind w:left="655" w:hanging="414"/>
        <w:spacing w:after="0" w:line="313" w:lineRule="auto"/>
        <w:tabs>
          <w:tab w:leader="none" w:pos="64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amendment or modification of the purpose of the Company;</w:t>
      </w:r>
    </w:p>
    <w:p>
      <w:pPr>
        <w:spacing w:after="0" w:line="9" w:lineRule="exact"/>
        <w:rPr>
          <w:rFonts w:ascii="Arial" w:cs="Arial" w:eastAsia="Arial" w:hAnsi="Arial"/>
          <w:sz w:val="17"/>
          <w:szCs w:val="17"/>
          <w:color w:val="auto"/>
        </w:rPr>
      </w:pPr>
    </w:p>
    <w:p>
      <w:pPr>
        <w:ind w:left="655" w:hanging="414"/>
        <w:spacing w:after="0"/>
        <w:tabs>
          <w:tab w:leader="none" w:pos="6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combination of shares;</w:t>
      </w:r>
    </w:p>
    <w:p>
      <w:pPr>
        <w:spacing w:after="0" w:line="83" w:lineRule="exact"/>
        <w:rPr>
          <w:rFonts w:ascii="Arial" w:cs="Arial" w:eastAsia="Arial" w:hAnsi="Arial"/>
          <w:sz w:val="17"/>
          <w:szCs w:val="17"/>
          <w:color w:val="auto"/>
        </w:rPr>
      </w:pPr>
    </w:p>
    <w:p>
      <w:pPr>
        <w:ind w:left="655" w:right="20" w:hanging="414"/>
        <w:spacing w:after="0" w:line="318" w:lineRule="auto"/>
        <w:tabs>
          <w:tab w:leader="none" w:pos="65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creation of shares with privileged voting rights;</w:t>
      </w:r>
    </w:p>
    <w:p>
      <w:pPr>
        <w:spacing w:after="0" w:line="1" w:lineRule="exact"/>
        <w:rPr>
          <w:rFonts w:ascii="Arial" w:cs="Arial" w:eastAsia="Arial" w:hAnsi="Arial"/>
          <w:sz w:val="17"/>
          <w:szCs w:val="17"/>
          <w:color w:val="auto"/>
        </w:rPr>
      </w:pPr>
    </w:p>
    <w:p>
      <w:pPr>
        <w:ind w:left="655" w:hanging="414"/>
        <w:spacing w:after="0" w:line="326" w:lineRule="auto"/>
        <w:tabs>
          <w:tab w:leader="none" w:pos="64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restriction on the transferability of registered shares and the cancelation of such restriction;</w:t>
      </w:r>
    </w:p>
    <w:p>
      <w:pPr>
        <w:ind w:left="655" w:hanging="414"/>
        <w:spacing w:after="0" w:line="313" w:lineRule="auto"/>
        <w:tabs>
          <w:tab w:leader="none" w:pos="64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introduction of conditional share capital or the introduction of a capital range;</w:t>
      </w:r>
    </w:p>
    <w:p>
      <w:pPr>
        <w:spacing w:after="0" w:line="9" w:lineRule="exact"/>
        <w:rPr>
          <w:rFonts w:ascii="Arial" w:cs="Arial" w:eastAsia="Arial" w:hAnsi="Arial"/>
          <w:sz w:val="17"/>
          <w:szCs w:val="17"/>
          <w:color w:val="auto"/>
        </w:rPr>
      </w:pPr>
    </w:p>
    <w:p>
      <w:pPr>
        <w:jc w:val="both"/>
        <w:ind w:left="655" w:hanging="414"/>
        <w:spacing w:after="0" w:line="287" w:lineRule="auto"/>
        <w:tabs>
          <w:tab w:leader="none" w:pos="65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an increase of the share capital through the conversion of capital surplus, through</w:t>
      </w:r>
    </w:p>
    <w:p>
      <w:pPr>
        <w:spacing w:after="0" w:line="1" w:lineRule="exact"/>
        <w:rPr>
          <w:rFonts w:ascii="Arial" w:cs="Arial" w:eastAsia="Arial" w:hAnsi="Arial"/>
          <w:sz w:val="17"/>
          <w:szCs w:val="17"/>
          <w:color w:val="auto"/>
        </w:rPr>
      </w:pPr>
    </w:p>
    <w:p>
      <w:pPr>
        <w:ind w:left="655"/>
        <w:spacing w:after="0" w:line="313" w:lineRule="auto"/>
        <w:rPr>
          <w:rFonts w:ascii="Arial" w:cs="Arial" w:eastAsia="Arial" w:hAnsi="Arial"/>
          <w:sz w:val="17"/>
          <w:szCs w:val="17"/>
          <w:color w:val="auto"/>
        </w:rPr>
      </w:pPr>
      <w:r>
        <w:rPr>
          <w:rFonts w:ascii="Arial" w:cs="Arial" w:eastAsia="Arial" w:hAnsi="Arial"/>
          <w:sz w:val="17"/>
          <w:szCs w:val="17"/>
          <w:color w:val="auto"/>
        </w:rPr>
        <w:t>contribution in kind, by set-off against a claim, or the granting of special privileges;</w:t>
      </w:r>
    </w:p>
    <w:p>
      <w:pPr>
        <w:spacing w:after="0" w:line="9" w:lineRule="exact"/>
        <w:rPr>
          <w:rFonts w:ascii="Arial" w:cs="Arial" w:eastAsia="Arial" w:hAnsi="Arial"/>
          <w:sz w:val="17"/>
          <w:szCs w:val="17"/>
          <w:color w:val="auto"/>
        </w:rPr>
      </w:pPr>
    </w:p>
    <w:p>
      <w:pPr>
        <w:ind w:left="655" w:hanging="414"/>
        <w:spacing w:after="0"/>
        <w:tabs>
          <w:tab w:leader="none" w:pos="6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limitation or withdrawal of preemptive rights;</w:t>
      </w:r>
    </w:p>
    <w:p>
      <w:pPr>
        <w:spacing w:after="0" w:line="83" w:lineRule="exact"/>
        <w:rPr>
          <w:rFonts w:ascii="Arial" w:cs="Arial" w:eastAsia="Arial" w:hAnsi="Arial"/>
          <w:sz w:val="17"/>
          <w:szCs w:val="17"/>
          <w:color w:val="auto"/>
        </w:rPr>
      </w:pPr>
    </w:p>
    <w:p>
      <w:pPr>
        <w:ind w:left="655" w:hanging="414"/>
        <w:spacing w:after="0" w:line="318" w:lineRule="auto"/>
        <w:tabs>
          <w:tab w:leader="none" w:pos="64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introduction of the casting vote of the acting chair in the general meeting of shareholders;</w:t>
      </w:r>
    </w:p>
    <w:p>
      <w:pPr>
        <w:spacing w:after="0" w:line="1" w:lineRule="exact"/>
        <w:rPr>
          <w:rFonts w:ascii="Arial" w:cs="Arial" w:eastAsia="Arial" w:hAnsi="Arial"/>
          <w:sz w:val="17"/>
          <w:szCs w:val="17"/>
          <w:color w:val="auto"/>
        </w:rPr>
      </w:pPr>
    </w:p>
    <w:p>
      <w:pPr>
        <w:ind w:left="655" w:hanging="414"/>
        <w:spacing w:after="0"/>
        <w:tabs>
          <w:tab w:leader="none" w:pos="6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delisting of the Company's equity securities;</w:t>
      </w:r>
    </w:p>
    <w:p>
      <w:pPr>
        <w:spacing w:after="0" w:line="95" w:lineRule="exact"/>
        <w:rPr>
          <w:rFonts w:ascii="Arial" w:cs="Arial" w:eastAsia="Arial" w:hAnsi="Arial"/>
          <w:sz w:val="17"/>
          <w:szCs w:val="17"/>
          <w:color w:val="auto"/>
        </w:rPr>
      </w:pPr>
    </w:p>
    <w:p>
      <w:pPr>
        <w:ind w:left="655" w:hanging="414"/>
        <w:spacing w:after="0" w:line="313" w:lineRule="auto"/>
        <w:tabs>
          <w:tab w:leader="none" w:pos="65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relocation of the registered office of the Company;</w:t>
      </w:r>
    </w:p>
    <w:p>
      <w:pPr>
        <w:spacing w:after="0" w:line="9" w:lineRule="exact"/>
        <w:rPr>
          <w:rFonts w:ascii="Arial" w:cs="Arial" w:eastAsia="Arial" w:hAnsi="Arial"/>
          <w:sz w:val="17"/>
          <w:szCs w:val="17"/>
          <w:color w:val="auto"/>
        </w:rPr>
      </w:pPr>
    </w:p>
    <w:p>
      <w:pPr>
        <w:ind w:left="655" w:hanging="414"/>
        <w:spacing w:after="0"/>
        <w:tabs>
          <w:tab w:leader="none" w:pos="6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change of currency of the share capital;</w:t>
      </w:r>
    </w:p>
    <w:p>
      <w:pPr>
        <w:spacing w:after="0" w:line="83" w:lineRule="exact"/>
        <w:rPr>
          <w:rFonts w:ascii="Arial" w:cs="Arial" w:eastAsia="Arial" w:hAnsi="Arial"/>
          <w:sz w:val="17"/>
          <w:szCs w:val="17"/>
          <w:color w:val="auto"/>
        </w:rPr>
      </w:pPr>
    </w:p>
    <w:p>
      <w:pPr>
        <w:ind w:left="655" w:hanging="414"/>
        <w:spacing w:after="0" w:line="318" w:lineRule="auto"/>
        <w:tabs>
          <w:tab w:leader="none" w:pos="65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introduction of an arbitration clause in the Articles of Incorporation; and</w:t>
      </w:r>
    </w:p>
    <w:p>
      <w:pPr>
        <w:spacing w:after="0" w:line="1" w:lineRule="exact"/>
        <w:rPr>
          <w:rFonts w:ascii="Arial" w:cs="Arial" w:eastAsia="Arial" w:hAnsi="Arial"/>
          <w:sz w:val="17"/>
          <w:szCs w:val="17"/>
          <w:color w:val="auto"/>
        </w:rPr>
      </w:pPr>
    </w:p>
    <w:p>
      <w:pPr>
        <w:ind w:left="655" w:hanging="414"/>
        <w:spacing w:after="0"/>
        <w:tabs>
          <w:tab w:leader="none" w:pos="65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dissolution of the Company.</w:t>
      </w:r>
    </w:p>
    <w:p>
      <w:pPr>
        <w:sectPr>
          <w:pgSz w:w="11900" w:h="16838" w:orient="portrait"/>
          <w:cols w:equalWidth="0" w:num="2">
            <w:col w:w="4525" w:space="720"/>
            <w:col w:w="4255"/>
          </w:cols>
          <w:pgMar w:left="1440" w:top="132" w:right="959" w:bottom="1440" w:gutter="0" w:footer="0" w:header="0"/>
          <w:type w:val="continuous"/>
        </w:sectPr>
      </w:pPr>
    </w:p>
    <w:bookmarkStart w:id="239" w:name="page240"/>
    <w:bookmarkEnd w:id="239"/>
    <w:p>
      <w:pPr>
        <w:jc w:val="center"/>
        <w:ind w:right="465"/>
        <w:spacing w:after="0"/>
        <w:rPr>
          <w:sz w:val="20"/>
          <w:szCs w:val="20"/>
          <w:color w:val="auto"/>
        </w:rPr>
      </w:pPr>
      <w:r>
        <w:rPr>
          <w:rFonts w:ascii="Arial" w:cs="Arial" w:eastAsia="Arial" w:hAnsi="Arial"/>
          <w:sz w:val="13"/>
          <w:szCs w:val="13"/>
          <w:color w:val="auto"/>
        </w:rPr>
        <w:t>- 18 -</w:t>
      </w:r>
    </w:p>
    <w:p>
      <w:pPr>
        <w:sectPr>
          <w:pgSz w:w="11900" w:h="16838" w:orient="portrait"/>
          <w:cols w:equalWidth="0" w:num="1">
            <w:col w:w="9535"/>
          </w:cols>
          <w:pgMar w:left="1405"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235" w:right="305" w:hanging="235"/>
        <w:spacing w:after="0" w:line="287" w:lineRule="auto"/>
        <w:tabs>
          <w:tab w:leader="none" w:pos="235" w:val="left"/>
        </w:tabs>
        <w:numPr>
          <w:ilvl w:val="0"/>
          <w:numId w:val="147"/>
        </w:numPr>
        <w:rPr>
          <w:rFonts w:ascii="Arial" w:cs="Arial" w:eastAsia="Arial" w:hAnsi="Arial"/>
          <w:sz w:val="13"/>
          <w:szCs w:val="13"/>
          <w:color w:val="auto"/>
        </w:rPr>
      </w:pPr>
      <w:r>
        <w:rPr>
          <w:rFonts w:ascii="Arial" w:cs="Arial" w:eastAsia="Arial" w:hAnsi="Arial"/>
          <w:sz w:val="17"/>
          <w:szCs w:val="17"/>
          <w:color w:val="auto"/>
        </w:rPr>
        <w:t>Die Abstimmungen und Wahlen erfolgen offen, es sei denn, dass die Generalversammlung schriftliche</w:t>
      </w:r>
    </w:p>
    <w:p>
      <w:pPr>
        <w:spacing w:after="0" w:line="1" w:lineRule="exact"/>
        <w:rPr>
          <w:rFonts w:ascii="Arial" w:cs="Arial" w:eastAsia="Arial" w:hAnsi="Arial"/>
          <w:sz w:val="13"/>
          <w:szCs w:val="13"/>
          <w:color w:val="auto"/>
        </w:rPr>
      </w:pPr>
    </w:p>
    <w:p>
      <w:pPr>
        <w:jc w:val="both"/>
        <w:ind w:left="235" w:right="305"/>
        <w:spacing w:after="0" w:line="304" w:lineRule="auto"/>
        <w:rPr>
          <w:rFonts w:ascii="Arial" w:cs="Arial" w:eastAsia="Arial" w:hAnsi="Arial"/>
          <w:sz w:val="13"/>
          <w:szCs w:val="13"/>
          <w:color w:val="auto"/>
        </w:rPr>
      </w:pPr>
      <w:r>
        <w:rPr>
          <w:rFonts w:ascii="Arial" w:cs="Arial" w:eastAsia="Arial" w:hAnsi="Arial"/>
          <w:sz w:val="17"/>
          <w:szCs w:val="17"/>
          <w:color w:val="auto"/>
        </w:rPr>
        <w:t>Abstimmung respektive Wahl (einschliesslich elektronische Abstimmungsverfahren) beschliesst oder der Vorsitzende dies anordnet.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235" w:hanging="235"/>
        <w:spacing w:after="0" w:line="305" w:lineRule="auto"/>
        <w:tabs>
          <w:tab w:leader="none" w:pos="235" w:val="left"/>
        </w:tabs>
        <w:numPr>
          <w:ilvl w:val="0"/>
          <w:numId w:val="148"/>
        </w:numPr>
        <w:rPr>
          <w:rFonts w:ascii="Arial" w:cs="Arial" w:eastAsia="Arial" w:hAnsi="Arial"/>
          <w:sz w:val="13"/>
          <w:szCs w:val="13"/>
          <w:color w:val="auto"/>
        </w:rPr>
      </w:pPr>
      <w:r>
        <w:rPr>
          <w:rFonts w:ascii="Arial" w:cs="Arial" w:eastAsia="Arial" w:hAnsi="Arial"/>
          <w:sz w:val="16"/>
          <w:szCs w:val="16"/>
          <w:color w:val="auto"/>
        </w:rPr>
        <w:t>Resolutions and elections shall be decided by a show of hands, unless a written ballot (including electronic</w:t>
      </w:r>
    </w:p>
    <w:p>
      <w:pPr>
        <w:jc w:val="both"/>
        <w:ind w:left="235"/>
        <w:spacing w:after="0" w:line="304" w:lineRule="auto"/>
        <w:rPr>
          <w:rFonts w:ascii="Arial" w:cs="Arial" w:eastAsia="Arial" w:hAnsi="Arial"/>
          <w:sz w:val="13"/>
          <w:szCs w:val="13"/>
          <w:color w:val="auto"/>
        </w:rPr>
      </w:pPr>
      <w:r>
        <w:rPr>
          <w:rFonts w:ascii="Arial" w:cs="Arial" w:eastAsia="Arial" w:hAnsi="Arial"/>
          <w:sz w:val="17"/>
          <w:szCs w:val="17"/>
          <w:color w:val="auto"/>
        </w:rPr>
        <w:t>voting systems) is resolved by the general meeting of shareholders or is ordered by the acting chair of the general meeting of shareholders.</w:t>
      </w:r>
    </w:p>
    <w:p>
      <w:pPr>
        <w:sectPr>
          <w:pgSz w:w="11900" w:h="16838" w:orient="portrait"/>
          <w:cols w:equalWidth="0" w:num="2">
            <w:col w:w="4561" w:space="720"/>
            <w:col w:w="4255"/>
          </w:cols>
          <w:pgMar w:left="1405" w:top="132" w:right="959" w:bottom="1440" w:gutter="0" w:footer="0" w:header="0"/>
          <w:type w:val="continuous"/>
        </w:sectPr>
      </w:pPr>
    </w:p>
    <w:bookmarkStart w:id="240" w:name="page241"/>
    <w:bookmarkEnd w:id="240"/>
    <w:p>
      <w:pPr>
        <w:ind w:left="5420"/>
        <w:spacing w:after="0"/>
        <w:rPr>
          <w:sz w:val="20"/>
          <w:szCs w:val="20"/>
          <w:color w:val="auto"/>
        </w:rPr>
      </w:pPr>
      <w:r>
        <w:rPr>
          <w:rFonts w:ascii="Arial" w:cs="Arial" w:eastAsia="Arial" w:hAnsi="Arial"/>
          <w:sz w:val="13"/>
          <w:szCs w:val="13"/>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320"/>
        <w:spacing w:after="0"/>
        <w:tabs>
          <w:tab w:leader="none" w:pos="6620" w:val="left"/>
        </w:tabs>
        <w:rPr>
          <w:sz w:val="20"/>
          <w:szCs w:val="20"/>
          <w:color w:val="auto"/>
        </w:rPr>
      </w:pPr>
      <w:r>
        <w:rPr>
          <w:rFonts w:ascii="Arial" w:cs="Arial" w:eastAsia="Arial" w:hAnsi="Arial"/>
          <w:sz w:val="17"/>
          <w:szCs w:val="17"/>
          <w:i w:val="1"/>
          <w:iCs w:val="1"/>
          <w:color w:val="auto"/>
        </w:rPr>
        <w:t>B. Verwaltungsrat</w:t>
      </w:r>
      <w:r>
        <w:rPr>
          <w:sz w:val="20"/>
          <w:szCs w:val="20"/>
          <w:color w:val="auto"/>
        </w:rPr>
        <w:tab/>
      </w:r>
      <w:r>
        <w:rPr>
          <w:rFonts w:ascii="Arial" w:cs="Arial" w:eastAsia="Arial" w:hAnsi="Arial"/>
          <w:sz w:val="16"/>
          <w:szCs w:val="16"/>
          <w:i w:val="1"/>
          <w:iCs w:val="1"/>
          <w:color w:val="auto"/>
        </w:rPr>
        <w:t>B.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00" w:type="dxa"/>
            <w:vAlign w:val="bottom"/>
          </w:tcPr>
          <w:p>
            <w:pPr>
              <w:spacing w:after="0"/>
              <w:rPr>
                <w:sz w:val="20"/>
                <w:szCs w:val="20"/>
                <w:color w:val="auto"/>
              </w:rPr>
            </w:pPr>
          </w:p>
        </w:tc>
        <w:tc>
          <w:tcPr>
            <w:tcW w:w="2360" w:type="dxa"/>
            <w:vAlign w:val="bottom"/>
            <w:gridSpan w:val="2"/>
          </w:tcPr>
          <w:p>
            <w:pPr>
              <w:ind w:left="300"/>
              <w:spacing w:after="0"/>
              <w:rPr>
                <w:sz w:val="20"/>
                <w:szCs w:val="20"/>
                <w:color w:val="auto"/>
              </w:rPr>
            </w:pPr>
            <w:r>
              <w:rPr>
                <w:rFonts w:ascii="Arial" w:cs="Arial" w:eastAsia="Arial" w:hAnsi="Arial"/>
                <w:sz w:val="17"/>
                <w:szCs w:val="17"/>
                <w:b w:val="1"/>
                <w:bCs w:val="1"/>
                <w:color w:val="auto"/>
              </w:rPr>
              <w:t>Artikel 15</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7"/>
                <w:szCs w:val="17"/>
                <w:b w:val="1"/>
                <w:bCs w:val="1"/>
                <w:color w:val="auto"/>
              </w:rPr>
              <w:t>Article 15</w:t>
            </w:r>
          </w:p>
        </w:tc>
      </w:tr>
      <w:tr>
        <w:trPr>
          <w:trHeight w:val="385"/>
        </w:trPr>
        <w:tc>
          <w:tcPr>
            <w:tcW w:w="1000" w:type="dxa"/>
            <w:vAlign w:val="bottom"/>
          </w:tcPr>
          <w:p>
            <w:pPr>
              <w:spacing w:after="0"/>
              <w:rPr>
                <w:sz w:val="20"/>
                <w:szCs w:val="20"/>
                <w:color w:val="auto"/>
              </w:rPr>
            </w:pPr>
            <w:r>
              <w:rPr>
                <w:rFonts w:ascii="Arial" w:cs="Arial" w:eastAsia="Arial" w:hAnsi="Arial"/>
                <w:sz w:val="13"/>
                <w:szCs w:val="13"/>
                <w:color w:val="auto"/>
              </w:rPr>
              <w:t>Anzahl der</w:t>
            </w: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Der Verwaltungsrat besteht aus mindestens 3 und</w:t>
            </w:r>
          </w:p>
        </w:tc>
        <w:tc>
          <w:tcPr>
            <w:tcW w:w="820" w:type="dxa"/>
            <w:vAlign w:val="bottom"/>
          </w:tcPr>
          <w:p>
            <w:pPr>
              <w:ind w:left="80"/>
              <w:spacing w:after="0"/>
              <w:rPr>
                <w:sz w:val="20"/>
                <w:szCs w:val="20"/>
                <w:color w:val="auto"/>
              </w:rPr>
            </w:pPr>
            <w:r>
              <w:rPr>
                <w:rFonts w:ascii="Arial" w:cs="Arial" w:eastAsia="Arial" w:hAnsi="Arial"/>
                <w:sz w:val="13"/>
                <w:szCs w:val="13"/>
                <w:color w:val="auto"/>
              </w:rPr>
              <w:t>Number of</w:t>
            </w:r>
          </w:p>
        </w:tc>
        <w:tc>
          <w:tcPr>
            <w:tcW w:w="4360" w:type="dxa"/>
            <w:vAlign w:val="bottom"/>
          </w:tcPr>
          <w:p>
            <w:pPr>
              <w:ind w:left="360"/>
              <w:spacing w:after="0"/>
              <w:rPr>
                <w:sz w:val="20"/>
                <w:szCs w:val="20"/>
                <w:color w:val="auto"/>
              </w:rPr>
            </w:pPr>
            <w:r>
              <w:rPr>
                <w:rFonts w:ascii="Arial" w:cs="Arial" w:eastAsia="Arial" w:hAnsi="Arial"/>
                <w:sz w:val="17"/>
                <w:szCs w:val="17"/>
                <w:color w:val="auto"/>
              </w:rPr>
              <w:t>The board of directors shall consist of no less than 3</w:t>
            </w:r>
          </w:p>
        </w:tc>
      </w:tr>
      <w:tr>
        <w:trPr>
          <w:trHeight w:val="241"/>
        </w:trPr>
        <w:tc>
          <w:tcPr>
            <w:tcW w:w="1000" w:type="dxa"/>
            <w:vAlign w:val="bottom"/>
          </w:tcPr>
          <w:p>
            <w:pPr>
              <w:spacing w:after="0"/>
              <w:rPr>
                <w:sz w:val="20"/>
                <w:szCs w:val="20"/>
                <w:color w:val="auto"/>
              </w:rPr>
            </w:pPr>
            <w:r>
              <w:rPr>
                <w:rFonts w:ascii="Arial" w:cs="Arial" w:eastAsia="Arial" w:hAnsi="Arial"/>
                <w:sz w:val="13"/>
                <w:szCs w:val="13"/>
                <w:color w:val="auto"/>
              </w:rPr>
              <w:t>Verwaltungsräte</w:t>
            </w:r>
          </w:p>
        </w:tc>
        <w:tc>
          <w:tcPr>
            <w:tcW w:w="2360" w:type="dxa"/>
            <w:vAlign w:val="bottom"/>
            <w:gridSpan w:val="2"/>
          </w:tcPr>
          <w:p>
            <w:pPr>
              <w:ind w:left="300"/>
              <w:spacing w:after="0"/>
              <w:rPr>
                <w:sz w:val="20"/>
                <w:szCs w:val="20"/>
                <w:color w:val="auto"/>
              </w:rPr>
            </w:pPr>
            <w:r>
              <w:rPr>
                <w:rFonts w:ascii="Arial" w:cs="Arial" w:eastAsia="Arial" w:hAnsi="Arial"/>
                <w:sz w:val="17"/>
                <w:szCs w:val="17"/>
                <w:color w:val="auto"/>
              </w:rPr>
              <w:t>höchstens 11 Mitgliedern.</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Directors</w:t>
            </w:r>
          </w:p>
        </w:tc>
        <w:tc>
          <w:tcPr>
            <w:tcW w:w="4360" w:type="dxa"/>
            <w:vAlign w:val="bottom"/>
          </w:tcPr>
          <w:p>
            <w:pPr>
              <w:ind w:left="360"/>
              <w:spacing w:after="0"/>
              <w:rPr>
                <w:sz w:val="20"/>
                <w:szCs w:val="20"/>
                <w:color w:val="auto"/>
              </w:rPr>
            </w:pPr>
            <w:r>
              <w:rPr>
                <w:rFonts w:ascii="Arial" w:cs="Arial" w:eastAsia="Arial" w:hAnsi="Arial"/>
                <w:sz w:val="17"/>
                <w:szCs w:val="17"/>
                <w:color w:val="auto"/>
              </w:rPr>
              <w:t>and no more than 11 members.</w:t>
            </w:r>
          </w:p>
        </w:tc>
      </w:tr>
      <w:tr>
        <w:trPr>
          <w:trHeight w:val="717"/>
        </w:trPr>
        <w:tc>
          <w:tcPr>
            <w:tcW w:w="1000" w:type="dxa"/>
            <w:vAlign w:val="bottom"/>
          </w:tcPr>
          <w:p>
            <w:pPr>
              <w:spacing w:after="0"/>
              <w:rPr>
                <w:sz w:val="24"/>
                <w:szCs w:val="24"/>
                <w:color w:val="auto"/>
              </w:rPr>
            </w:pPr>
          </w:p>
        </w:tc>
        <w:tc>
          <w:tcPr>
            <w:tcW w:w="2360" w:type="dxa"/>
            <w:vAlign w:val="bottom"/>
            <w:gridSpan w:val="2"/>
          </w:tcPr>
          <w:p>
            <w:pPr>
              <w:ind w:left="300"/>
              <w:spacing w:after="0"/>
              <w:rPr>
                <w:sz w:val="20"/>
                <w:szCs w:val="20"/>
                <w:color w:val="auto"/>
              </w:rPr>
            </w:pPr>
            <w:r>
              <w:rPr>
                <w:rFonts w:ascii="Arial" w:cs="Arial" w:eastAsia="Arial" w:hAnsi="Arial"/>
                <w:sz w:val="17"/>
                <w:szCs w:val="17"/>
                <w:b w:val="1"/>
                <w:bCs w:val="1"/>
                <w:color w:val="auto"/>
              </w:rPr>
              <w:t>Artikel 16</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60" w:type="dxa"/>
            <w:vAlign w:val="bottom"/>
          </w:tcPr>
          <w:p>
            <w:pPr>
              <w:ind w:left="360"/>
              <w:spacing w:after="0"/>
              <w:rPr>
                <w:sz w:val="20"/>
                <w:szCs w:val="20"/>
                <w:color w:val="auto"/>
              </w:rPr>
            </w:pPr>
            <w:r>
              <w:rPr>
                <w:rFonts w:ascii="Arial" w:cs="Arial" w:eastAsia="Arial" w:hAnsi="Arial"/>
                <w:sz w:val="17"/>
                <w:szCs w:val="17"/>
                <w:b w:val="1"/>
                <w:bCs w:val="1"/>
                <w:color w:val="auto"/>
              </w:rPr>
              <w:t>Article 16</w:t>
            </w:r>
          </w:p>
        </w:tc>
      </w:tr>
      <w:tr>
        <w:trPr>
          <w:trHeight w:val="385"/>
        </w:trPr>
        <w:tc>
          <w:tcPr>
            <w:tcW w:w="1000" w:type="dxa"/>
            <w:vAlign w:val="bottom"/>
          </w:tcPr>
          <w:p>
            <w:pPr>
              <w:spacing w:after="0"/>
              <w:rPr>
                <w:sz w:val="20"/>
                <w:szCs w:val="20"/>
                <w:color w:val="auto"/>
              </w:rPr>
            </w:pPr>
            <w:r>
              <w:rPr>
                <w:rFonts w:ascii="Arial" w:cs="Arial" w:eastAsia="Arial" w:hAnsi="Arial"/>
                <w:sz w:val="13"/>
                <w:szCs w:val="13"/>
                <w:color w:val="auto"/>
              </w:rPr>
              <w:t>Wahl,</w:t>
            </w:r>
          </w:p>
        </w:tc>
        <w:tc>
          <w:tcPr>
            <w:tcW w:w="4400" w:type="dxa"/>
            <w:vAlign w:val="bottom"/>
            <w:gridSpan w:val="5"/>
          </w:tcPr>
          <w:p>
            <w:pPr>
              <w:jc w:val="right"/>
              <w:ind w:right="16"/>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Mitglieder des Verwaltungsrats und der Präsident</w:t>
            </w:r>
          </w:p>
        </w:tc>
        <w:tc>
          <w:tcPr>
            <w:tcW w:w="820" w:type="dxa"/>
            <w:vAlign w:val="bottom"/>
          </w:tcPr>
          <w:p>
            <w:pPr>
              <w:ind w:left="80"/>
              <w:spacing w:after="0"/>
              <w:rPr>
                <w:sz w:val="20"/>
                <w:szCs w:val="20"/>
                <w:color w:val="auto"/>
              </w:rPr>
            </w:pPr>
            <w:r>
              <w:rPr>
                <w:rFonts w:ascii="Arial" w:cs="Arial" w:eastAsia="Arial" w:hAnsi="Arial"/>
                <w:sz w:val="13"/>
                <w:szCs w:val="13"/>
                <w:color w:val="auto"/>
              </w:rPr>
              <w:t>Election,</w:t>
            </w:r>
          </w:p>
        </w:tc>
        <w:tc>
          <w:tcPr>
            <w:tcW w:w="4360" w:type="dxa"/>
            <w:vAlign w:val="bottom"/>
          </w:tcPr>
          <w:p>
            <w:pPr>
              <w:ind w:left="1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shareholders shall elect the members of the</w:t>
            </w:r>
          </w:p>
        </w:tc>
      </w:tr>
      <w:tr>
        <w:trPr>
          <w:trHeight w:val="241"/>
        </w:trPr>
        <w:tc>
          <w:tcPr>
            <w:tcW w:w="1000" w:type="dxa"/>
            <w:vAlign w:val="bottom"/>
          </w:tcPr>
          <w:p>
            <w:pPr>
              <w:spacing w:after="0"/>
              <w:rPr>
                <w:sz w:val="20"/>
                <w:szCs w:val="20"/>
                <w:color w:val="auto"/>
              </w:rPr>
            </w:pPr>
            <w:r>
              <w:rPr>
                <w:rFonts w:ascii="Arial" w:cs="Arial" w:eastAsia="Arial" w:hAnsi="Arial"/>
                <w:sz w:val="13"/>
                <w:szCs w:val="13"/>
                <w:color w:val="auto"/>
              </w:rPr>
              <w:t>Amtsdauer</w:t>
            </w:r>
          </w:p>
        </w:tc>
        <w:tc>
          <w:tcPr>
            <w:tcW w:w="760" w:type="dxa"/>
            <w:vAlign w:val="bottom"/>
          </w:tcPr>
          <w:p>
            <w:pPr>
              <w:ind w:left="300"/>
              <w:spacing w:after="0"/>
              <w:rPr>
                <w:sz w:val="20"/>
                <w:szCs w:val="20"/>
                <w:color w:val="auto"/>
              </w:rPr>
            </w:pPr>
            <w:r>
              <w:rPr>
                <w:rFonts w:ascii="Arial" w:cs="Arial" w:eastAsia="Arial" w:hAnsi="Arial"/>
                <w:sz w:val="17"/>
                <w:szCs w:val="17"/>
                <w:color w:val="auto"/>
              </w:rPr>
              <w:t>des</w:t>
            </w:r>
          </w:p>
        </w:tc>
        <w:tc>
          <w:tcPr>
            <w:tcW w:w="1600" w:type="dxa"/>
            <w:vAlign w:val="bottom"/>
          </w:tcPr>
          <w:p>
            <w:pPr>
              <w:ind w:left="180"/>
              <w:spacing w:after="0"/>
              <w:rPr>
                <w:sz w:val="20"/>
                <w:szCs w:val="20"/>
                <w:color w:val="auto"/>
              </w:rPr>
            </w:pPr>
            <w:r>
              <w:rPr>
                <w:rFonts w:ascii="Arial" w:cs="Arial" w:eastAsia="Arial" w:hAnsi="Arial"/>
                <w:sz w:val="17"/>
                <w:szCs w:val="17"/>
                <w:color w:val="auto"/>
              </w:rPr>
              <w:t>Verwaltungsrats</w:t>
            </w:r>
          </w:p>
        </w:tc>
        <w:tc>
          <w:tcPr>
            <w:tcW w:w="880" w:type="dxa"/>
            <w:vAlign w:val="bottom"/>
          </w:tcPr>
          <w:p>
            <w:pPr>
              <w:ind w:left="140"/>
              <w:spacing w:after="0"/>
              <w:rPr>
                <w:sz w:val="20"/>
                <w:szCs w:val="20"/>
                <w:color w:val="auto"/>
              </w:rPr>
            </w:pPr>
            <w:r>
              <w:rPr>
                <w:rFonts w:ascii="Arial" w:cs="Arial" w:eastAsia="Arial" w:hAnsi="Arial"/>
                <w:sz w:val="17"/>
                <w:szCs w:val="17"/>
                <w:color w:val="auto"/>
              </w:rPr>
              <w:t>werden</w:t>
            </w:r>
          </w:p>
        </w:tc>
        <w:tc>
          <w:tcPr>
            <w:tcW w:w="640" w:type="dxa"/>
            <w:vAlign w:val="bottom"/>
          </w:tcPr>
          <w:p>
            <w:pPr>
              <w:ind w:left="180"/>
              <w:spacing w:after="0"/>
              <w:rPr>
                <w:sz w:val="20"/>
                <w:szCs w:val="20"/>
                <w:color w:val="auto"/>
              </w:rPr>
            </w:pPr>
            <w:r>
              <w:rPr>
                <w:rFonts w:ascii="Arial" w:cs="Arial" w:eastAsia="Arial" w:hAnsi="Arial"/>
                <w:sz w:val="17"/>
                <w:szCs w:val="17"/>
                <w:color w:val="auto"/>
              </w:rPr>
              <w:t>von</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der</w:t>
            </w:r>
          </w:p>
        </w:tc>
        <w:tc>
          <w:tcPr>
            <w:tcW w:w="820" w:type="dxa"/>
            <w:vAlign w:val="bottom"/>
          </w:tcPr>
          <w:p>
            <w:pPr>
              <w:ind w:left="80"/>
              <w:spacing w:after="0"/>
              <w:rPr>
                <w:sz w:val="20"/>
                <w:szCs w:val="20"/>
                <w:color w:val="auto"/>
              </w:rPr>
            </w:pPr>
            <w:r>
              <w:rPr>
                <w:rFonts w:ascii="Arial" w:cs="Arial" w:eastAsia="Arial" w:hAnsi="Arial"/>
                <w:sz w:val="13"/>
                <w:szCs w:val="13"/>
                <w:color w:val="auto"/>
              </w:rPr>
              <w:t>Term of</w:t>
            </w:r>
          </w:p>
        </w:tc>
        <w:tc>
          <w:tcPr>
            <w:tcW w:w="4360" w:type="dxa"/>
            <w:vAlign w:val="bottom"/>
          </w:tcPr>
          <w:p>
            <w:pPr>
              <w:ind w:left="360"/>
              <w:spacing w:after="0"/>
              <w:rPr>
                <w:sz w:val="20"/>
                <w:szCs w:val="20"/>
                <w:color w:val="auto"/>
              </w:rPr>
            </w:pPr>
            <w:r>
              <w:rPr>
                <w:rFonts w:ascii="Arial" w:cs="Arial" w:eastAsia="Arial" w:hAnsi="Arial"/>
                <w:sz w:val="17"/>
                <w:szCs w:val="17"/>
                <w:color w:val="auto"/>
              </w:rPr>
              <w:t>board of directors and the chair of the board of</w:t>
            </w:r>
          </w:p>
        </w:tc>
      </w:tr>
      <w:tr>
        <w:trPr>
          <w:trHeight w:val="228"/>
        </w:trPr>
        <w:tc>
          <w:tcPr>
            <w:tcW w:w="1000" w:type="dxa"/>
            <w:vAlign w:val="bottom"/>
          </w:tcPr>
          <w:p>
            <w:pPr>
              <w:spacing w:after="0"/>
              <w:rPr>
                <w:sz w:val="19"/>
                <w:szCs w:val="19"/>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Generalversammlung einzeln für eine Amtsdauer bis</w:t>
            </w:r>
          </w:p>
        </w:tc>
        <w:tc>
          <w:tcPr>
            <w:tcW w:w="820" w:type="dxa"/>
            <w:vAlign w:val="bottom"/>
          </w:tcPr>
          <w:p>
            <w:pPr>
              <w:ind w:left="80"/>
              <w:spacing w:after="0"/>
              <w:rPr>
                <w:sz w:val="20"/>
                <w:szCs w:val="20"/>
                <w:color w:val="auto"/>
              </w:rPr>
            </w:pPr>
            <w:r>
              <w:rPr>
                <w:rFonts w:ascii="Arial" w:cs="Arial" w:eastAsia="Arial" w:hAnsi="Arial"/>
                <w:sz w:val="13"/>
                <w:szCs w:val="13"/>
                <w:color w:val="auto"/>
              </w:rPr>
              <w:t>Office</w:t>
            </w:r>
          </w:p>
        </w:tc>
        <w:tc>
          <w:tcPr>
            <w:tcW w:w="4360" w:type="dxa"/>
            <w:vAlign w:val="bottom"/>
          </w:tcPr>
          <w:p>
            <w:pPr>
              <w:ind w:left="360"/>
              <w:spacing w:after="0"/>
              <w:rPr>
                <w:sz w:val="20"/>
                <w:szCs w:val="20"/>
                <w:color w:val="auto"/>
              </w:rPr>
            </w:pPr>
            <w:r>
              <w:rPr>
                <w:rFonts w:ascii="Arial" w:cs="Arial" w:eastAsia="Arial" w:hAnsi="Arial"/>
                <w:sz w:val="17"/>
                <w:szCs w:val="17"/>
                <w:color w:val="auto"/>
              </w:rPr>
              <w:t>directors  individually  at  a  general  meeting  of</w:t>
            </w:r>
          </w:p>
        </w:tc>
      </w:tr>
      <w:tr>
        <w:trPr>
          <w:trHeight w:val="241"/>
        </w:trPr>
        <w:tc>
          <w:tcPr>
            <w:tcW w:w="1000" w:type="dxa"/>
            <w:vAlign w:val="bottom"/>
          </w:tcPr>
          <w:p>
            <w:pPr>
              <w:spacing w:after="0"/>
              <w:rPr>
                <w:sz w:val="20"/>
                <w:szCs w:val="20"/>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zum   Abschluss   der   nächsten   ordentlichen</w:t>
            </w:r>
          </w:p>
        </w:tc>
        <w:tc>
          <w:tcPr>
            <w:tcW w:w="8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shareholders  for  a  term  of  office  extending  until</w:t>
            </w:r>
          </w:p>
        </w:tc>
      </w:tr>
      <w:tr>
        <w:trPr>
          <w:trHeight w:val="228"/>
        </w:trPr>
        <w:tc>
          <w:tcPr>
            <w:tcW w:w="1000" w:type="dxa"/>
            <w:vAlign w:val="bottom"/>
          </w:tcPr>
          <w:p>
            <w:pPr>
              <w:spacing w:after="0"/>
              <w:rPr>
                <w:sz w:val="19"/>
                <w:szCs w:val="19"/>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Generalversammlung gewählt. Findet die ordentliche</w:t>
            </w:r>
          </w:p>
        </w:tc>
        <w:tc>
          <w:tcPr>
            <w:tcW w:w="82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completion of the next ordinary general meeting of</w:t>
            </w:r>
          </w:p>
        </w:tc>
      </w:tr>
      <w:tr>
        <w:trPr>
          <w:trHeight w:val="241"/>
        </w:trPr>
        <w:tc>
          <w:tcPr>
            <w:tcW w:w="1000" w:type="dxa"/>
            <w:vAlign w:val="bottom"/>
          </w:tcPr>
          <w:p>
            <w:pPr>
              <w:spacing w:after="0"/>
              <w:rPr>
                <w:sz w:val="20"/>
                <w:szCs w:val="20"/>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Generalversammlung später als sechs Monate nach</w:t>
            </w:r>
          </w:p>
        </w:tc>
        <w:tc>
          <w:tcPr>
            <w:tcW w:w="8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shareholders.  If  the  ordinary  general  meeting  of</w:t>
            </w:r>
          </w:p>
        </w:tc>
      </w:tr>
      <w:tr>
        <w:trPr>
          <w:trHeight w:val="241"/>
        </w:trPr>
        <w:tc>
          <w:tcPr>
            <w:tcW w:w="1000" w:type="dxa"/>
            <w:vAlign w:val="bottom"/>
          </w:tcPr>
          <w:p>
            <w:pPr>
              <w:spacing w:after="0"/>
              <w:rPr>
                <w:sz w:val="20"/>
                <w:szCs w:val="20"/>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Abschluss des Geschäftsjahres statt, so dauert die</w:t>
            </w:r>
          </w:p>
        </w:tc>
        <w:tc>
          <w:tcPr>
            <w:tcW w:w="8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shareholders is held more than six months after the</w:t>
            </w:r>
          </w:p>
        </w:tc>
      </w:tr>
      <w:tr>
        <w:trPr>
          <w:trHeight w:val="228"/>
        </w:trPr>
        <w:tc>
          <w:tcPr>
            <w:tcW w:w="1000" w:type="dxa"/>
            <w:vAlign w:val="bottom"/>
          </w:tcPr>
          <w:p>
            <w:pPr>
              <w:spacing w:after="0"/>
              <w:rPr>
                <w:sz w:val="19"/>
                <w:szCs w:val="19"/>
                <w:color w:val="auto"/>
              </w:rPr>
            </w:pPr>
          </w:p>
        </w:tc>
        <w:tc>
          <w:tcPr>
            <w:tcW w:w="4400" w:type="dxa"/>
            <w:vAlign w:val="bottom"/>
            <w:gridSpan w:val="5"/>
          </w:tcPr>
          <w:p>
            <w:pPr>
              <w:ind w:left="300"/>
              <w:spacing w:after="0"/>
              <w:rPr>
                <w:sz w:val="20"/>
                <w:szCs w:val="20"/>
                <w:color w:val="auto"/>
              </w:rPr>
            </w:pPr>
            <w:r>
              <w:rPr>
                <w:rFonts w:ascii="Arial" w:cs="Arial" w:eastAsia="Arial" w:hAnsi="Arial"/>
                <w:sz w:val="17"/>
                <w:szCs w:val="17"/>
                <w:color w:val="auto"/>
              </w:rPr>
              <w:t>Amtsdauer  dennoch  bis  zum  Abschluss  der</w:t>
            </w:r>
          </w:p>
        </w:tc>
        <w:tc>
          <w:tcPr>
            <w:tcW w:w="82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end of the financial year, the term of office shall</w:t>
            </w:r>
          </w:p>
        </w:tc>
      </w:tr>
      <w:tr>
        <w:trPr>
          <w:trHeight w:val="241"/>
        </w:trPr>
        <w:tc>
          <w:tcPr>
            <w:tcW w:w="1000" w:type="dxa"/>
            <w:vAlign w:val="bottom"/>
          </w:tcPr>
          <w:p>
            <w:pPr>
              <w:spacing w:after="0"/>
              <w:rPr>
                <w:sz w:val="20"/>
                <w:szCs w:val="20"/>
                <w:color w:val="auto"/>
              </w:rPr>
            </w:pPr>
          </w:p>
        </w:tc>
        <w:tc>
          <w:tcPr>
            <w:tcW w:w="3240" w:type="dxa"/>
            <w:vAlign w:val="bottom"/>
            <w:gridSpan w:val="3"/>
          </w:tcPr>
          <w:p>
            <w:pPr>
              <w:ind w:left="300"/>
              <w:spacing w:after="0"/>
              <w:rPr>
                <w:sz w:val="20"/>
                <w:szCs w:val="20"/>
                <w:color w:val="auto"/>
              </w:rPr>
            </w:pPr>
            <w:r>
              <w:rPr>
                <w:rFonts w:ascii="Arial" w:cs="Arial" w:eastAsia="Arial" w:hAnsi="Arial"/>
                <w:sz w:val="17"/>
                <w:szCs w:val="17"/>
                <w:color w:val="auto"/>
              </w:rPr>
              <w:t>ordentlichen Generalversammlung.</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nevertheless continue until the end of the ordinary</w:t>
            </w:r>
          </w:p>
        </w:tc>
      </w:tr>
      <w:tr>
        <w:trPr>
          <w:trHeight w:val="228"/>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7"/>
                <w:szCs w:val="17"/>
                <w:color w:val="auto"/>
              </w:rPr>
              <w:t>general meeting of shareholders.</w:t>
            </w:r>
          </w:p>
        </w:tc>
      </w:tr>
    </w:tbl>
    <w:p>
      <w:pPr>
        <w:spacing w:after="0" w:line="157" w:lineRule="exact"/>
        <w:rPr>
          <w:sz w:val="20"/>
          <w:szCs w:val="20"/>
          <w:color w:val="auto"/>
        </w:rPr>
      </w:pPr>
    </w:p>
    <w:p>
      <w:pPr>
        <w:sectPr>
          <w:pgSz w:w="11900" w:h="16838" w:orient="portrait"/>
          <w:cols w:equalWidth="0" w:num="1">
            <w:col w:w="10580"/>
          </w:cols>
          <w:pgMar w:left="360" w:top="132" w:right="959" w:bottom="1440" w:gutter="0" w:footer="0" w:header="0"/>
        </w:sectPr>
      </w:pPr>
    </w:p>
    <w:p>
      <w:pPr>
        <w:ind w:left="1300" w:right="318" w:hanging="243"/>
        <w:spacing w:after="0" w:line="328" w:lineRule="auto"/>
        <w:tabs>
          <w:tab w:leader="none" w:pos="1300" w:val="left"/>
        </w:tabs>
        <w:numPr>
          <w:ilvl w:val="0"/>
          <w:numId w:val="149"/>
        </w:numPr>
        <w:rPr>
          <w:rFonts w:ascii="Arial" w:cs="Arial" w:eastAsia="Arial" w:hAnsi="Arial"/>
          <w:sz w:val="13"/>
          <w:szCs w:val="13"/>
          <w:color w:val="auto"/>
        </w:rPr>
      </w:pPr>
      <w:r>
        <w:rPr>
          <w:rFonts w:ascii="Arial" w:cs="Arial" w:eastAsia="Arial" w:hAnsi="Arial"/>
          <w:sz w:val="17"/>
          <w:szCs w:val="17"/>
          <w:color w:val="auto"/>
        </w:rPr>
        <w:t>Die Mitglieder des Verwaltungsrats sind jederzeit wieder wählbar.</w:t>
      </w:r>
    </w:p>
    <w:p>
      <w:pPr>
        <w:spacing w:after="0" w:line="86" w:lineRule="exact"/>
        <w:rPr>
          <w:sz w:val="20"/>
          <w:szCs w:val="20"/>
          <w:color w:val="auto"/>
        </w:rPr>
      </w:pPr>
    </w:p>
    <w:p>
      <w:pPr>
        <w:jc w:val="both"/>
        <w:ind w:left="1300" w:right="318" w:hanging="239"/>
        <w:spacing w:after="0" w:line="301" w:lineRule="auto"/>
        <w:tabs>
          <w:tab w:leader="none" w:pos="12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Ist das Präsidium vakant, bezeichnet der Verwaltungsrat aus seiner Mitte einen neuen Präsidenten für eine Amtsdauer bis zum Abschluss der nächsten ordentlichen Generalsversammlung.</w:t>
      </w:r>
    </w:p>
    <w:p>
      <w:pPr>
        <w:spacing w:after="0" w:line="20" w:lineRule="exact"/>
        <w:rPr>
          <w:sz w:val="20"/>
          <w:szCs w:val="20"/>
          <w:color w:val="auto"/>
        </w:rPr>
      </w:pPr>
      <w:r>
        <w:rPr>
          <w:sz w:val="20"/>
          <w:szCs w:val="20"/>
          <w:color w:val="auto"/>
        </w:rPr>
        <w:br w:type="column"/>
      </w:r>
    </w:p>
    <w:p>
      <w:pPr>
        <w:ind w:left="242" w:hanging="242"/>
        <w:spacing w:after="0" w:line="328" w:lineRule="auto"/>
        <w:tabs>
          <w:tab w:leader="none" w:pos="242" w:val="left"/>
        </w:tabs>
        <w:numPr>
          <w:ilvl w:val="0"/>
          <w:numId w:val="150"/>
        </w:numPr>
        <w:rPr>
          <w:rFonts w:ascii="Arial" w:cs="Arial" w:eastAsia="Arial" w:hAnsi="Arial"/>
          <w:sz w:val="13"/>
          <w:szCs w:val="13"/>
          <w:color w:val="auto"/>
        </w:rPr>
      </w:pPr>
      <w:r>
        <w:rPr>
          <w:rFonts w:ascii="Arial" w:cs="Arial" w:eastAsia="Arial" w:hAnsi="Arial"/>
          <w:sz w:val="17"/>
          <w:szCs w:val="17"/>
          <w:color w:val="auto"/>
        </w:rPr>
        <w:t>Members of the board of directors may be re-elected at any time.</w:t>
      </w:r>
    </w:p>
    <w:p>
      <w:pPr>
        <w:spacing w:after="0" w:line="86" w:lineRule="exact"/>
        <w:rPr>
          <w:sz w:val="20"/>
          <w:szCs w:val="20"/>
          <w:color w:val="auto"/>
        </w:rPr>
      </w:pPr>
    </w:p>
    <w:p>
      <w:pPr>
        <w:ind w:left="242" w:hanging="242"/>
        <w:spacing w:after="0"/>
        <w:tabs>
          <w:tab w:leader="none" w:pos="242" w:val="left"/>
        </w:tabs>
        <w:numPr>
          <w:ilvl w:val="0"/>
          <w:numId w:val="151"/>
        </w:numPr>
        <w:rPr>
          <w:rFonts w:ascii="Arial" w:cs="Arial" w:eastAsia="Arial" w:hAnsi="Arial"/>
          <w:sz w:val="13"/>
          <w:szCs w:val="13"/>
          <w:color w:val="auto"/>
        </w:rPr>
      </w:pPr>
      <w:r>
        <w:rPr>
          <w:rFonts w:ascii="Arial" w:cs="Arial" w:eastAsia="Arial" w:hAnsi="Arial"/>
          <w:sz w:val="17"/>
          <w:szCs w:val="17"/>
          <w:color w:val="auto"/>
        </w:rPr>
        <w:t>If the office of the chair of the board of directors is</w:t>
      </w:r>
    </w:p>
    <w:p>
      <w:pPr>
        <w:spacing w:after="0" w:line="45" w:lineRule="exact"/>
        <w:rPr>
          <w:rFonts w:ascii="Arial" w:cs="Arial" w:eastAsia="Arial" w:hAnsi="Arial"/>
          <w:sz w:val="13"/>
          <w:szCs w:val="13"/>
          <w:color w:val="auto"/>
        </w:rPr>
      </w:pPr>
    </w:p>
    <w:p>
      <w:pPr>
        <w:jc w:val="both"/>
        <w:ind w:left="242"/>
        <w:spacing w:after="0" w:line="287" w:lineRule="auto"/>
        <w:rPr>
          <w:rFonts w:ascii="Arial" w:cs="Arial" w:eastAsia="Arial" w:hAnsi="Arial"/>
          <w:sz w:val="13"/>
          <w:szCs w:val="13"/>
          <w:color w:val="auto"/>
        </w:rPr>
      </w:pPr>
      <w:r>
        <w:rPr>
          <w:rFonts w:ascii="Arial" w:cs="Arial" w:eastAsia="Arial" w:hAnsi="Arial"/>
          <w:sz w:val="17"/>
          <w:szCs w:val="17"/>
          <w:color w:val="auto"/>
        </w:rPr>
        <w:t>vacant, the board of directors shall appoint the chair from among its members for a term of office</w:t>
      </w:r>
    </w:p>
    <w:p>
      <w:pPr>
        <w:spacing w:after="0" w:line="1" w:lineRule="exact"/>
        <w:rPr>
          <w:rFonts w:ascii="Arial" w:cs="Arial" w:eastAsia="Arial" w:hAnsi="Arial"/>
          <w:sz w:val="13"/>
          <w:szCs w:val="13"/>
          <w:color w:val="auto"/>
        </w:rPr>
      </w:pPr>
    </w:p>
    <w:p>
      <w:pPr>
        <w:ind w:left="242"/>
        <w:spacing w:after="0" w:line="313" w:lineRule="auto"/>
        <w:rPr>
          <w:rFonts w:ascii="Arial" w:cs="Arial" w:eastAsia="Arial" w:hAnsi="Arial"/>
          <w:sz w:val="13"/>
          <w:szCs w:val="13"/>
          <w:color w:val="auto"/>
        </w:rPr>
      </w:pPr>
      <w:r>
        <w:rPr>
          <w:rFonts w:ascii="Arial" w:cs="Arial" w:eastAsia="Arial" w:hAnsi="Arial"/>
          <w:sz w:val="17"/>
          <w:szCs w:val="17"/>
          <w:color w:val="auto"/>
        </w:rPr>
        <w:t>extending until completion of the next ordinary general meeting of shareholders.</w:t>
      </w:r>
    </w:p>
    <w:p>
      <w:pPr>
        <w:spacing w:after="0" w:line="200" w:lineRule="exact"/>
        <w:rPr>
          <w:sz w:val="20"/>
          <w:szCs w:val="20"/>
          <w:color w:val="auto"/>
        </w:rPr>
      </w:pPr>
    </w:p>
    <w:p>
      <w:pPr>
        <w:sectPr>
          <w:pgSz w:w="11900" w:h="16838" w:orient="portrait"/>
          <w:cols w:equalWidth="0" w:num="2">
            <w:col w:w="5618" w:space="720"/>
            <w:col w:w="4242"/>
          </w:cols>
          <w:pgMar w:left="360" w:top="132" w:right="959" w:bottom="1440" w:gutter="0" w:footer="0" w:header="0"/>
          <w:type w:val="continuous"/>
        </w:sectPr>
      </w:pPr>
    </w:p>
    <w:p>
      <w:pPr>
        <w:spacing w:after="0" w:line="240" w:lineRule="exact"/>
        <w:rPr>
          <w:sz w:val="20"/>
          <w:szCs w:val="20"/>
          <w:color w:val="auto"/>
        </w:rPr>
      </w:pPr>
    </w:p>
    <w:p>
      <w:pPr>
        <w:ind w:left="1300"/>
        <w:spacing w:after="0"/>
        <w:tabs>
          <w:tab w:leader="none" w:pos="6560" w:val="left"/>
        </w:tabs>
        <w:rPr>
          <w:sz w:val="20"/>
          <w:szCs w:val="20"/>
          <w:color w:val="auto"/>
        </w:rPr>
      </w:pPr>
      <w:r>
        <w:rPr>
          <w:rFonts w:ascii="Arial" w:cs="Arial" w:eastAsia="Arial" w:hAnsi="Arial"/>
          <w:sz w:val="17"/>
          <w:szCs w:val="17"/>
          <w:b w:val="1"/>
          <w:bCs w:val="1"/>
          <w:color w:val="auto"/>
        </w:rPr>
        <w:t>Artikel 17</w:t>
      </w:r>
      <w:r>
        <w:rPr>
          <w:sz w:val="20"/>
          <w:szCs w:val="20"/>
          <w:color w:val="auto"/>
        </w:rPr>
        <w:tab/>
      </w:r>
      <w:r>
        <w:rPr>
          <w:rFonts w:ascii="Arial" w:cs="Arial" w:eastAsia="Arial" w:hAnsi="Arial"/>
          <w:sz w:val="16"/>
          <w:szCs w:val="16"/>
          <w:b w:val="1"/>
          <w:bCs w:val="1"/>
          <w:color w:val="auto"/>
        </w:rPr>
        <w:t>Article 17</w:t>
      </w:r>
    </w:p>
    <w:p>
      <w:pPr>
        <w:sectPr>
          <w:pgSz w:w="11900" w:h="16838" w:orient="portrait"/>
          <w:cols w:equalWidth="0" w:num="1">
            <w:col w:w="10580"/>
          </w:cols>
          <w:pgMar w:left="360" w:top="132" w:right="959" w:bottom="1440" w:gutter="0" w:footer="0" w:header="0"/>
          <w:type w:val="continuous"/>
        </w:sectPr>
      </w:pPr>
    </w:p>
    <w:bookmarkStart w:id="241" w:name="page242"/>
    <w:bookmarkEnd w:id="241"/>
    <w:p>
      <w:pPr>
        <w:ind w:left="5420"/>
        <w:spacing w:after="0"/>
        <w:rPr>
          <w:sz w:val="20"/>
          <w:szCs w:val="20"/>
          <w:color w:val="auto"/>
        </w:rPr>
      </w:pPr>
      <w:r>
        <w:rPr>
          <w:rFonts w:ascii="Arial" w:cs="Arial" w:eastAsia="Arial" w:hAnsi="Arial"/>
          <w:sz w:val="13"/>
          <w:szCs w:val="13"/>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spacing w:after="0"/>
              <w:rPr>
                <w:sz w:val="20"/>
                <w:szCs w:val="20"/>
                <w:color w:val="auto"/>
              </w:rPr>
            </w:pPr>
            <w:r>
              <w:rPr>
                <w:rFonts w:ascii="Arial" w:cs="Arial" w:eastAsia="Arial" w:hAnsi="Arial"/>
                <w:sz w:val="13"/>
                <w:szCs w:val="13"/>
                <w:color w:val="auto"/>
              </w:rPr>
              <w:t>Organisation des</w:t>
            </w:r>
          </w:p>
        </w:tc>
        <w:tc>
          <w:tcPr>
            <w:tcW w:w="4280" w:type="dxa"/>
            <w:vAlign w:val="bottom"/>
            <w:gridSpan w:val="6"/>
          </w:tcPr>
          <w:p>
            <w:pPr>
              <w:jc w:val="right"/>
              <w:ind w:right="16"/>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Vorbehältlich  der  Wahl  des  Präsidenten  des</w:t>
            </w:r>
          </w:p>
        </w:tc>
        <w:tc>
          <w:tcPr>
            <w:tcW w:w="1260" w:type="dxa"/>
            <w:vAlign w:val="bottom"/>
          </w:tcPr>
          <w:p>
            <w:pPr>
              <w:ind w:left="80"/>
              <w:spacing w:after="0"/>
              <w:rPr>
                <w:sz w:val="20"/>
                <w:szCs w:val="20"/>
                <w:color w:val="auto"/>
              </w:rPr>
            </w:pPr>
            <w:r>
              <w:rPr>
                <w:rFonts w:ascii="Arial" w:cs="Arial" w:eastAsia="Arial" w:hAnsi="Arial"/>
                <w:sz w:val="13"/>
                <w:szCs w:val="13"/>
                <w:color w:val="auto"/>
              </w:rPr>
              <w:t>Organization of  1</w:t>
            </w:r>
          </w:p>
        </w:tc>
        <w:tc>
          <w:tcPr>
            <w:tcW w:w="3940" w:type="dxa"/>
            <w:vAlign w:val="bottom"/>
          </w:tcPr>
          <w:p>
            <w:pPr>
              <w:ind w:left="80"/>
              <w:spacing w:after="0"/>
              <w:rPr>
                <w:sz w:val="20"/>
                <w:szCs w:val="20"/>
                <w:color w:val="auto"/>
              </w:rPr>
            </w:pPr>
            <w:r>
              <w:rPr>
                <w:rFonts w:ascii="Arial" w:cs="Arial" w:eastAsia="Arial" w:hAnsi="Arial"/>
                <w:sz w:val="17"/>
                <w:szCs w:val="17"/>
                <w:color w:val="auto"/>
                <w:w w:val="99"/>
              </w:rPr>
              <w:t>Except for the election of the chairman of the board</w:t>
            </w:r>
          </w:p>
        </w:tc>
      </w:tr>
      <w:tr>
        <w:trPr>
          <w:trHeight w:val="228"/>
        </w:trPr>
        <w:tc>
          <w:tcPr>
            <w:tcW w:w="1100" w:type="dxa"/>
            <w:vAlign w:val="bottom"/>
          </w:tcPr>
          <w:p>
            <w:pPr>
              <w:spacing w:after="0"/>
              <w:rPr>
                <w:sz w:val="20"/>
                <w:szCs w:val="20"/>
                <w:color w:val="auto"/>
              </w:rPr>
            </w:pPr>
            <w:r>
              <w:rPr>
                <w:rFonts w:ascii="Arial" w:cs="Arial" w:eastAsia="Arial" w:hAnsi="Arial"/>
                <w:sz w:val="13"/>
                <w:szCs w:val="13"/>
                <w:color w:val="auto"/>
              </w:rPr>
              <w:t>Verwaltungsrats,</w:t>
            </w:r>
          </w:p>
        </w:tc>
        <w:tc>
          <w:tcPr>
            <w:tcW w:w="1660" w:type="dxa"/>
            <w:vAlign w:val="bottom"/>
          </w:tcPr>
          <w:p>
            <w:pPr>
              <w:ind w:left="320"/>
              <w:spacing w:after="0"/>
              <w:rPr>
                <w:sz w:val="20"/>
                <w:szCs w:val="20"/>
                <w:color w:val="auto"/>
              </w:rPr>
            </w:pPr>
            <w:r>
              <w:rPr>
                <w:rFonts w:ascii="Arial" w:cs="Arial" w:eastAsia="Arial" w:hAnsi="Arial"/>
                <w:sz w:val="17"/>
                <w:szCs w:val="17"/>
                <w:color w:val="auto"/>
              </w:rPr>
              <w:t>Verwaltungsrats</w:t>
            </w:r>
          </w:p>
        </w:tc>
        <w:tc>
          <w:tcPr>
            <w:tcW w:w="520" w:type="dxa"/>
            <w:vAlign w:val="bottom"/>
          </w:tcPr>
          <w:p>
            <w:pPr>
              <w:ind w:left="140"/>
              <w:spacing w:after="0"/>
              <w:rPr>
                <w:sz w:val="20"/>
                <w:szCs w:val="20"/>
                <w:color w:val="auto"/>
              </w:rPr>
            </w:pPr>
            <w:r>
              <w:rPr>
                <w:rFonts w:ascii="Arial" w:cs="Arial" w:eastAsia="Arial" w:hAnsi="Arial"/>
                <w:sz w:val="17"/>
                <w:szCs w:val="17"/>
                <w:color w:val="auto"/>
              </w:rPr>
              <w:t>und</w:t>
            </w:r>
          </w:p>
        </w:tc>
        <w:tc>
          <w:tcPr>
            <w:tcW w:w="620" w:type="dxa"/>
            <w:vAlign w:val="bottom"/>
          </w:tcPr>
          <w:p>
            <w:pPr>
              <w:ind w:left="180"/>
              <w:spacing w:after="0"/>
              <w:rPr>
                <w:sz w:val="20"/>
                <w:szCs w:val="20"/>
                <w:color w:val="auto"/>
              </w:rPr>
            </w:pPr>
            <w:r>
              <w:rPr>
                <w:rFonts w:ascii="Arial" w:cs="Arial" w:eastAsia="Arial" w:hAnsi="Arial"/>
                <w:sz w:val="17"/>
                <w:szCs w:val="17"/>
                <w:color w:val="auto"/>
              </w:rPr>
              <w:t>der</w:t>
            </w:r>
          </w:p>
        </w:tc>
        <w:tc>
          <w:tcPr>
            <w:tcW w:w="980" w:type="dxa"/>
            <w:vAlign w:val="bottom"/>
            <w:gridSpan w:val="2"/>
          </w:tcPr>
          <w:p>
            <w:pPr>
              <w:ind w:left="100"/>
              <w:spacing w:after="0"/>
              <w:rPr>
                <w:sz w:val="20"/>
                <w:szCs w:val="20"/>
                <w:color w:val="auto"/>
              </w:rPr>
            </w:pPr>
            <w:r>
              <w:rPr>
                <w:rFonts w:ascii="Arial" w:cs="Arial" w:eastAsia="Arial" w:hAnsi="Arial"/>
                <w:sz w:val="17"/>
                <w:szCs w:val="17"/>
                <w:color w:val="auto"/>
              </w:rPr>
              <w:t>Mitglieder</w:t>
            </w:r>
          </w:p>
        </w:tc>
        <w:tc>
          <w:tcPr>
            <w:tcW w:w="500" w:type="dxa"/>
            <w:vAlign w:val="bottom"/>
          </w:tcPr>
          <w:p>
            <w:pPr>
              <w:jc w:val="right"/>
              <w:spacing w:after="0"/>
              <w:rPr>
                <w:sz w:val="20"/>
                <w:szCs w:val="20"/>
                <w:color w:val="auto"/>
              </w:rPr>
            </w:pPr>
            <w:r>
              <w:rPr>
                <w:rFonts w:ascii="Arial" w:cs="Arial" w:eastAsia="Arial" w:hAnsi="Arial"/>
                <w:sz w:val="17"/>
                <w:szCs w:val="17"/>
                <w:color w:val="auto"/>
              </w:rPr>
              <w:t>des</w:t>
            </w:r>
          </w:p>
        </w:tc>
        <w:tc>
          <w:tcPr>
            <w:tcW w:w="1260" w:type="dxa"/>
            <w:vAlign w:val="bottom"/>
          </w:tcPr>
          <w:p>
            <w:pPr>
              <w:ind w:left="80"/>
              <w:spacing w:after="0"/>
              <w:rPr>
                <w:sz w:val="20"/>
                <w:szCs w:val="20"/>
                <w:color w:val="auto"/>
              </w:rPr>
            </w:pPr>
            <w:r>
              <w:rPr>
                <w:rFonts w:ascii="Arial" w:cs="Arial" w:eastAsia="Arial" w:hAnsi="Arial"/>
                <w:sz w:val="13"/>
                <w:szCs w:val="13"/>
                <w:color w:val="auto"/>
              </w:rPr>
              <w:t>the Board of</w:t>
            </w:r>
          </w:p>
        </w:tc>
        <w:tc>
          <w:tcPr>
            <w:tcW w:w="3940" w:type="dxa"/>
            <w:vAlign w:val="bottom"/>
          </w:tcPr>
          <w:p>
            <w:pPr>
              <w:ind w:left="80"/>
              <w:spacing w:after="0"/>
              <w:rPr>
                <w:sz w:val="20"/>
                <w:szCs w:val="20"/>
                <w:color w:val="auto"/>
              </w:rPr>
            </w:pPr>
            <w:r>
              <w:rPr>
                <w:rFonts w:ascii="Arial" w:cs="Arial" w:eastAsia="Arial" w:hAnsi="Arial"/>
                <w:sz w:val="17"/>
                <w:szCs w:val="17"/>
                <w:color w:val="auto"/>
              </w:rPr>
              <w:t>of directors and the members of the compensation</w:t>
            </w:r>
          </w:p>
        </w:tc>
      </w:tr>
      <w:tr>
        <w:trPr>
          <w:trHeight w:val="241"/>
        </w:trPr>
        <w:tc>
          <w:tcPr>
            <w:tcW w:w="1100" w:type="dxa"/>
            <w:vAlign w:val="bottom"/>
          </w:tcPr>
          <w:p>
            <w:pPr>
              <w:spacing w:after="0"/>
              <w:rPr>
                <w:sz w:val="20"/>
                <w:szCs w:val="20"/>
                <w:color w:val="auto"/>
              </w:rPr>
            </w:pPr>
            <w:r>
              <w:rPr>
                <w:rFonts w:ascii="Arial" w:cs="Arial" w:eastAsia="Arial" w:hAnsi="Arial"/>
                <w:sz w:val="13"/>
                <w:szCs w:val="13"/>
                <w:color w:val="auto"/>
              </w:rPr>
              <w:t>Ersatz der</w:t>
            </w:r>
          </w:p>
        </w:tc>
        <w:tc>
          <w:tcPr>
            <w:tcW w:w="2180" w:type="dxa"/>
            <w:vAlign w:val="bottom"/>
            <w:gridSpan w:val="2"/>
          </w:tcPr>
          <w:p>
            <w:pPr>
              <w:ind w:left="320"/>
              <w:spacing w:after="0"/>
              <w:rPr>
                <w:sz w:val="20"/>
                <w:szCs w:val="20"/>
                <w:color w:val="auto"/>
              </w:rPr>
            </w:pPr>
            <w:r>
              <w:rPr>
                <w:rFonts w:ascii="Arial" w:cs="Arial" w:eastAsia="Arial" w:hAnsi="Arial"/>
                <w:sz w:val="17"/>
                <w:szCs w:val="17"/>
                <w:color w:val="auto"/>
                <w:w w:val="99"/>
              </w:rPr>
              <w:t>Vergütungsausschusses</w:t>
            </w:r>
          </w:p>
        </w:tc>
        <w:tc>
          <w:tcPr>
            <w:tcW w:w="62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Arial" w:cs="Arial" w:eastAsia="Arial" w:hAnsi="Arial"/>
                <w:sz w:val="17"/>
                <w:szCs w:val="17"/>
                <w:color w:val="auto"/>
              </w:rPr>
              <w:t>durch</w:t>
            </w:r>
          </w:p>
        </w:tc>
        <w:tc>
          <w:tcPr>
            <w:tcW w:w="480" w:type="dxa"/>
            <w:vAlign w:val="bottom"/>
          </w:tcPr>
          <w:p>
            <w:pPr>
              <w:spacing w:after="0"/>
              <w:rPr>
                <w:sz w:val="20"/>
                <w:szCs w:val="20"/>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die</w:t>
            </w:r>
          </w:p>
        </w:tc>
        <w:tc>
          <w:tcPr>
            <w:tcW w:w="1260" w:type="dxa"/>
            <w:vAlign w:val="bottom"/>
          </w:tcPr>
          <w:p>
            <w:pPr>
              <w:ind w:left="80"/>
              <w:spacing w:after="0"/>
              <w:rPr>
                <w:sz w:val="20"/>
                <w:szCs w:val="20"/>
                <w:color w:val="auto"/>
              </w:rPr>
            </w:pPr>
            <w:r>
              <w:rPr>
                <w:rFonts w:ascii="Arial" w:cs="Arial" w:eastAsia="Arial" w:hAnsi="Arial"/>
                <w:sz w:val="13"/>
                <w:szCs w:val="13"/>
                <w:color w:val="auto"/>
              </w:rPr>
              <w:t>Directors,</w:t>
            </w:r>
          </w:p>
        </w:tc>
        <w:tc>
          <w:tcPr>
            <w:tcW w:w="3940" w:type="dxa"/>
            <w:vAlign w:val="bottom"/>
          </w:tcPr>
          <w:p>
            <w:pPr>
              <w:ind w:left="80"/>
              <w:spacing w:after="0"/>
              <w:rPr>
                <w:sz w:val="20"/>
                <w:szCs w:val="20"/>
                <w:color w:val="auto"/>
              </w:rPr>
            </w:pPr>
            <w:r>
              <w:rPr>
                <w:rFonts w:ascii="Arial" w:cs="Arial" w:eastAsia="Arial" w:hAnsi="Arial"/>
                <w:sz w:val="17"/>
                <w:szCs w:val="17"/>
                <w:color w:val="auto"/>
              </w:rPr>
              <w:t>committee by the general meeting of shareholders,</w:t>
            </w:r>
          </w:p>
        </w:tc>
      </w:tr>
      <w:tr>
        <w:trPr>
          <w:trHeight w:val="228"/>
        </w:trPr>
        <w:tc>
          <w:tcPr>
            <w:tcW w:w="1100" w:type="dxa"/>
            <w:vAlign w:val="bottom"/>
          </w:tcPr>
          <w:p>
            <w:pPr>
              <w:spacing w:after="0"/>
              <w:rPr>
                <w:sz w:val="20"/>
                <w:szCs w:val="20"/>
                <w:color w:val="auto"/>
              </w:rPr>
            </w:pPr>
            <w:r>
              <w:rPr>
                <w:rFonts w:ascii="Arial" w:cs="Arial" w:eastAsia="Arial" w:hAnsi="Arial"/>
                <w:sz w:val="13"/>
                <w:szCs w:val="13"/>
                <w:color w:val="auto"/>
              </w:rPr>
              <w:t>Auslagen</w:t>
            </w:r>
          </w:p>
        </w:tc>
        <w:tc>
          <w:tcPr>
            <w:tcW w:w="2180" w:type="dxa"/>
            <w:vAlign w:val="bottom"/>
            <w:gridSpan w:val="2"/>
          </w:tcPr>
          <w:p>
            <w:pPr>
              <w:ind w:left="320"/>
              <w:spacing w:after="0"/>
              <w:rPr>
                <w:sz w:val="20"/>
                <w:szCs w:val="20"/>
                <w:color w:val="auto"/>
              </w:rPr>
            </w:pPr>
            <w:r>
              <w:rPr>
                <w:rFonts w:ascii="Arial" w:cs="Arial" w:eastAsia="Arial" w:hAnsi="Arial"/>
                <w:sz w:val="17"/>
                <w:szCs w:val="17"/>
                <w:color w:val="auto"/>
              </w:rPr>
              <w:t>Generalversammlung</w:t>
            </w:r>
          </w:p>
        </w:tc>
        <w:tc>
          <w:tcPr>
            <w:tcW w:w="1120" w:type="dxa"/>
            <w:vAlign w:val="bottom"/>
            <w:gridSpan w:val="2"/>
          </w:tcPr>
          <w:p>
            <w:pPr>
              <w:ind w:left="40"/>
              <w:spacing w:after="0"/>
              <w:rPr>
                <w:sz w:val="20"/>
                <w:szCs w:val="20"/>
                <w:color w:val="auto"/>
              </w:rPr>
            </w:pPr>
            <w:r>
              <w:rPr>
                <w:rFonts w:ascii="Arial" w:cs="Arial" w:eastAsia="Arial" w:hAnsi="Arial"/>
                <w:sz w:val="17"/>
                <w:szCs w:val="17"/>
                <w:color w:val="auto"/>
              </w:rPr>
              <w:t>konstituiert</w:t>
            </w:r>
          </w:p>
        </w:tc>
        <w:tc>
          <w:tcPr>
            <w:tcW w:w="480" w:type="dxa"/>
            <w:vAlign w:val="bottom"/>
          </w:tcPr>
          <w:p>
            <w:pPr>
              <w:ind w:left="40"/>
              <w:spacing w:after="0"/>
              <w:rPr>
                <w:sz w:val="20"/>
                <w:szCs w:val="20"/>
                <w:color w:val="auto"/>
              </w:rPr>
            </w:pPr>
            <w:r>
              <w:rPr>
                <w:rFonts w:ascii="Arial" w:cs="Arial" w:eastAsia="Arial" w:hAnsi="Arial"/>
                <w:sz w:val="17"/>
                <w:szCs w:val="17"/>
                <w:color w:val="auto"/>
              </w:rPr>
              <w:t>sich</w:t>
            </w: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der</w:t>
            </w:r>
          </w:p>
        </w:tc>
        <w:tc>
          <w:tcPr>
            <w:tcW w:w="1260" w:type="dxa"/>
            <w:vAlign w:val="bottom"/>
          </w:tcPr>
          <w:p>
            <w:pPr>
              <w:ind w:left="80"/>
              <w:spacing w:after="0"/>
              <w:rPr>
                <w:sz w:val="20"/>
                <w:szCs w:val="20"/>
                <w:color w:val="auto"/>
              </w:rPr>
            </w:pPr>
            <w:r>
              <w:rPr>
                <w:rFonts w:ascii="Arial" w:cs="Arial" w:eastAsia="Arial" w:hAnsi="Arial"/>
                <w:sz w:val="13"/>
                <w:szCs w:val="13"/>
                <w:color w:val="auto"/>
              </w:rPr>
              <w:t>Reimbursement</w:t>
            </w:r>
          </w:p>
        </w:tc>
        <w:tc>
          <w:tcPr>
            <w:tcW w:w="3940" w:type="dxa"/>
            <w:vAlign w:val="bottom"/>
          </w:tcPr>
          <w:p>
            <w:pPr>
              <w:ind w:left="80"/>
              <w:spacing w:after="0"/>
              <w:rPr>
                <w:sz w:val="20"/>
                <w:szCs w:val="20"/>
                <w:color w:val="auto"/>
              </w:rPr>
            </w:pPr>
            <w:r>
              <w:rPr>
                <w:rFonts w:ascii="Arial" w:cs="Arial" w:eastAsia="Arial" w:hAnsi="Arial"/>
                <w:sz w:val="17"/>
                <w:szCs w:val="17"/>
                <w:color w:val="auto"/>
              </w:rPr>
              <w:t>the board of directors shall constitute itself. It may</w:t>
            </w:r>
          </w:p>
        </w:tc>
      </w:tr>
      <w:tr>
        <w:trPr>
          <w:trHeight w:val="241"/>
        </w:trPr>
        <w:tc>
          <w:tcPr>
            <w:tcW w:w="1100" w:type="dxa"/>
            <w:vAlign w:val="bottom"/>
          </w:tcPr>
          <w:p>
            <w:pPr>
              <w:spacing w:after="0"/>
              <w:rPr>
                <w:sz w:val="20"/>
                <w:szCs w:val="20"/>
                <w:color w:val="auto"/>
              </w:rPr>
            </w:pPr>
          </w:p>
        </w:tc>
        <w:tc>
          <w:tcPr>
            <w:tcW w:w="4280" w:type="dxa"/>
            <w:vAlign w:val="bottom"/>
            <w:gridSpan w:val="6"/>
          </w:tcPr>
          <w:p>
            <w:pPr>
              <w:ind w:left="320"/>
              <w:spacing w:after="0"/>
              <w:rPr>
                <w:sz w:val="20"/>
                <w:szCs w:val="20"/>
                <w:color w:val="auto"/>
              </w:rPr>
            </w:pPr>
            <w:r>
              <w:rPr>
                <w:rFonts w:ascii="Arial" w:cs="Arial" w:eastAsia="Arial" w:hAnsi="Arial"/>
                <w:sz w:val="17"/>
                <w:szCs w:val="17"/>
                <w:color w:val="auto"/>
              </w:rPr>
              <w:t>Verwaltungsrat selbst. Er kann aus seiner Mitte</w:t>
            </w:r>
          </w:p>
        </w:tc>
        <w:tc>
          <w:tcPr>
            <w:tcW w:w="1260" w:type="dxa"/>
            <w:vAlign w:val="bottom"/>
          </w:tcPr>
          <w:p>
            <w:pPr>
              <w:ind w:left="80"/>
              <w:spacing w:after="0"/>
              <w:rPr>
                <w:sz w:val="20"/>
                <w:szCs w:val="20"/>
                <w:color w:val="auto"/>
              </w:rPr>
            </w:pPr>
            <w:r>
              <w:rPr>
                <w:rFonts w:ascii="Arial" w:cs="Arial" w:eastAsia="Arial" w:hAnsi="Arial"/>
                <w:sz w:val="13"/>
                <w:szCs w:val="13"/>
                <w:color w:val="auto"/>
              </w:rPr>
              <w:t>of Expenses</w:t>
            </w:r>
          </w:p>
        </w:tc>
        <w:tc>
          <w:tcPr>
            <w:tcW w:w="3940" w:type="dxa"/>
            <w:vAlign w:val="bottom"/>
          </w:tcPr>
          <w:p>
            <w:pPr>
              <w:ind w:left="80"/>
              <w:spacing w:after="0"/>
              <w:rPr>
                <w:sz w:val="20"/>
                <w:szCs w:val="20"/>
                <w:color w:val="auto"/>
              </w:rPr>
            </w:pPr>
            <w:r>
              <w:rPr>
                <w:rFonts w:ascii="Arial" w:cs="Arial" w:eastAsia="Arial" w:hAnsi="Arial"/>
                <w:sz w:val="17"/>
                <w:szCs w:val="17"/>
                <w:color w:val="auto"/>
              </w:rPr>
              <w:t>elect from among its members one or several vice-</w:t>
            </w:r>
          </w:p>
        </w:tc>
      </w:tr>
      <w:tr>
        <w:trPr>
          <w:trHeight w:val="228"/>
        </w:trPr>
        <w:tc>
          <w:tcPr>
            <w:tcW w:w="1100" w:type="dxa"/>
            <w:vAlign w:val="bottom"/>
          </w:tcPr>
          <w:p>
            <w:pPr>
              <w:spacing w:after="0"/>
              <w:rPr>
                <w:sz w:val="19"/>
                <w:szCs w:val="19"/>
                <w:color w:val="auto"/>
              </w:rPr>
            </w:pPr>
          </w:p>
        </w:tc>
        <w:tc>
          <w:tcPr>
            <w:tcW w:w="4280" w:type="dxa"/>
            <w:vAlign w:val="bottom"/>
            <w:gridSpan w:val="6"/>
          </w:tcPr>
          <w:p>
            <w:pPr>
              <w:ind w:left="320"/>
              <w:spacing w:after="0"/>
              <w:rPr>
                <w:sz w:val="20"/>
                <w:szCs w:val="20"/>
                <w:color w:val="auto"/>
              </w:rPr>
            </w:pPr>
            <w:r>
              <w:rPr>
                <w:rFonts w:ascii="Arial" w:cs="Arial" w:eastAsia="Arial" w:hAnsi="Arial"/>
                <w:sz w:val="17"/>
                <w:szCs w:val="17"/>
                <w:color w:val="auto"/>
              </w:rPr>
              <w:t>einen oder mehrere Vize-Präsidenten wählen sowie</w:t>
            </w:r>
          </w:p>
        </w:tc>
        <w:tc>
          <w:tcPr>
            <w:tcW w:w="1260" w:type="dxa"/>
            <w:vAlign w:val="bottom"/>
          </w:tcPr>
          <w:p>
            <w:pPr>
              <w:spacing w:after="0"/>
              <w:rPr>
                <w:sz w:val="19"/>
                <w:szCs w:val="19"/>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chairmen and appoint a secretary who need not be</w:t>
            </w:r>
          </w:p>
        </w:tc>
      </w:tr>
      <w:tr>
        <w:trPr>
          <w:trHeight w:val="241"/>
        </w:trPr>
        <w:tc>
          <w:tcPr>
            <w:tcW w:w="1100" w:type="dxa"/>
            <w:vAlign w:val="bottom"/>
          </w:tcPr>
          <w:p>
            <w:pPr>
              <w:spacing w:after="0"/>
              <w:rPr>
                <w:sz w:val="20"/>
                <w:szCs w:val="20"/>
                <w:color w:val="auto"/>
              </w:rPr>
            </w:pPr>
          </w:p>
        </w:tc>
        <w:tc>
          <w:tcPr>
            <w:tcW w:w="4280" w:type="dxa"/>
            <w:vAlign w:val="bottom"/>
            <w:gridSpan w:val="6"/>
          </w:tcPr>
          <w:p>
            <w:pPr>
              <w:ind w:left="320"/>
              <w:spacing w:after="0"/>
              <w:rPr>
                <w:sz w:val="20"/>
                <w:szCs w:val="20"/>
                <w:color w:val="auto"/>
              </w:rPr>
            </w:pPr>
            <w:r>
              <w:rPr>
                <w:rFonts w:ascii="Arial" w:cs="Arial" w:eastAsia="Arial" w:hAnsi="Arial"/>
                <w:sz w:val="17"/>
                <w:szCs w:val="17"/>
                <w:color w:val="auto"/>
              </w:rPr>
              <w:t>einen Sekretär bezeichnen, der nicht Mitglied des</w:t>
            </w:r>
          </w:p>
        </w:tc>
        <w:tc>
          <w:tcPr>
            <w:tcW w:w="1260" w:type="dxa"/>
            <w:vAlign w:val="bottom"/>
          </w:tcPr>
          <w:p>
            <w:pPr>
              <w:spacing w:after="0"/>
              <w:rPr>
                <w:sz w:val="20"/>
                <w:szCs w:val="20"/>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a member of the board of directors.</w:t>
            </w:r>
          </w:p>
        </w:tc>
      </w:tr>
      <w:tr>
        <w:trPr>
          <w:trHeight w:val="228"/>
        </w:trPr>
        <w:tc>
          <w:tcPr>
            <w:tcW w:w="1100" w:type="dxa"/>
            <w:vAlign w:val="bottom"/>
          </w:tcPr>
          <w:p>
            <w:pPr>
              <w:spacing w:after="0"/>
              <w:rPr>
                <w:sz w:val="19"/>
                <w:szCs w:val="19"/>
                <w:color w:val="auto"/>
              </w:rPr>
            </w:pPr>
          </w:p>
        </w:tc>
        <w:tc>
          <w:tcPr>
            <w:tcW w:w="2800" w:type="dxa"/>
            <w:vAlign w:val="bottom"/>
            <w:gridSpan w:val="3"/>
          </w:tcPr>
          <w:p>
            <w:pPr>
              <w:ind w:left="320"/>
              <w:spacing w:after="0"/>
              <w:rPr>
                <w:sz w:val="20"/>
                <w:szCs w:val="20"/>
                <w:color w:val="auto"/>
              </w:rPr>
            </w:pPr>
            <w:r>
              <w:rPr>
                <w:rFonts w:ascii="Arial" w:cs="Arial" w:eastAsia="Arial" w:hAnsi="Arial"/>
                <w:sz w:val="17"/>
                <w:szCs w:val="17"/>
                <w:color w:val="auto"/>
                <w:w w:val="99"/>
              </w:rPr>
              <w:t>Verwaltungsrats zu sein braucht.</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940" w:type="dxa"/>
            <w:vAlign w:val="bottom"/>
          </w:tcPr>
          <w:p>
            <w:pPr>
              <w:spacing w:after="0"/>
              <w:rPr>
                <w:sz w:val="19"/>
                <w:szCs w:val="19"/>
                <w:color w:val="auto"/>
              </w:rPr>
            </w:pPr>
          </w:p>
        </w:tc>
      </w:tr>
    </w:tbl>
    <w:p>
      <w:pPr>
        <w:spacing w:after="0" w:line="170" w:lineRule="exact"/>
        <w:rPr>
          <w:sz w:val="20"/>
          <w:szCs w:val="20"/>
          <w:color w:val="auto"/>
        </w:rPr>
      </w:pPr>
    </w:p>
    <w:p>
      <w:pPr>
        <w:sectPr>
          <w:pgSz w:w="11900" w:h="16838" w:orient="portrait"/>
          <w:cols w:equalWidth="0" w:num="1">
            <w:col w:w="10580"/>
          </w:cols>
          <w:pgMar w:left="360" w:top="132" w:right="959" w:bottom="1440" w:gutter="0" w:footer="0" w:header="0"/>
        </w:sectPr>
      </w:pPr>
    </w:p>
    <w:p>
      <w:pPr>
        <w:jc w:val="both"/>
        <w:ind w:left="1420" w:right="457" w:hanging="236"/>
        <w:spacing w:after="0" w:line="287" w:lineRule="auto"/>
        <w:tabs>
          <w:tab w:leader="none" w:pos="1420" w:val="left"/>
        </w:tabs>
        <w:numPr>
          <w:ilvl w:val="0"/>
          <w:numId w:val="152"/>
        </w:numPr>
        <w:rPr>
          <w:rFonts w:ascii="Arial" w:cs="Arial" w:eastAsia="Arial" w:hAnsi="Arial"/>
          <w:sz w:val="13"/>
          <w:szCs w:val="13"/>
          <w:color w:val="auto"/>
        </w:rPr>
      </w:pPr>
      <w:r>
        <w:rPr>
          <w:rFonts w:ascii="Arial" w:cs="Arial" w:eastAsia="Arial" w:hAnsi="Arial"/>
          <w:sz w:val="17"/>
          <w:szCs w:val="17"/>
          <w:color w:val="auto"/>
        </w:rPr>
        <w:t>Der Verwaltungsrat ordnet im Übrigen im Rahmen von Gesetz und Statuten seine Organisation und</w:t>
      </w:r>
    </w:p>
    <w:p>
      <w:pPr>
        <w:spacing w:after="0" w:line="1" w:lineRule="exact"/>
        <w:rPr>
          <w:rFonts w:ascii="Arial" w:cs="Arial" w:eastAsia="Arial" w:hAnsi="Arial"/>
          <w:sz w:val="13"/>
          <w:szCs w:val="13"/>
          <w:color w:val="auto"/>
        </w:rPr>
      </w:pPr>
    </w:p>
    <w:p>
      <w:pPr>
        <w:ind w:left="1420" w:right="477"/>
        <w:spacing w:after="0" w:line="313" w:lineRule="auto"/>
        <w:rPr>
          <w:rFonts w:ascii="Arial" w:cs="Arial" w:eastAsia="Arial" w:hAnsi="Arial"/>
          <w:sz w:val="13"/>
          <w:szCs w:val="13"/>
          <w:color w:val="auto"/>
        </w:rPr>
      </w:pPr>
      <w:r>
        <w:rPr>
          <w:rFonts w:ascii="Arial" w:cs="Arial" w:eastAsia="Arial" w:hAnsi="Arial"/>
          <w:sz w:val="17"/>
          <w:szCs w:val="17"/>
          <w:color w:val="auto"/>
        </w:rPr>
        <w:t>Beschlussfassung durch ein Organisationsreglement.</w:t>
      </w:r>
    </w:p>
    <w:p>
      <w:pPr>
        <w:spacing w:after="0" w:line="111" w:lineRule="exact"/>
        <w:rPr>
          <w:sz w:val="20"/>
          <w:szCs w:val="20"/>
          <w:color w:val="auto"/>
        </w:rPr>
      </w:pPr>
    </w:p>
    <w:p>
      <w:pPr>
        <w:jc w:val="both"/>
        <w:ind w:left="1420" w:right="457" w:hanging="236"/>
        <w:spacing w:after="0" w:line="304" w:lineRule="auto"/>
        <w:tabs>
          <w:tab w:leader="none" w:pos="1420" w:val="left"/>
        </w:tabs>
        <w:numPr>
          <w:ilvl w:val="0"/>
          <w:numId w:val="153"/>
        </w:numPr>
        <w:rPr>
          <w:rFonts w:ascii="Arial" w:cs="Arial" w:eastAsia="Arial" w:hAnsi="Arial"/>
          <w:sz w:val="13"/>
          <w:szCs w:val="13"/>
          <w:color w:val="auto"/>
        </w:rPr>
      </w:pPr>
      <w:r>
        <w:rPr>
          <w:rFonts w:ascii="Arial" w:cs="Arial" w:eastAsia="Arial" w:hAnsi="Arial"/>
          <w:sz w:val="17"/>
          <w:szCs w:val="17"/>
          <w:color w:val="auto"/>
        </w:rPr>
        <w:t>Die Mitglieder des Verwaltungsrats haben Anspruch auf Ersatz ihrer im Interesse der Gesellschaft aufgewendeten Auslagen.</w:t>
      </w:r>
    </w:p>
    <w:p>
      <w:pPr>
        <w:spacing w:after="0" w:line="200" w:lineRule="exact"/>
        <w:rPr>
          <w:rFonts w:ascii="Arial" w:cs="Arial" w:eastAsia="Arial" w:hAnsi="Arial"/>
          <w:sz w:val="13"/>
          <w:szCs w:val="13"/>
          <w:color w:val="auto"/>
        </w:rPr>
      </w:pPr>
    </w:p>
    <w:p>
      <w:pPr>
        <w:spacing w:after="0" w:line="247" w:lineRule="exact"/>
        <w:rPr>
          <w:rFonts w:ascii="Arial" w:cs="Arial" w:eastAsia="Arial" w:hAnsi="Arial"/>
          <w:sz w:val="13"/>
          <w:szCs w:val="13"/>
          <w:color w:val="auto"/>
        </w:rPr>
      </w:pPr>
    </w:p>
    <w:p>
      <w:pPr>
        <w:ind w:left="1420"/>
        <w:spacing w:after="0"/>
        <w:rPr>
          <w:rFonts w:ascii="Arial" w:cs="Arial" w:eastAsia="Arial" w:hAnsi="Arial"/>
          <w:sz w:val="13"/>
          <w:szCs w:val="13"/>
          <w:color w:val="auto"/>
        </w:rPr>
      </w:pPr>
      <w:r>
        <w:rPr>
          <w:rFonts w:ascii="Arial" w:cs="Arial" w:eastAsia="Arial" w:hAnsi="Arial"/>
          <w:sz w:val="17"/>
          <w:szCs w:val="17"/>
          <w:b w:val="1"/>
          <w:bCs w:val="1"/>
          <w:color w:val="auto"/>
        </w:rPr>
        <w:t>Artikel 18</w:t>
      </w:r>
    </w:p>
    <w:p>
      <w:pPr>
        <w:spacing w:after="0" w:line="20" w:lineRule="exact"/>
        <w:rPr>
          <w:sz w:val="20"/>
          <w:szCs w:val="20"/>
          <w:color w:val="auto"/>
        </w:rPr>
      </w:pPr>
      <w:r>
        <w:rPr>
          <w:sz w:val="20"/>
          <w:szCs w:val="20"/>
          <w:color w:val="auto"/>
        </w:rPr>
        <w:br w:type="column"/>
      </w:r>
    </w:p>
    <w:p>
      <w:pPr>
        <w:jc w:val="both"/>
        <w:ind w:left="243" w:hanging="243"/>
        <w:spacing w:after="0" w:line="287" w:lineRule="auto"/>
        <w:tabs>
          <w:tab w:leader="none" w:pos="243" w:val="left"/>
        </w:tabs>
        <w:numPr>
          <w:ilvl w:val="0"/>
          <w:numId w:val="154"/>
        </w:numPr>
        <w:rPr>
          <w:rFonts w:ascii="Arial" w:cs="Arial" w:eastAsia="Arial" w:hAnsi="Arial"/>
          <w:sz w:val="13"/>
          <w:szCs w:val="13"/>
          <w:color w:val="auto"/>
        </w:rPr>
      </w:pPr>
      <w:r>
        <w:rPr>
          <w:rFonts w:ascii="Arial" w:cs="Arial" w:eastAsia="Arial" w:hAnsi="Arial"/>
          <w:sz w:val="17"/>
          <w:szCs w:val="17"/>
          <w:color w:val="auto"/>
        </w:rPr>
        <w:t>Subject to applicable law and these Articles of Incorporation, the board of directors shall establish</w:t>
      </w:r>
    </w:p>
    <w:p>
      <w:pPr>
        <w:spacing w:after="0" w:line="1" w:lineRule="exact"/>
        <w:rPr>
          <w:rFonts w:ascii="Arial" w:cs="Arial" w:eastAsia="Arial" w:hAnsi="Arial"/>
          <w:sz w:val="13"/>
          <w:szCs w:val="13"/>
          <w:color w:val="auto"/>
        </w:rPr>
      </w:pPr>
    </w:p>
    <w:p>
      <w:pPr>
        <w:ind w:left="243"/>
        <w:spacing w:after="0" w:line="313" w:lineRule="auto"/>
        <w:rPr>
          <w:rFonts w:ascii="Arial" w:cs="Arial" w:eastAsia="Arial" w:hAnsi="Arial"/>
          <w:sz w:val="13"/>
          <w:szCs w:val="13"/>
          <w:color w:val="auto"/>
        </w:rPr>
      </w:pPr>
      <w:r>
        <w:rPr>
          <w:rFonts w:ascii="Arial" w:cs="Arial" w:eastAsia="Arial" w:hAnsi="Arial"/>
          <w:sz w:val="17"/>
          <w:szCs w:val="17"/>
          <w:color w:val="auto"/>
        </w:rPr>
        <w:t>the particulars of its organization in organizational regulations.</w:t>
      </w:r>
    </w:p>
    <w:p>
      <w:pPr>
        <w:spacing w:after="0" w:line="111" w:lineRule="exact"/>
        <w:rPr>
          <w:sz w:val="20"/>
          <w:szCs w:val="20"/>
          <w:color w:val="auto"/>
        </w:rPr>
      </w:pPr>
    </w:p>
    <w:p>
      <w:pPr>
        <w:jc w:val="both"/>
        <w:ind w:left="243" w:hanging="243"/>
        <w:spacing w:after="0" w:line="304" w:lineRule="auto"/>
        <w:tabs>
          <w:tab w:leader="none" w:pos="243" w:val="left"/>
        </w:tabs>
        <w:numPr>
          <w:ilvl w:val="0"/>
          <w:numId w:val="155"/>
        </w:numPr>
        <w:rPr>
          <w:rFonts w:ascii="Arial" w:cs="Arial" w:eastAsia="Arial" w:hAnsi="Arial"/>
          <w:sz w:val="13"/>
          <w:szCs w:val="13"/>
          <w:color w:val="auto"/>
        </w:rPr>
      </w:pPr>
      <w:r>
        <w:rPr>
          <w:rFonts w:ascii="Arial" w:cs="Arial" w:eastAsia="Arial" w:hAnsi="Arial"/>
          <w:sz w:val="17"/>
          <w:szCs w:val="17"/>
          <w:color w:val="auto"/>
        </w:rPr>
        <w:t>The members of the board of directors shall be entitled to the reimbursement of all expenses incurred in the interests of the Company.</w:t>
      </w:r>
    </w:p>
    <w:p>
      <w:pPr>
        <w:spacing w:after="0" w:line="200" w:lineRule="exact"/>
        <w:rPr>
          <w:rFonts w:ascii="Arial" w:cs="Arial" w:eastAsia="Arial" w:hAnsi="Arial"/>
          <w:sz w:val="13"/>
          <w:szCs w:val="13"/>
          <w:color w:val="auto"/>
        </w:rPr>
      </w:pPr>
    </w:p>
    <w:p>
      <w:pPr>
        <w:spacing w:after="0" w:line="247" w:lineRule="exact"/>
        <w:rPr>
          <w:rFonts w:ascii="Arial" w:cs="Arial" w:eastAsia="Arial" w:hAnsi="Arial"/>
          <w:sz w:val="13"/>
          <w:szCs w:val="13"/>
          <w:color w:val="auto"/>
        </w:rPr>
      </w:pPr>
    </w:p>
    <w:p>
      <w:pPr>
        <w:ind w:left="243"/>
        <w:spacing w:after="0"/>
        <w:rPr>
          <w:rFonts w:ascii="Arial" w:cs="Arial" w:eastAsia="Arial" w:hAnsi="Arial"/>
          <w:sz w:val="13"/>
          <w:szCs w:val="13"/>
          <w:color w:val="auto"/>
        </w:rPr>
      </w:pPr>
      <w:r>
        <w:rPr>
          <w:rFonts w:ascii="Arial" w:cs="Arial" w:eastAsia="Arial" w:hAnsi="Arial"/>
          <w:sz w:val="17"/>
          <w:szCs w:val="17"/>
          <w:b w:val="1"/>
          <w:bCs w:val="1"/>
          <w:color w:val="auto"/>
        </w:rPr>
        <w:t>Article 18</w:t>
      </w:r>
    </w:p>
    <w:p>
      <w:pPr>
        <w:spacing w:after="0" w:line="197" w:lineRule="exact"/>
        <w:rPr>
          <w:sz w:val="20"/>
          <w:szCs w:val="20"/>
          <w:color w:val="auto"/>
        </w:rPr>
      </w:pPr>
    </w:p>
    <w:p>
      <w:pPr>
        <w:sectPr>
          <w:pgSz w:w="11900" w:h="16838" w:orient="portrait"/>
          <w:cols w:equalWidth="0" w:num="2">
            <w:col w:w="5757" w:space="720"/>
            <w:col w:w="4103"/>
          </w:cols>
          <w:pgMar w:left="360" w:top="132" w:right="9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Arial" w:cs="Arial" w:eastAsia="Arial" w:hAnsi="Arial"/>
                <w:sz w:val="13"/>
                <w:szCs w:val="13"/>
                <w:color w:val="auto"/>
              </w:rPr>
              <w:t>Einberufung,</w:t>
            </w:r>
          </w:p>
        </w:tc>
        <w:tc>
          <w:tcPr>
            <w:tcW w:w="4220" w:type="dxa"/>
            <w:vAlign w:val="bottom"/>
          </w:tcPr>
          <w:p>
            <w:pPr>
              <w:jc w:val="right"/>
              <w:ind w:right="1"/>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Sitzungen  des  Verwaltungsrats  werden  vom</w:t>
            </w:r>
          </w:p>
        </w:tc>
        <w:tc>
          <w:tcPr>
            <w:tcW w:w="820" w:type="dxa"/>
            <w:vAlign w:val="bottom"/>
          </w:tcPr>
          <w:p>
            <w:pPr>
              <w:ind w:left="80"/>
              <w:spacing w:after="0"/>
              <w:rPr>
                <w:sz w:val="20"/>
                <w:szCs w:val="20"/>
                <w:color w:val="auto"/>
              </w:rPr>
            </w:pPr>
            <w:r>
              <w:rPr>
                <w:rFonts w:ascii="Arial" w:cs="Arial" w:eastAsia="Arial" w:hAnsi="Arial"/>
                <w:sz w:val="13"/>
                <w:szCs w:val="13"/>
                <w:color w:val="auto"/>
              </w:rPr>
              <w:t>Invitation,</w:t>
            </w:r>
          </w:p>
        </w:tc>
      </w:tr>
      <w:tr>
        <w:trPr>
          <w:trHeight w:val="228"/>
        </w:trPr>
        <w:tc>
          <w:tcPr>
            <w:tcW w:w="1160" w:type="dxa"/>
            <w:vAlign w:val="bottom"/>
          </w:tcPr>
          <w:p>
            <w:pPr>
              <w:spacing w:after="0"/>
              <w:rPr>
                <w:sz w:val="20"/>
                <w:szCs w:val="20"/>
                <w:color w:val="auto"/>
              </w:rPr>
            </w:pPr>
            <w:r>
              <w:rPr>
                <w:rFonts w:ascii="Arial" w:cs="Arial" w:eastAsia="Arial" w:hAnsi="Arial"/>
                <w:sz w:val="13"/>
                <w:szCs w:val="13"/>
                <w:color w:val="auto"/>
              </w:rPr>
              <w:t>Beschlussfassung,</w:t>
            </w:r>
          </w:p>
        </w:tc>
        <w:tc>
          <w:tcPr>
            <w:tcW w:w="4220" w:type="dxa"/>
            <w:vAlign w:val="bottom"/>
          </w:tcPr>
          <w:p>
            <w:pPr>
              <w:jc w:val="right"/>
              <w:ind w:right="1"/>
              <w:spacing w:after="0"/>
              <w:rPr>
                <w:sz w:val="20"/>
                <w:szCs w:val="20"/>
                <w:color w:val="auto"/>
              </w:rPr>
            </w:pPr>
            <w:r>
              <w:rPr>
                <w:rFonts w:ascii="Arial" w:cs="Arial" w:eastAsia="Arial" w:hAnsi="Arial"/>
                <w:sz w:val="17"/>
                <w:szCs w:val="17"/>
                <w:color w:val="auto"/>
              </w:rPr>
              <w:t>Präsidenten oder im Falle seiner Verhinderung vom</w:t>
            </w:r>
          </w:p>
        </w:tc>
        <w:tc>
          <w:tcPr>
            <w:tcW w:w="820" w:type="dxa"/>
            <w:vAlign w:val="bottom"/>
          </w:tcPr>
          <w:p>
            <w:pPr>
              <w:ind w:left="80"/>
              <w:spacing w:after="0"/>
              <w:rPr>
                <w:sz w:val="20"/>
                <w:szCs w:val="20"/>
                <w:color w:val="auto"/>
              </w:rPr>
            </w:pPr>
            <w:r>
              <w:rPr>
                <w:rFonts w:ascii="Arial" w:cs="Arial" w:eastAsia="Arial" w:hAnsi="Arial"/>
                <w:sz w:val="13"/>
                <w:szCs w:val="13"/>
                <w:color w:val="auto"/>
              </w:rPr>
              <w:t>Resolutions,</w:t>
            </w:r>
          </w:p>
        </w:tc>
      </w:tr>
      <w:tr>
        <w:trPr>
          <w:trHeight w:val="241"/>
        </w:trPr>
        <w:tc>
          <w:tcPr>
            <w:tcW w:w="1160" w:type="dxa"/>
            <w:vAlign w:val="bottom"/>
          </w:tcPr>
          <w:p>
            <w:pPr>
              <w:spacing w:after="0"/>
              <w:rPr>
                <w:sz w:val="20"/>
                <w:szCs w:val="20"/>
                <w:color w:val="auto"/>
              </w:rPr>
            </w:pPr>
            <w:r>
              <w:rPr>
                <w:rFonts w:ascii="Arial" w:cs="Arial" w:eastAsia="Arial" w:hAnsi="Arial"/>
                <w:sz w:val="13"/>
                <w:szCs w:val="13"/>
                <w:color w:val="auto"/>
              </w:rPr>
              <w:t>Protokoll</w:t>
            </w:r>
          </w:p>
        </w:tc>
        <w:tc>
          <w:tcPr>
            <w:tcW w:w="4220" w:type="dxa"/>
            <w:vAlign w:val="bottom"/>
          </w:tcPr>
          <w:p>
            <w:pPr>
              <w:jc w:val="right"/>
              <w:ind w:right="21"/>
              <w:spacing w:after="0"/>
              <w:rPr>
                <w:sz w:val="20"/>
                <w:szCs w:val="20"/>
                <w:color w:val="auto"/>
              </w:rPr>
            </w:pPr>
            <w:r>
              <w:rPr>
                <w:rFonts w:ascii="Arial" w:cs="Arial" w:eastAsia="Arial" w:hAnsi="Arial"/>
                <w:sz w:val="17"/>
                <w:szCs w:val="17"/>
                <w:color w:val="auto"/>
              </w:rPr>
              <w:t>Vize-Präsidenten oder einem anderen Mitglied des</w:t>
            </w:r>
          </w:p>
        </w:tc>
        <w:tc>
          <w:tcPr>
            <w:tcW w:w="820" w:type="dxa"/>
            <w:vAlign w:val="bottom"/>
          </w:tcPr>
          <w:p>
            <w:pPr>
              <w:ind w:left="80"/>
              <w:spacing w:after="0"/>
              <w:rPr>
                <w:sz w:val="20"/>
                <w:szCs w:val="20"/>
                <w:color w:val="auto"/>
              </w:rPr>
            </w:pPr>
            <w:r>
              <w:rPr>
                <w:rFonts w:ascii="Arial" w:cs="Arial" w:eastAsia="Arial" w:hAnsi="Arial"/>
                <w:sz w:val="13"/>
                <w:szCs w:val="13"/>
                <w:color w:val="auto"/>
              </w:rPr>
              <w:t>Minutes</w:t>
            </w:r>
          </w:p>
        </w:tc>
      </w:tr>
    </w:tbl>
    <w:p>
      <w:pPr>
        <w:spacing w:after="0" w:line="5" w:lineRule="exact"/>
        <w:rPr>
          <w:sz w:val="20"/>
          <w:szCs w:val="20"/>
          <w:color w:val="auto"/>
        </w:rPr>
      </w:pPr>
    </w:p>
    <w:p>
      <w:pPr>
        <w:jc w:val="both"/>
        <w:ind w:left="1420" w:right="900"/>
        <w:spacing w:after="0" w:line="317" w:lineRule="auto"/>
        <w:rPr>
          <w:sz w:val="20"/>
          <w:szCs w:val="20"/>
          <w:color w:val="auto"/>
        </w:rPr>
      </w:pPr>
      <w:r>
        <w:rPr>
          <w:rFonts w:ascii="Arial" w:cs="Arial" w:eastAsia="Arial" w:hAnsi="Arial"/>
          <w:sz w:val="16"/>
          <w:szCs w:val="16"/>
          <w:color w:val="auto"/>
        </w:rPr>
        <w:t>Verwaltungsrats einberufen, so oft dies als notwendig erscheint oder wenn ein Mitglied es schriftlich oder per E-Mail oder einer anderen Art der elektronischen Übermittlung unter Angabe der Gründe verlangt. Sitzungen können auch per Telefon- oder Videokonferenz durchgeführt werden.</w:t>
      </w:r>
    </w:p>
    <w:p>
      <w:pPr>
        <w:spacing w:after="0" w:line="20" w:lineRule="exact"/>
        <w:rPr>
          <w:sz w:val="20"/>
          <w:szCs w:val="20"/>
          <w:color w:val="auto"/>
        </w:rPr>
      </w:pPr>
      <w:r>
        <w:rPr>
          <w:sz w:val="20"/>
          <w:szCs w:val="20"/>
          <w:color w:val="auto"/>
        </w:rPr>
        <w:br w:type="column"/>
      </w:r>
    </w:p>
    <w:p>
      <w:pPr>
        <w:jc w:val="both"/>
        <w:ind w:left="243" w:hanging="243"/>
        <w:spacing w:after="0" w:line="272" w:lineRule="auto"/>
        <w:tabs>
          <w:tab w:leader="none" w:pos="243" w:val="left"/>
        </w:tabs>
        <w:numPr>
          <w:ilvl w:val="0"/>
          <w:numId w:val="156"/>
        </w:numPr>
        <w:rPr>
          <w:rFonts w:ascii="Arial" w:cs="Arial" w:eastAsia="Arial" w:hAnsi="Arial"/>
          <w:sz w:val="13"/>
          <w:szCs w:val="13"/>
          <w:color w:val="auto"/>
        </w:rPr>
      </w:pPr>
      <w:r>
        <w:rPr>
          <w:rFonts w:ascii="Arial" w:cs="Arial" w:eastAsia="Arial" w:hAnsi="Arial"/>
          <w:sz w:val="17"/>
          <w:szCs w:val="17"/>
          <w:color w:val="auto"/>
        </w:rPr>
        <w:t>The chairman or, should he be unable to do so, the vice-chairman or any other member of the board of directors shall convene meetings of the board of directors if and when the need arises or whenever a member indicating the reasons so requests in</w:t>
      </w:r>
    </w:p>
    <w:p>
      <w:pPr>
        <w:spacing w:after="0" w:line="6" w:lineRule="exact"/>
        <w:rPr>
          <w:rFonts w:ascii="Arial" w:cs="Arial" w:eastAsia="Arial" w:hAnsi="Arial"/>
          <w:sz w:val="13"/>
          <w:szCs w:val="13"/>
          <w:color w:val="auto"/>
        </w:rPr>
      </w:pPr>
    </w:p>
    <w:p>
      <w:pPr>
        <w:jc w:val="both"/>
        <w:ind w:left="243"/>
        <w:spacing w:after="0" w:line="288" w:lineRule="auto"/>
        <w:rPr>
          <w:rFonts w:ascii="Arial" w:cs="Arial" w:eastAsia="Arial" w:hAnsi="Arial"/>
          <w:sz w:val="13"/>
          <w:szCs w:val="13"/>
          <w:color w:val="auto"/>
        </w:rPr>
      </w:pPr>
      <w:r>
        <w:rPr>
          <w:rFonts w:ascii="Arial" w:cs="Arial" w:eastAsia="Arial" w:hAnsi="Arial"/>
          <w:sz w:val="17"/>
          <w:szCs w:val="17"/>
          <w:color w:val="auto"/>
        </w:rPr>
        <w:t>writing or via e-mail or another form of electronic communication. Meetings may also be held by telephone or video conference.</w:t>
      </w:r>
    </w:p>
    <w:p>
      <w:pPr>
        <w:spacing w:after="0" w:line="448" w:lineRule="exact"/>
        <w:rPr>
          <w:sz w:val="20"/>
          <w:szCs w:val="20"/>
          <w:color w:val="auto"/>
        </w:rPr>
      </w:pPr>
    </w:p>
    <w:p>
      <w:pPr>
        <w:sectPr>
          <w:pgSz w:w="11900" w:h="16838" w:orient="portrait"/>
          <w:cols w:equalWidth="0" w:num="2">
            <w:col w:w="6200" w:space="277"/>
            <w:col w:w="4103"/>
          </w:cols>
          <w:pgMar w:left="360" w:top="132" w:right="959" w:bottom="1440" w:gutter="0" w:footer="0" w:header="0"/>
          <w:type w:val="continuous"/>
        </w:sectPr>
      </w:pPr>
    </w:p>
    <w:p>
      <w:pPr>
        <w:jc w:val="both"/>
        <w:ind w:left="1420" w:right="457" w:hanging="236"/>
        <w:spacing w:after="0" w:line="304" w:lineRule="auto"/>
        <w:tabs>
          <w:tab w:leader="none" w:pos="1420" w:val="left"/>
        </w:tabs>
        <w:numPr>
          <w:ilvl w:val="0"/>
          <w:numId w:val="157"/>
        </w:numPr>
        <w:rPr>
          <w:rFonts w:ascii="Arial" w:cs="Arial" w:eastAsia="Arial" w:hAnsi="Arial"/>
          <w:sz w:val="13"/>
          <w:szCs w:val="13"/>
          <w:color w:val="auto"/>
        </w:rPr>
      </w:pPr>
      <w:r>
        <w:rPr>
          <w:rFonts w:ascii="Arial" w:cs="Arial" w:eastAsia="Arial" w:hAnsi="Arial"/>
          <w:sz w:val="17"/>
          <w:szCs w:val="17"/>
          <w:color w:val="auto"/>
        </w:rPr>
        <w:t>Der Verwaltungsrat fasst seine Beschlüsse mit der Mehrheit der abgegebenen Stimmen. Der Vorsitzende hat den Stichentscheid.</w:t>
      </w:r>
    </w:p>
    <w:p>
      <w:pPr>
        <w:spacing w:after="0" w:line="346" w:lineRule="exact"/>
        <w:rPr>
          <w:sz w:val="20"/>
          <w:szCs w:val="20"/>
          <w:color w:val="auto"/>
        </w:rPr>
      </w:pPr>
    </w:p>
    <w:p>
      <w:pPr>
        <w:jc w:val="both"/>
        <w:ind w:left="1420" w:right="457" w:hanging="236"/>
        <w:spacing w:after="0" w:line="287" w:lineRule="auto"/>
        <w:tabs>
          <w:tab w:leader="none" w:pos="1420" w:val="left"/>
        </w:tabs>
        <w:numPr>
          <w:ilvl w:val="0"/>
          <w:numId w:val="158"/>
        </w:numPr>
        <w:rPr>
          <w:rFonts w:ascii="Arial" w:cs="Arial" w:eastAsia="Arial" w:hAnsi="Arial"/>
          <w:sz w:val="13"/>
          <w:szCs w:val="13"/>
          <w:color w:val="auto"/>
        </w:rPr>
      </w:pPr>
      <w:r>
        <w:rPr>
          <w:rFonts w:ascii="Arial" w:cs="Arial" w:eastAsia="Arial" w:hAnsi="Arial"/>
          <w:sz w:val="17"/>
          <w:szCs w:val="17"/>
          <w:color w:val="auto"/>
        </w:rPr>
        <w:t>Zur Beschlussfähigkeit des Verwaltungsrats ist die Anwesenheit der Mehrheit seiner Mitglieder</w:t>
      </w:r>
    </w:p>
    <w:p>
      <w:pPr>
        <w:spacing w:after="0" w:line="1" w:lineRule="exact"/>
        <w:rPr>
          <w:rFonts w:ascii="Arial" w:cs="Arial" w:eastAsia="Arial" w:hAnsi="Arial"/>
          <w:sz w:val="13"/>
          <w:szCs w:val="13"/>
          <w:color w:val="auto"/>
        </w:rPr>
      </w:pPr>
    </w:p>
    <w:p>
      <w:pPr>
        <w:jc w:val="both"/>
        <w:ind w:left="1420" w:right="457"/>
        <w:spacing w:after="0" w:line="305" w:lineRule="auto"/>
        <w:rPr>
          <w:rFonts w:ascii="Arial" w:cs="Arial" w:eastAsia="Arial" w:hAnsi="Arial"/>
          <w:sz w:val="13"/>
          <w:szCs w:val="13"/>
          <w:color w:val="auto"/>
        </w:rPr>
      </w:pPr>
      <w:r>
        <w:rPr>
          <w:rFonts w:ascii="Arial" w:cs="Arial" w:eastAsia="Arial" w:hAnsi="Arial"/>
          <w:sz w:val="16"/>
          <w:szCs w:val="16"/>
          <w:color w:val="auto"/>
        </w:rPr>
        <w:t>erforderlich. Kein Präsenzquorum ist erforderlich für die Anpassungs- und Feststellungsbeschlüsse des</w:t>
      </w:r>
    </w:p>
    <w:p>
      <w:pPr>
        <w:jc w:val="both"/>
        <w:ind w:left="1420" w:right="457"/>
        <w:spacing w:after="0" w:line="304" w:lineRule="auto"/>
        <w:rPr>
          <w:rFonts w:ascii="Arial" w:cs="Arial" w:eastAsia="Arial" w:hAnsi="Arial"/>
          <w:sz w:val="13"/>
          <w:szCs w:val="13"/>
          <w:color w:val="auto"/>
        </w:rPr>
      </w:pPr>
      <w:r>
        <w:rPr>
          <w:rFonts w:ascii="Arial" w:cs="Arial" w:eastAsia="Arial" w:hAnsi="Arial"/>
          <w:sz w:val="17"/>
          <w:szCs w:val="17"/>
          <w:color w:val="auto"/>
        </w:rPr>
        <w:t>Verwaltungsrats im Zusammenhang mit Kapitalerhöhungen oder einem Wechsel der Währung des Aktienkapitals.</w:t>
      </w:r>
    </w:p>
    <w:p>
      <w:pPr>
        <w:spacing w:after="0" w:line="20" w:lineRule="exact"/>
        <w:rPr>
          <w:sz w:val="20"/>
          <w:szCs w:val="20"/>
          <w:color w:val="auto"/>
        </w:rPr>
      </w:pPr>
      <w:r>
        <w:rPr>
          <w:sz w:val="20"/>
          <w:szCs w:val="20"/>
          <w:color w:val="auto"/>
        </w:rPr>
        <w:br w:type="column"/>
      </w:r>
    </w:p>
    <w:p>
      <w:pPr>
        <w:jc w:val="both"/>
        <w:ind w:left="243" w:hanging="243"/>
        <w:spacing w:after="0" w:line="287" w:lineRule="auto"/>
        <w:tabs>
          <w:tab w:leader="none" w:pos="243" w:val="left"/>
        </w:tabs>
        <w:numPr>
          <w:ilvl w:val="0"/>
          <w:numId w:val="159"/>
        </w:numPr>
        <w:rPr>
          <w:rFonts w:ascii="Arial" w:cs="Arial" w:eastAsia="Arial" w:hAnsi="Arial"/>
          <w:sz w:val="13"/>
          <w:szCs w:val="13"/>
          <w:color w:val="auto"/>
        </w:rPr>
      </w:pPr>
      <w:r>
        <w:rPr>
          <w:rFonts w:ascii="Arial" w:cs="Arial" w:eastAsia="Arial" w:hAnsi="Arial"/>
          <w:sz w:val="17"/>
          <w:szCs w:val="17"/>
          <w:color w:val="auto"/>
        </w:rPr>
        <w:t>Resolutions of the board of directors shall be adopted upon a majority of the votes cast. In the</w:t>
      </w:r>
    </w:p>
    <w:p>
      <w:pPr>
        <w:spacing w:after="0" w:line="1" w:lineRule="exact"/>
        <w:rPr>
          <w:rFonts w:ascii="Arial" w:cs="Arial" w:eastAsia="Arial" w:hAnsi="Arial"/>
          <w:sz w:val="13"/>
          <w:szCs w:val="13"/>
          <w:color w:val="auto"/>
        </w:rPr>
      </w:pPr>
    </w:p>
    <w:p>
      <w:pPr>
        <w:ind w:left="243"/>
        <w:spacing w:after="0" w:line="313" w:lineRule="auto"/>
        <w:rPr>
          <w:rFonts w:ascii="Arial" w:cs="Arial" w:eastAsia="Arial" w:hAnsi="Arial"/>
          <w:sz w:val="13"/>
          <w:szCs w:val="13"/>
          <w:color w:val="auto"/>
        </w:rPr>
      </w:pPr>
      <w:r>
        <w:rPr>
          <w:rFonts w:ascii="Arial" w:cs="Arial" w:eastAsia="Arial" w:hAnsi="Arial"/>
          <w:sz w:val="17"/>
          <w:szCs w:val="17"/>
          <w:color w:val="auto"/>
        </w:rPr>
        <w:t>event of a tie, the chairman shall have the casting vote.</w:t>
      </w:r>
    </w:p>
    <w:p>
      <w:pPr>
        <w:spacing w:after="0" w:line="111" w:lineRule="exact"/>
        <w:rPr>
          <w:sz w:val="20"/>
          <w:szCs w:val="20"/>
          <w:color w:val="auto"/>
        </w:rPr>
      </w:pPr>
    </w:p>
    <w:p>
      <w:pPr>
        <w:jc w:val="both"/>
        <w:ind w:left="243" w:hanging="243"/>
        <w:spacing w:after="0" w:line="287" w:lineRule="auto"/>
        <w:tabs>
          <w:tab w:leader="none" w:pos="243" w:val="left"/>
        </w:tabs>
        <w:numPr>
          <w:ilvl w:val="0"/>
          <w:numId w:val="160"/>
        </w:numPr>
        <w:rPr>
          <w:rFonts w:ascii="Arial" w:cs="Arial" w:eastAsia="Arial" w:hAnsi="Arial"/>
          <w:sz w:val="13"/>
          <w:szCs w:val="13"/>
          <w:color w:val="auto"/>
        </w:rPr>
      </w:pPr>
      <w:r>
        <w:rPr>
          <w:rFonts w:ascii="Arial" w:cs="Arial" w:eastAsia="Arial" w:hAnsi="Arial"/>
          <w:sz w:val="17"/>
          <w:szCs w:val="17"/>
          <w:color w:val="auto"/>
        </w:rPr>
        <w:t>In order to pass resolutions, at least a majority of the members of the board of directors must be</w:t>
      </w:r>
    </w:p>
    <w:p>
      <w:pPr>
        <w:spacing w:after="0" w:line="1" w:lineRule="exact"/>
        <w:rPr>
          <w:rFonts w:ascii="Arial" w:cs="Arial" w:eastAsia="Arial" w:hAnsi="Arial"/>
          <w:sz w:val="13"/>
          <w:szCs w:val="13"/>
          <w:color w:val="auto"/>
        </w:rPr>
      </w:pPr>
    </w:p>
    <w:p>
      <w:pPr>
        <w:jc w:val="both"/>
        <w:ind w:left="243"/>
        <w:spacing w:after="0" w:line="287" w:lineRule="auto"/>
        <w:rPr>
          <w:rFonts w:ascii="Arial" w:cs="Arial" w:eastAsia="Arial" w:hAnsi="Arial"/>
          <w:sz w:val="13"/>
          <w:szCs w:val="13"/>
          <w:color w:val="auto"/>
        </w:rPr>
      </w:pPr>
      <w:r>
        <w:rPr>
          <w:rFonts w:ascii="Arial" w:cs="Arial" w:eastAsia="Arial" w:hAnsi="Arial"/>
          <w:sz w:val="17"/>
          <w:szCs w:val="17"/>
          <w:color w:val="auto"/>
        </w:rPr>
        <w:t>present. No attendance quorum shall be required for confirmation or amendment resolutions of the</w:t>
      </w:r>
    </w:p>
    <w:p>
      <w:pPr>
        <w:spacing w:after="0" w:line="1" w:lineRule="exact"/>
        <w:rPr>
          <w:rFonts w:ascii="Arial" w:cs="Arial" w:eastAsia="Arial" w:hAnsi="Arial"/>
          <w:sz w:val="13"/>
          <w:szCs w:val="13"/>
          <w:color w:val="auto"/>
        </w:rPr>
      </w:pPr>
    </w:p>
    <w:p>
      <w:pPr>
        <w:jc w:val="both"/>
        <w:ind w:left="243"/>
        <w:spacing w:after="0" w:line="304" w:lineRule="auto"/>
        <w:rPr>
          <w:rFonts w:ascii="Arial" w:cs="Arial" w:eastAsia="Arial" w:hAnsi="Arial"/>
          <w:sz w:val="13"/>
          <w:szCs w:val="13"/>
          <w:color w:val="auto"/>
        </w:rPr>
      </w:pPr>
      <w:r>
        <w:rPr>
          <w:rFonts w:ascii="Arial" w:cs="Arial" w:eastAsia="Arial" w:hAnsi="Arial"/>
          <w:sz w:val="17"/>
          <w:szCs w:val="17"/>
          <w:color w:val="auto"/>
        </w:rPr>
        <w:t>board of directors in connection with capital increase or a change in the currency of the share capital.</w:t>
      </w:r>
    </w:p>
    <w:p>
      <w:pPr>
        <w:sectPr>
          <w:pgSz w:w="11900" w:h="16838" w:orient="portrait"/>
          <w:cols w:equalWidth="0" w:num="2">
            <w:col w:w="5757" w:space="720"/>
            <w:col w:w="4103"/>
          </w:cols>
          <w:pgMar w:left="360" w:top="132" w:right="959" w:bottom="1440" w:gutter="0" w:footer="0" w:header="0"/>
          <w:type w:val="continuous"/>
        </w:sectPr>
      </w:pPr>
    </w:p>
    <w:bookmarkStart w:id="242" w:name="page243"/>
    <w:bookmarkEnd w:id="242"/>
    <w:p>
      <w:pPr>
        <w:jc w:val="center"/>
        <w:ind w:right="477"/>
        <w:spacing w:after="0"/>
        <w:rPr>
          <w:sz w:val="20"/>
          <w:szCs w:val="20"/>
          <w:color w:val="auto"/>
        </w:rPr>
      </w:pPr>
      <w:r>
        <w:rPr>
          <w:rFonts w:ascii="Arial" w:cs="Arial" w:eastAsia="Arial" w:hAnsi="Arial"/>
          <w:sz w:val="13"/>
          <w:szCs w:val="13"/>
          <w:color w:val="auto"/>
        </w:rPr>
        <w:t>- 21 -</w:t>
      </w:r>
    </w:p>
    <w:p>
      <w:pPr>
        <w:sectPr>
          <w:pgSz w:w="11900" w:h="16838" w:orient="portrait"/>
          <w:cols w:equalWidth="0" w:num="1">
            <w:col w:w="9523"/>
          </w:cols>
          <w:pgMar w:left="1417"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3" w:right="305" w:hanging="243"/>
        <w:spacing w:after="0" w:line="304" w:lineRule="auto"/>
        <w:tabs>
          <w:tab w:leader="none" w:pos="243" w:val="left"/>
        </w:tabs>
        <w:numPr>
          <w:ilvl w:val="0"/>
          <w:numId w:val="161"/>
        </w:numPr>
        <w:rPr>
          <w:rFonts w:ascii="Arial" w:cs="Arial" w:eastAsia="Arial" w:hAnsi="Arial"/>
          <w:sz w:val="13"/>
          <w:szCs w:val="13"/>
          <w:color w:val="auto"/>
        </w:rPr>
      </w:pPr>
      <w:r>
        <w:rPr>
          <w:rFonts w:ascii="Arial" w:cs="Arial" w:eastAsia="Arial" w:hAnsi="Arial"/>
          <w:sz w:val="17"/>
          <w:szCs w:val="17"/>
          <w:color w:val="auto"/>
        </w:rPr>
        <w:t>Beschlüsse können auch auf schriftlichem Weg oder in elektronischer Form gefasst werden, sofern nicht ein Mitglied mündliche Beratung verlangt.</w:t>
      </w:r>
    </w:p>
    <w:p>
      <w:pPr>
        <w:spacing w:after="0" w:line="118" w:lineRule="exact"/>
        <w:rPr>
          <w:sz w:val="20"/>
          <w:szCs w:val="20"/>
          <w:color w:val="auto"/>
        </w:rPr>
      </w:pPr>
    </w:p>
    <w:p>
      <w:pPr>
        <w:jc w:val="both"/>
        <w:ind w:left="243" w:right="305" w:hanging="243"/>
        <w:spacing w:after="0" w:line="304" w:lineRule="auto"/>
        <w:tabs>
          <w:tab w:leader="none" w:pos="243" w:val="left"/>
        </w:tabs>
        <w:numPr>
          <w:ilvl w:val="0"/>
          <w:numId w:val="162"/>
        </w:numPr>
        <w:rPr>
          <w:rFonts w:ascii="Arial" w:cs="Arial" w:eastAsia="Arial" w:hAnsi="Arial"/>
          <w:sz w:val="13"/>
          <w:szCs w:val="13"/>
          <w:color w:val="auto"/>
        </w:rPr>
      </w:pPr>
      <w:r>
        <w:rPr>
          <w:rFonts w:ascii="Arial" w:cs="Arial" w:eastAsia="Arial" w:hAnsi="Arial"/>
          <w:sz w:val="17"/>
          <w:szCs w:val="17"/>
          <w:color w:val="auto"/>
        </w:rPr>
        <w:t>Die Beschlüsse sind in einem Protokoll festzuhalten, das vom Sitzungspräsidenten und dem Sekretär zu unterzeichnen ist.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35" w:hanging="239"/>
        <w:spacing w:after="0" w:line="304" w:lineRule="auto"/>
        <w:tabs>
          <w:tab w:leader="none" w:pos="214"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7"/>
          <w:szCs w:val="17"/>
          <w:color w:val="auto"/>
        </w:rPr>
        <w:t>Resolutions may be passed by way of written consent or electronically, provided that no member requests oral deliberation.</w:t>
      </w:r>
    </w:p>
    <w:p>
      <w:pPr>
        <w:spacing w:after="0" w:line="118" w:lineRule="exact"/>
        <w:rPr>
          <w:sz w:val="20"/>
          <w:szCs w:val="20"/>
          <w:color w:val="auto"/>
        </w:rPr>
      </w:pPr>
    </w:p>
    <w:p>
      <w:pPr>
        <w:jc w:val="both"/>
        <w:ind w:left="235" w:hanging="235"/>
        <w:spacing w:after="0" w:line="304" w:lineRule="auto"/>
        <w:tabs>
          <w:tab w:leader="none" w:pos="235" w:val="left"/>
        </w:tabs>
        <w:numPr>
          <w:ilvl w:val="0"/>
          <w:numId w:val="163"/>
        </w:numPr>
        <w:rPr>
          <w:rFonts w:ascii="Arial" w:cs="Arial" w:eastAsia="Arial" w:hAnsi="Arial"/>
          <w:sz w:val="13"/>
          <w:szCs w:val="13"/>
          <w:color w:val="auto"/>
        </w:rPr>
      </w:pPr>
      <w:r>
        <w:rPr>
          <w:rFonts w:ascii="Arial" w:cs="Arial" w:eastAsia="Arial" w:hAnsi="Arial"/>
          <w:sz w:val="17"/>
          <w:szCs w:val="17"/>
          <w:color w:val="auto"/>
        </w:rPr>
        <w:t>The resolutions shall be confirmed in the minutes, which are to be signed by the acting chair and the secretary.</w:t>
      </w:r>
    </w:p>
    <w:p>
      <w:pPr>
        <w:sectPr>
          <w:pgSz w:w="11900" w:h="16838" w:orient="portrait"/>
          <w:cols w:equalWidth="0" w:num="2">
            <w:col w:w="4548" w:space="720"/>
            <w:col w:w="4255"/>
          </w:cols>
          <w:pgMar w:left="1417" w:top="132" w:right="959" w:bottom="1440" w:gutter="0" w:footer="0" w:header="0"/>
          <w:type w:val="continuous"/>
        </w:sectPr>
      </w:pPr>
    </w:p>
    <w:bookmarkStart w:id="243" w:name="page244"/>
    <w:bookmarkEnd w:id="243"/>
    <w:p>
      <w:pPr>
        <w:ind w:left="5420"/>
        <w:spacing w:after="0"/>
        <w:rPr>
          <w:sz w:val="20"/>
          <w:szCs w:val="20"/>
          <w:color w:val="auto"/>
        </w:rPr>
      </w:pPr>
      <w:r>
        <w:rPr>
          <w:rFonts w:ascii="Arial" w:cs="Arial" w:eastAsia="Arial" w:hAnsi="Arial"/>
          <w:sz w:val="13"/>
          <w:szCs w:val="13"/>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4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7"/>
                <w:szCs w:val="17"/>
                <w:b w:val="1"/>
                <w:bCs w:val="1"/>
                <w:color w:val="auto"/>
              </w:rPr>
              <w:t>Artikel 19</w:t>
            </w:r>
          </w:p>
        </w:tc>
        <w:tc>
          <w:tcPr>
            <w:tcW w:w="88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7"/>
                <w:szCs w:val="17"/>
                <w:b w:val="1"/>
                <w:bCs w:val="1"/>
                <w:color w:val="auto"/>
              </w:rPr>
              <w:t>Article 19</w:t>
            </w:r>
          </w:p>
        </w:tc>
      </w:tr>
      <w:tr>
        <w:trPr>
          <w:trHeight w:val="385"/>
        </w:trPr>
        <w:tc>
          <w:tcPr>
            <w:tcW w:w="1240" w:type="dxa"/>
            <w:vAlign w:val="bottom"/>
          </w:tcPr>
          <w:p>
            <w:pPr>
              <w:spacing w:after="0"/>
              <w:rPr>
                <w:sz w:val="20"/>
                <w:szCs w:val="20"/>
                <w:color w:val="auto"/>
              </w:rPr>
            </w:pPr>
            <w:r>
              <w:rPr>
                <w:rFonts w:ascii="Arial" w:cs="Arial" w:eastAsia="Arial" w:hAnsi="Arial"/>
                <w:sz w:val="13"/>
                <w:szCs w:val="13"/>
                <w:color w:val="auto"/>
              </w:rPr>
              <w:t>Befugnisse des   1</w:t>
            </w:r>
          </w:p>
        </w:tc>
        <w:tc>
          <w:tcPr>
            <w:tcW w:w="4160" w:type="dxa"/>
            <w:vAlign w:val="bottom"/>
          </w:tcPr>
          <w:p>
            <w:pPr>
              <w:ind w:left="80"/>
              <w:spacing w:after="0"/>
              <w:rPr>
                <w:sz w:val="20"/>
                <w:szCs w:val="20"/>
                <w:color w:val="auto"/>
              </w:rPr>
            </w:pPr>
            <w:r>
              <w:rPr>
                <w:rFonts w:ascii="Arial" w:cs="Arial" w:eastAsia="Arial" w:hAnsi="Arial"/>
                <w:sz w:val="17"/>
                <w:szCs w:val="17"/>
                <w:color w:val="auto"/>
              </w:rPr>
              <w:t>Der Verwaltungsrat kann in allen Angelegenheiten</w:t>
            </w:r>
          </w:p>
        </w:tc>
        <w:tc>
          <w:tcPr>
            <w:tcW w:w="880" w:type="dxa"/>
            <w:vAlign w:val="bottom"/>
          </w:tcPr>
          <w:p>
            <w:pPr>
              <w:ind w:left="80"/>
              <w:spacing w:after="0"/>
              <w:rPr>
                <w:sz w:val="20"/>
                <w:szCs w:val="20"/>
                <w:color w:val="auto"/>
              </w:rPr>
            </w:pPr>
            <w:r>
              <w:rPr>
                <w:rFonts w:ascii="Arial" w:cs="Arial" w:eastAsia="Arial" w:hAnsi="Arial"/>
                <w:sz w:val="13"/>
                <w:szCs w:val="13"/>
                <w:color w:val="auto"/>
              </w:rPr>
              <w:t>Powers of</w:t>
            </w:r>
          </w:p>
        </w:tc>
        <w:tc>
          <w:tcPr>
            <w:tcW w:w="4300" w:type="dxa"/>
            <w:vAlign w:val="bottom"/>
          </w:tcPr>
          <w:p>
            <w:pPr>
              <w:ind w:left="8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board of directors may pass resolutions with</w:t>
            </w:r>
          </w:p>
        </w:tc>
      </w:tr>
      <w:tr>
        <w:trPr>
          <w:trHeight w:val="228"/>
        </w:trPr>
        <w:tc>
          <w:tcPr>
            <w:tcW w:w="1240" w:type="dxa"/>
            <w:vAlign w:val="bottom"/>
          </w:tcPr>
          <w:p>
            <w:pPr>
              <w:spacing w:after="0"/>
              <w:rPr>
                <w:sz w:val="20"/>
                <w:szCs w:val="20"/>
                <w:color w:val="auto"/>
              </w:rPr>
            </w:pPr>
            <w:r>
              <w:rPr>
                <w:rFonts w:ascii="Arial" w:cs="Arial" w:eastAsia="Arial" w:hAnsi="Arial"/>
                <w:sz w:val="13"/>
                <w:szCs w:val="13"/>
                <w:color w:val="auto"/>
              </w:rPr>
              <w:t>Verwaltungsrates</w:t>
            </w:r>
          </w:p>
        </w:tc>
        <w:tc>
          <w:tcPr>
            <w:tcW w:w="4160" w:type="dxa"/>
            <w:vAlign w:val="bottom"/>
          </w:tcPr>
          <w:p>
            <w:pPr>
              <w:ind w:left="80"/>
              <w:spacing w:after="0"/>
              <w:rPr>
                <w:sz w:val="20"/>
                <w:szCs w:val="20"/>
                <w:color w:val="auto"/>
              </w:rPr>
            </w:pPr>
            <w:r>
              <w:rPr>
                <w:rFonts w:ascii="Arial" w:cs="Arial" w:eastAsia="Arial" w:hAnsi="Arial"/>
                <w:sz w:val="17"/>
                <w:szCs w:val="17"/>
                <w:color w:val="auto"/>
              </w:rPr>
              <w:t>Beschluss fassen, die nicht nach Gesetz, Statuten</w:t>
            </w:r>
          </w:p>
        </w:tc>
        <w:tc>
          <w:tcPr>
            <w:tcW w:w="880" w:type="dxa"/>
            <w:vAlign w:val="bottom"/>
          </w:tcPr>
          <w:p>
            <w:pPr>
              <w:ind w:left="80"/>
              <w:spacing w:after="0"/>
              <w:rPr>
                <w:sz w:val="20"/>
                <w:szCs w:val="20"/>
                <w:color w:val="auto"/>
              </w:rPr>
            </w:pPr>
            <w:r>
              <w:rPr>
                <w:rFonts w:ascii="Arial" w:cs="Arial" w:eastAsia="Arial" w:hAnsi="Arial"/>
                <w:sz w:val="13"/>
                <w:szCs w:val="13"/>
                <w:color w:val="auto"/>
              </w:rPr>
              <w:t>the Board of</w:t>
            </w:r>
          </w:p>
        </w:tc>
        <w:tc>
          <w:tcPr>
            <w:tcW w:w="4300" w:type="dxa"/>
            <w:vAlign w:val="bottom"/>
          </w:tcPr>
          <w:p>
            <w:pPr>
              <w:ind w:left="320"/>
              <w:spacing w:after="0"/>
              <w:rPr>
                <w:sz w:val="20"/>
                <w:szCs w:val="20"/>
                <w:color w:val="auto"/>
              </w:rPr>
            </w:pPr>
            <w:r>
              <w:rPr>
                <w:rFonts w:ascii="Arial" w:cs="Arial" w:eastAsia="Arial" w:hAnsi="Arial"/>
                <w:sz w:val="17"/>
                <w:szCs w:val="17"/>
                <w:color w:val="auto"/>
              </w:rPr>
              <w:t>respect to all matters that are not reserved to the</w:t>
            </w:r>
          </w:p>
        </w:tc>
      </w:tr>
      <w:tr>
        <w:trPr>
          <w:trHeight w:val="241"/>
        </w:trPr>
        <w:tc>
          <w:tcPr>
            <w:tcW w:w="124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oder   Reglement   einem   anderen   Organ   der</w:t>
            </w:r>
          </w:p>
        </w:tc>
        <w:tc>
          <w:tcPr>
            <w:tcW w:w="880" w:type="dxa"/>
            <w:vAlign w:val="bottom"/>
          </w:tcPr>
          <w:p>
            <w:pPr>
              <w:ind w:left="80"/>
              <w:spacing w:after="0"/>
              <w:rPr>
                <w:sz w:val="20"/>
                <w:szCs w:val="20"/>
                <w:color w:val="auto"/>
              </w:rPr>
            </w:pPr>
            <w:r>
              <w:rPr>
                <w:rFonts w:ascii="Arial" w:cs="Arial" w:eastAsia="Arial" w:hAnsi="Arial"/>
                <w:sz w:val="13"/>
                <w:szCs w:val="13"/>
                <w:color w:val="auto"/>
              </w:rPr>
              <w:t>Directors</w:t>
            </w:r>
          </w:p>
        </w:tc>
        <w:tc>
          <w:tcPr>
            <w:tcW w:w="4300" w:type="dxa"/>
            <w:vAlign w:val="bottom"/>
          </w:tcPr>
          <w:p>
            <w:pPr>
              <w:ind w:left="320"/>
              <w:spacing w:after="0"/>
              <w:rPr>
                <w:sz w:val="20"/>
                <w:szCs w:val="20"/>
                <w:color w:val="auto"/>
              </w:rPr>
            </w:pPr>
            <w:r>
              <w:rPr>
                <w:rFonts w:ascii="Arial" w:cs="Arial" w:eastAsia="Arial" w:hAnsi="Arial"/>
                <w:sz w:val="17"/>
                <w:szCs w:val="17"/>
                <w:color w:val="auto"/>
              </w:rPr>
              <w:t>general  meeting  of  shareholders  or  any  other</w:t>
            </w:r>
          </w:p>
        </w:tc>
      </w:tr>
      <w:tr>
        <w:trPr>
          <w:trHeight w:val="228"/>
        </w:trPr>
        <w:tc>
          <w:tcPr>
            <w:tcW w:w="1240" w:type="dxa"/>
            <w:vAlign w:val="bottom"/>
          </w:tcPr>
          <w:p>
            <w:pPr>
              <w:spacing w:after="0"/>
              <w:rPr>
                <w:sz w:val="19"/>
                <w:szCs w:val="19"/>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Gesellschaft übertragen sind.</w:t>
            </w:r>
          </w:p>
        </w:tc>
        <w:tc>
          <w:tcPr>
            <w:tcW w:w="880" w:type="dxa"/>
            <w:vAlign w:val="bottom"/>
          </w:tcPr>
          <w:p>
            <w:pPr>
              <w:spacing w:after="0"/>
              <w:rPr>
                <w:sz w:val="19"/>
                <w:szCs w:val="19"/>
                <w:color w:val="auto"/>
              </w:rPr>
            </w:pPr>
          </w:p>
        </w:tc>
        <w:tc>
          <w:tcPr>
            <w:tcW w:w="4300" w:type="dxa"/>
            <w:vAlign w:val="bottom"/>
          </w:tcPr>
          <w:p>
            <w:pPr>
              <w:ind w:left="320"/>
              <w:spacing w:after="0"/>
              <w:rPr>
                <w:sz w:val="20"/>
                <w:szCs w:val="20"/>
                <w:color w:val="auto"/>
              </w:rPr>
            </w:pPr>
            <w:r>
              <w:rPr>
                <w:rFonts w:ascii="Arial" w:cs="Arial" w:eastAsia="Arial" w:hAnsi="Arial"/>
                <w:sz w:val="17"/>
                <w:szCs w:val="17"/>
                <w:color w:val="auto"/>
              </w:rPr>
              <w:t>corporate body by law or under these Articles of</w:t>
            </w:r>
          </w:p>
        </w:tc>
      </w:tr>
      <w:tr>
        <w:trPr>
          <w:trHeight w:val="241"/>
        </w:trPr>
        <w:tc>
          <w:tcPr>
            <w:tcW w:w="1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7"/>
                <w:szCs w:val="17"/>
                <w:color w:val="auto"/>
              </w:rPr>
              <w:t>Incorporation.</w:t>
            </w:r>
          </w:p>
        </w:tc>
      </w:tr>
    </w:tbl>
    <w:p>
      <w:pPr>
        <w:spacing w:after="0" w:line="170" w:lineRule="exact"/>
        <w:rPr>
          <w:sz w:val="20"/>
          <w:szCs w:val="20"/>
          <w:color w:val="auto"/>
        </w:rPr>
      </w:pPr>
    </w:p>
    <w:p>
      <w:pPr>
        <w:sectPr>
          <w:pgSz w:w="11900" w:h="16838" w:orient="portrait"/>
          <w:cols w:equalWidth="0" w:num="1">
            <w:col w:w="10580"/>
          </w:cols>
          <w:pgMar w:left="360" w:top="132" w:right="959" w:bottom="1440" w:gutter="0" w:footer="0" w:header="0"/>
        </w:sectPr>
      </w:pPr>
    </w:p>
    <w:p>
      <w:pPr>
        <w:ind w:left="1320" w:right="551" w:hanging="225"/>
        <w:spacing w:after="0" w:line="313" w:lineRule="auto"/>
        <w:tabs>
          <w:tab w:leader="none" w:pos="1320" w:val="left"/>
        </w:tabs>
        <w:numPr>
          <w:ilvl w:val="0"/>
          <w:numId w:val="164"/>
        </w:numPr>
        <w:rPr>
          <w:rFonts w:ascii="Arial" w:cs="Arial" w:eastAsia="Arial" w:hAnsi="Arial"/>
          <w:sz w:val="13"/>
          <w:szCs w:val="13"/>
          <w:color w:val="auto"/>
        </w:rPr>
      </w:pPr>
      <w:r>
        <w:rPr>
          <w:rFonts w:ascii="Arial" w:cs="Arial" w:eastAsia="Arial" w:hAnsi="Arial"/>
          <w:sz w:val="17"/>
          <w:szCs w:val="17"/>
          <w:color w:val="auto"/>
        </w:rPr>
        <w:t>Er hat folgende unübertragbare und unentziehbare Aufgaben:</w:t>
      </w:r>
    </w:p>
    <w:p>
      <w:pPr>
        <w:spacing w:after="0" w:line="9" w:lineRule="exact"/>
        <w:rPr>
          <w:rFonts w:ascii="Arial" w:cs="Arial" w:eastAsia="Arial" w:hAnsi="Arial"/>
          <w:sz w:val="13"/>
          <w:szCs w:val="13"/>
          <w:color w:val="auto"/>
        </w:rPr>
      </w:pPr>
    </w:p>
    <w:p>
      <w:pPr>
        <w:ind w:left="1740" w:right="551" w:hanging="417"/>
        <w:spacing w:after="0" w:line="313" w:lineRule="auto"/>
        <w:tabs>
          <w:tab w:leader="none" w:pos="173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Oberleitung der Gesellschaft und die Erteilung der nötigen Weisungen;</w:t>
      </w:r>
    </w:p>
    <w:p>
      <w:pPr>
        <w:spacing w:after="0" w:line="9"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Festlegung der Organisation;</w:t>
      </w:r>
    </w:p>
    <w:p>
      <w:pPr>
        <w:spacing w:after="0" w:line="83" w:lineRule="exact"/>
        <w:rPr>
          <w:rFonts w:ascii="Arial" w:cs="Arial" w:eastAsia="Arial" w:hAnsi="Arial"/>
          <w:sz w:val="17"/>
          <w:szCs w:val="17"/>
          <w:color w:val="auto"/>
        </w:rPr>
      </w:pPr>
    </w:p>
    <w:p>
      <w:pPr>
        <w:ind w:left="1740" w:right="551" w:hanging="417"/>
        <w:spacing w:after="0" w:line="318" w:lineRule="auto"/>
        <w:tabs>
          <w:tab w:leader="none" w:pos="173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Ausgestaltung des Rechnungswesens, der Finanzkontrolle sowie der Finanzplanung;</w:t>
      </w:r>
    </w:p>
    <w:p>
      <w:pPr>
        <w:spacing w:after="0" w:line="1"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Ernennung und Abberufung der mit der</w:t>
      </w:r>
    </w:p>
    <w:p>
      <w:pPr>
        <w:spacing w:after="0" w:line="45" w:lineRule="exact"/>
        <w:rPr>
          <w:rFonts w:ascii="Arial" w:cs="Arial" w:eastAsia="Arial" w:hAnsi="Arial"/>
          <w:sz w:val="17"/>
          <w:szCs w:val="17"/>
          <w:color w:val="auto"/>
        </w:rPr>
      </w:pPr>
    </w:p>
    <w:p>
      <w:pPr>
        <w:jc w:val="both"/>
        <w:ind w:left="1740" w:right="551"/>
        <w:spacing w:after="0" w:line="304" w:lineRule="auto"/>
        <w:rPr>
          <w:rFonts w:ascii="Arial" w:cs="Arial" w:eastAsia="Arial" w:hAnsi="Arial"/>
          <w:sz w:val="17"/>
          <w:szCs w:val="17"/>
          <w:color w:val="auto"/>
        </w:rPr>
      </w:pPr>
      <w:r>
        <w:rPr>
          <w:rFonts w:ascii="Arial" w:cs="Arial" w:eastAsia="Arial" w:hAnsi="Arial"/>
          <w:sz w:val="17"/>
          <w:szCs w:val="17"/>
          <w:color w:val="auto"/>
        </w:rPr>
        <w:t>Geschäftsführung und der Vertretung betrauten Personen und die Regelung von deren Zeichnungsberechtigung;</w:t>
      </w:r>
    </w:p>
    <w:p>
      <w:pPr>
        <w:spacing w:after="0" w:line="17"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Oberaufsicht   über   die   mit   der</w:t>
      </w:r>
    </w:p>
    <w:p>
      <w:pPr>
        <w:spacing w:after="0" w:line="32"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7"/>
          <w:szCs w:val="17"/>
          <w:color w:val="auto"/>
        </w:rPr>
        <w:t>GeschäftsführungbetrautenPersonen,</w:t>
      </w:r>
    </w:p>
    <w:p>
      <w:pPr>
        <w:spacing w:after="0" w:line="45" w:lineRule="exact"/>
        <w:rPr>
          <w:rFonts w:ascii="Arial" w:cs="Arial" w:eastAsia="Arial" w:hAnsi="Arial"/>
          <w:sz w:val="17"/>
          <w:szCs w:val="17"/>
          <w:color w:val="auto"/>
        </w:rPr>
      </w:pPr>
    </w:p>
    <w:p>
      <w:pPr>
        <w:jc w:val="both"/>
        <w:ind w:left="1740" w:right="551"/>
        <w:spacing w:after="0" w:line="304" w:lineRule="auto"/>
        <w:rPr>
          <w:rFonts w:ascii="Arial" w:cs="Arial" w:eastAsia="Arial" w:hAnsi="Arial"/>
          <w:sz w:val="17"/>
          <w:szCs w:val="17"/>
          <w:color w:val="auto"/>
        </w:rPr>
      </w:pPr>
      <w:r>
        <w:rPr>
          <w:rFonts w:ascii="Arial" w:cs="Arial" w:eastAsia="Arial" w:hAnsi="Arial"/>
          <w:sz w:val="17"/>
          <w:szCs w:val="17"/>
          <w:color w:val="auto"/>
        </w:rPr>
        <w:t>namentlich im Hinblick auf die Befolgung der Gesetze, Statuten, Reglemente und Weisungen;</w:t>
      </w:r>
    </w:p>
    <w:p>
      <w:pPr>
        <w:spacing w:after="0" w:line="4"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Erstellung des Geschäftsberichts und des</w:t>
      </w:r>
    </w:p>
    <w:p>
      <w:pPr>
        <w:spacing w:after="0" w:line="45" w:lineRule="exact"/>
        <w:rPr>
          <w:rFonts w:ascii="Arial" w:cs="Arial" w:eastAsia="Arial" w:hAnsi="Arial"/>
          <w:sz w:val="17"/>
          <w:szCs w:val="17"/>
          <w:color w:val="auto"/>
        </w:rPr>
      </w:pPr>
    </w:p>
    <w:p>
      <w:pPr>
        <w:ind w:left="1740" w:right="551"/>
        <w:spacing w:after="0" w:line="318" w:lineRule="auto"/>
        <w:rPr>
          <w:rFonts w:ascii="Arial" w:cs="Arial" w:eastAsia="Arial" w:hAnsi="Arial"/>
          <w:sz w:val="17"/>
          <w:szCs w:val="17"/>
          <w:color w:val="auto"/>
        </w:rPr>
      </w:pPr>
      <w:r>
        <w:rPr>
          <w:rFonts w:ascii="Arial" w:cs="Arial" w:eastAsia="Arial" w:hAnsi="Arial"/>
          <w:sz w:val="17"/>
          <w:szCs w:val="17"/>
          <w:color w:val="auto"/>
        </w:rPr>
        <w:t>Vergütungsberichts sowie gegebenenfalls andere gesetzlich vorgeschriebene Berichte</w:t>
      </w:r>
      <w:r>
        <w:rPr>
          <w:rFonts w:ascii="Arial" w:cs="Arial" w:eastAsia="Arial" w:hAnsi="Arial"/>
          <w:sz w:val="17"/>
          <w:szCs w:val="17"/>
          <w:b w:val="1"/>
          <w:bCs w:val="1"/>
          <w:color w:val="auto"/>
        </w:rPr>
        <w:t>;</w:t>
      </w:r>
    </w:p>
    <w:p>
      <w:pPr>
        <w:spacing w:after="0" w:line="1" w:lineRule="exact"/>
        <w:rPr>
          <w:rFonts w:ascii="Arial" w:cs="Arial" w:eastAsia="Arial" w:hAnsi="Arial"/>
          <w:sz w:val="17"/>
          <w:szCs w:val="17"/>
          <w:color w:val="auto"/>
        </w:rPr>
      </w:pPr>
    </w:p>
    <w:p>
      <w:pPr>
        <w:ind w:left="1740" w:right="551" w:hanging="417"/>
        <w:spacing w:after="0" w:line="313" w:lineRule="auto"/>
        <w:tabs>
          <w:tab w:leader="none" w:pos="173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Vorbereitung der Generalversammlung und die Ausführung ihrer Beschlüsse;</w:t>
      </w:r>
    </w:p>
    <w:p>
      <w:pPr>
        <w:spacing w:after="0" w:line="9" w:lineRule="exact"/>
        <w:rPr>
          <w:rFonts w:ascii="Arial" w:cs="Arial" w:eastAsia="Arial" w:hAnsi="Arial"/>
          <w:sz w:val="17"/>
          <w:szCs w:val="17"/>
          <w:color w:val="auto"/>
        </w:rPr>
      </w:pPr>
    </w:p>
    <w:p>
      <w:pPr>
        <w:jc w:val="both"/>
        <w:ind w:left="1740" w:right="551" w:hanging="417"/>
        <w:spacing w:after="0" w:line="287" w:lineRule="auto"/>
        <w:tabs>
          <w:tab w:leader="none" w:pos="173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Beschlussfassung über nachträgliche Leistung von Einlagen auf nicht vollständig</w:t>
      </w:r>
    </w:p>
    <w:p>
      <w:pPr>
        <w:spacing w:after="0" w:line="1" w:lineRule="exact"/>
        <w:rPr>
          <w:rFonts w:ascii="Arial" w:cs="Arial" w:eastAsia="Arial" w:hAnsi="Arial"/>
          <w:sz w:val="17"/>
          <w:szCs w:val="17"/>
          <w:color w:val="auto"/>
        </w:rPr>
      </w:pPr>
    </w:p>
    <w:p>
      <w:pPr>
        <w:ind w:left="1740" w:right="551"/>
        <w:spacing w:after="0" w:line="313" w:lineRule="auto"/>
        <w:rPr>
          <w:rFonts w:ascii="Arial" w:cs="Arial" w:eastAsia="Arial" w:hAnsi="Arial"/>
          <w:sz w:val="17"/>
          <w:szCs w:val="17"/>
          <w:color w:val="auto"/>
        </w:rPr>
      </w:pPr>
      <w:r>
        <w:rPr>
          <w:rFonts w:ascii="Arial" w:cs="Arial" w:eastAsia="Arial" w:hAnsi="Arial"/>
          <w:sz w:val="17"/>
          <w:szCs w:val="17"/>
          <w:color w:val="auto"/>
        </w:rPr>
        <w:t>liberierten Aktien und daraus folgende Statutenänderungen;</w:t>
      </w:r>
    </w:p>
    <w:p>
      <w:pPr>
        <w:spacing w:after="0" w:line="9" w:lineRule="exact"/>
        <w:rPr>
          <w:rFonts w:ascii="Arial" w:cs="Arial" w:eastAsia="Arial" w:hAnsi="Arial"/>
          <w:sz w:val="17"/>
          <w:szCs w:val="17"/>
          <w:color w:val="auto"/>
        </w:rPr>
      </w:pPr>
    </w:p>
    <w:p>
      <w:pPr>
        <w:jc w:val="both"/>
        <w:ind w:left="1740" w:right="551" w:hanging="417"/>
        <w:spacing w:after="0" w:line="290" w:lineRule="auto"/>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Beschlussfassung über die Veränderung des Aktienkapitals, soweit dies in der Kompetenz des Verwaltungsrates liegt, die</w:t>
      </w:r>
    </w:p>
    <w:p>
      <w:pPr>
        <w:jc w:val="both"/>
        <w:ind w:left="1740" w:right="551"/>
        <w:spacing w:after="0" w:line="287" w:lineRule="auto"/>
        <w:rPr>
          <w:rFonts w:ascii="Arial" w:cs="Arial" w:eastAsia="Arial" w:hAnsi="Arial"/>
          <w:sz w:val="17"/>
          <w:szCs w:val="17"/>
          <w:color w:val="auto"/>
        </w:rPr>
      </w:pPr>
      <w:r>
        <w:rPr>
          <w:rFonts w:ascii="Arial" w:cs="Arial" w:eastAsia="Arial" w:hAnsi="Arial"/>
          <w:sz w:val="17"/>
          <w:szCs w:val="17"/>
          <w:color w:val="auto"/>
        </w:rPr>
        <w:t>Feststellung von Kapitalveränderungen, die Erstellung des Kapitalerhöhungsberichts und</w:t>
      </w:r>
    </w:p>
    <w:p>
      <w:pPr>
        <w:spacing w:after="0" w:line="1"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7"/>
          <w:szCs w:val="17"/>
          <w:color w:val="auto"/>
        </w:rPr>
        <w:t>dieVornahmederentsprechenden</w:t>
      </w:r>
    </w:p>
    <w:p>
      <w:pPr>
        <w:spacing w:after="0" w:line="32" w:lineRule="exact"/>
        <w:rPr>
          <w:rFonts w:ascii="Arial" w:cs="Arial" w:eastAsia="Arial" w:hAnsi="Arial"/>
          <w:sz w:val="17"/>
          <w:szCs w:val="17"/>
          <w:color w:val="auto"/>
        </w:rPr>
      </w:pPr>
    </w:p>
    <w:p>
      <w:pPr>
        <w:ind w:left="1740" w:right="551"/>
        <w:spacing w:after="0" w:line="318" w:lineRule="auto"/>
        <w:rPr>
          <w:rFonts w:ascii="Arial" w:cs="Arial" w:eastAsia="Arial" w:hAnsi="Arial"/>
          <w:sz w:val="17"/>
          <w:szCs w:val="17"/>
          <w:color w:val="auto"/>
        </w:rPr>
      </w:pPr>
      <w:r>
        <w:rPr>
          <w:rFonts w:ascii="Arial" w:cs="Arial" w:eastAsia="Arial" w:hAnsi="Arial"/>
          <w:sz w:val="17"/>
          <w:szCs w:val="17"/>
          <w:color w:val="auto"/>
        </w:rPr>
        <w:t>Statutenänderungen (einschliesslich Löschungen);</w:t>
      </w:r>
    </w:p>
    <w:p>
      <w:pPr>
        <w:spacing w:after="0" w:line="1"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gemäss  Fusionsgesetz  unübertragbaren</w:t>
      </w:r>
    </w:p>
    <w:p>
      <w:pPr>
        <w:spacing w:after="0" w:line="45" w:lineRule="exact"/>
        <w:rPr>
          <w:rFonts w:ascii="Arial" w:cs="Arial" w:eastAsia="Arial" w:hAnsi="Arial"/>
          <w:sz w:val="17"/>
          <w:szCs w:val="17"/>
          <w:color w:val="auto"/>
        </w:rPr>
      </w:pPr>
    </w:p>
    <w:p>
      <w:pPr>
        <w:ind w:left="1740" w:right="551"/>
        <w:spacing w:after="0" w:line="313" w:lineRule="auto"/>
        <w:rPr>
          <w:rFonts w:ascii="Arial" w:cs="Arial" w:eastAsia="Arial" w:hAnsi="Arial"/>
          <w:sz w:val="17"/>
          <w:szCs w:val="17"/>
          <w:color w:val="auto"/>
        </w:rPr>
      </w:pPr>
      <w:r>
        <w:rPr>
          <w:rFonts w:ascii="Arial" w:cs="Arial" w:eastAsia="Arial" w:hAnsi="Arial"/>
          <w:sz w:val="17"/>
          <w:szCs w:val="17"/>
          <w:color w:val="auto"/>
        </w:rPr>
        <w:t>und unentziehbaren Aufgaben und Befugnisse des Verwaltungsrats;</w:t>
      </w:r>
    </w:p>
    <w:p>
      <w:pPr>
        <w:spacing w:after="0" w:line="9" w:lineRule="exact"/>
        <w:rPr>
          <w:rFonts w:ascii="Arial" w:cs="Arial" w:eastAsia="Arial" w:hAnsi="Arial"/>
          <w:sz w:val="17"/>
          <w:szCs w:val="17"/>
          <w:color w:val="auto"/>
        </w:rPr>
      </w:pPr>
    </w:p>
    <w:p>
      <w:pPr>
        <w:jc w:val="both"/>
        <w:ind w:left="1740" w:right="551" w:hanging="417"/>
        <w:spacing w:after="0" w:line="304" w:lineRule="auto"/>
        <w:tabs>
          <w:tab w:leader="none" w:pos="173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die Einreichung eines Gesuchs um Nachlassstundung und die Benachrichtigung des Richters im Falle der Überschuldung;</w:t>
      </w:r>
    </w:p>
    <w:p>
      <w:pPr>
        <w:spacing w:after="0" w:line="4" w:lineRule="exact"/>
        <w:rPr>
          <w:rFonts w:ascii="Arial" w:cs="Arial" w:eastAsia="Arial" w:hAnsi="Arial"/>
          <w:sz w:val="17"/>
          <w:szCs w:val="17"/>
          <w:color w:val="auto"/>
        </w:rPr>
      </w:pPr>
    </w:p>
    <w:p>
      <w:pPr>
        <w:ind w:left="1740" w:hanging="417"/>
        <w:spacing w:after="0"/>
        <w:tabs>
          <w:tab w:leader="none" w:pos="17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andere  durch  Gesetz  oder  Statuten  dem</w:t>
      </w:r>
    </w:p>
    <w:p>
      <w:pPr>
        <w:spacing w:after="0" w:line="45" w:lineRule="exact"/>
        <w:rPr>
          <w:rFonts w:ascii="Arial" w:cs="Arial" w:eastAsia="Arial" w:hAnsi="Arial"/>
          <w:sz w:val="17"/>
          <w:szCs w:val="17"/>
          <w:color w:val="auto"/>
        </w:rPr>
      </w:pPr>
    </w:p>
    <w:p>
      <w:pPr>
        <w:ind w:left="1740" w:right="551"/>
        <w:spacing w:after="0" w:line="313" w:lineRule="auto"/>
        <w:rPr>
          <w:rFonts w:ascii="Arial" w:cs="Arial" w:eastAsia="Arial" w:hAnsi="Arial"/>
          <w:sz w:val="17"/>
          <w:szCs w:val="17"/>
          <w:color w:val="auto"/>
        </w:rPr>
      </w:pPr>
      <w:r>
        <w:rPr>
          <w:rFonts w:ascii="Arial" w:cs="Arial" w:eastAsia="Arial" w:hAnsi="Arial"/>
          <w:sz w:val="17"/>
          <w:szCs w:val="17"/>
          <w:color w:val="auto"/>
        </w:rPr>
        <w:t>Verwaltungsrat vorbehaltene Aufgaben und Befugnisse.</w:t>
      </w:r>
    </w:p>
    <w:p>
      <w:pPr>
        <w:spacing w:after="0" w:line="20" w:lineRule="exact"/>
        <w:rPr>
          <w:sz w:val="20"/>
          <w:szCs w:val="20"/>
          <w:color w:val="auto"/>
        </w:rPr>
      </w:pPr>
      <w:r>
        <w:rPr>
          <w:sz w:val="20"/>
          <w:szCs w:val="20"/>
          <w:color w:val="auto"/>
        </w:rPr>
        <w:br w:type="column"/>
      </w:r>
    </w:p>
    <w:p>
      <w:pPr>
        <w:ind w:left="9" w:hanging="239"/>
        <w:spacing w:after="0" w:line="313" w:lineRule="auto"/>
        <w:rPr>
          <w:sz w:val="20"/>
          <w:szCs w:val="20"/>
          <w:color w:val="auto"/>
        </w:rPr>
      </w:pPr>
      <w:r>
        <w:rPr>
          <w:rFonts w:ascii="Arial" w:cs="Arial" w:eastAsia="Arial" w:hAnsi="Arial"/>
          <w:sz w:val="13"/>
          <w:szCs w:val="13"/>
          <w:color w:val="auto"/>
        </w:rPr>
        <w:t>2</w:t>
      </w:r>
      <w:r>
        <w:rPr>
          <w:sz w:val="20"/>
          <w:szCs w:val="20"/>
          <w:color w:val="auto"/>
        </w:rPr>
        <w:t xml:space="preserve"> </w:t>
      </w:r>
      <w:r>
        <w:rPr>
          <w:rFonts w:ascii="Arial" w:cs="Arial" w:eastAsia="Arial" w:hAnsi="Arial"/>
          <w:sz w:val="17"/>
          <w:szCs w:val="17"/>
          <w:color w:val="auto"/>
        </w:rPr>
        <w:t>The board of directors has the following non-delegable and inalienable duties:</w:t>
      </w:r>
    </w:p>
    <w:p>
      <w:pPr>
        <w:spacing w:after="0" w:line="9" w:lineRule="exact"/>
        <w:rPr>
          <w:sz w:val="20"/>
          <w:szCs w:val="20"/>
          <w:color w:val="auto"/>
        </w:rPr>
      </w:pPr>
    </w:p>
    <w:p>
      <w:pPr>
        <w:jc w:val="both"/>
        <w:ind w:left="429" w:hanging="426"/>
        <w:spacing w:after="0" w:line="304" w:lineRule="auto"/>
        <w:tabs>
          <w:tab w:leader="none" w:pos="42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ultimate direction of the business of the Company and the issuance of the necessary instructions;</w:t>
      </w:r>
    </w:p>
    <w:p>
      <w:pPr>
        <w:spacing w:after="0" w:line="4" w:lineRule="exact"/>
        <w:rPr>
          <w:rFonts w:ascii="Arial" w:cs="Arial" w:eastAsia="Arial" w:hAnsi="Arial"/>
          <w:sz w:val="17"/>
          <w:szCs w:val="17"/>
          <w:color w:val="auto"/>
        </w:rPr>
      </w:pPr>
    </w:p>
    <w:p>
      <w:pPr>
        <w:ind w:left="429" w:hanging="426"/>
        <w:spacing w:after="0" w:line="318" w:lineRule="auto"/>
        <w:tabs>
          <w:tab w:leader="none" w:pos="42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determination of the organization of the Company;</w:t>
      </w:r>
    </w:p>
    <w:p>
      <w:pPr>
        <w:spacing w:after="0" w:line="1" w:lineRule="exact"/>
        <w:rPr>
          <w:rFonts w:ascii="Arial" w:cs="Arial" w:eastAsia="Arial" w:hAnsi="Arial"/>
          <w:sz w:val="17"/>
          <w:szCs w:val="17"/>
          <w:color w:val="auto"/>
        </w:rPr>
      </w:pPr>
    </w:p>
    <w:p>
      <w:pPr>
        <w:ind w:left="429" w:hanging="426"/>
        <w:spacing w:after="0" w:line="318" w:lineRule="auto"/>
        <w:tabs>
          <w:tab w:leader="none" w:pos="42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administration of accounting, financial control and financial planning;</w:t>
      </w:r>
    </w:p>
    <w:p>
      <w:pPr>
        <w:spacing w:after="0" w:line="1" w:lineRule="exact"/>
        <w:rPr>
          <w:rFonts w:ascii="Arial" w:cs="Arial" w:eastAsia="Arial" w:hAnsi="Arial"/>
          <w:sz w:val="17"/>
          <w:szCs w:val="17"/>
          <w:color w:val="auto"/>
        </w:rPr>
      </w:pPr>
    </w:p>
    <w:p>
      <w:pPr>
        <w:jc w:val="both"/>
        <w:ind w:left="429" w:hanging="426"/>
        <w:spacing w:after="0" w:line="310" w:lineRule="auto"/>
        <w:tabs>
          <w:tab w:leader="none" w:pos="42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appointment and removal of the persons entrusted with executive management and their representation of the Company;</w:t>
      </w:r>
    </w:p>
    <w:p>
      <w:pPr>
        <w:spacing w:after="0" w:line="2" w:lineRule="exact"/>
        <w:rPr>
          <w:rFonts w:ascii="Arial" w:cs="Arial" w:eastAsia="Arial" w:hAnsi="Arial"/>
          <w:sz w:val="17"/>
          <w:szCs w:val="17"/>
          <w:color w:val="auto"/>
        </w:rPr>
      </w:pPr>
    </w:p>
    <w:p>
      <w:pPr>
        <w:ind w:left="409" w:hanging="406"/>
        <w:spacing w:after="0"/>
        <w:tabs>
          <w:tab w:leader="none" w:pos="4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ultimate  supervision  of  the  persons</w:t>
      </w:r>
    </w:p>
    <w:p>
      <w:pPr>
        <w:spacing w:after="0" w:line="45" w:lineRule="exact"/>
        <w:rPr>
          <w:rFonts w:ascii="Arial" w:cs="Arial" w:eastAsia="Arial" w:hAnsi="Arial"/>
          <w:sz w:val="17"/>
          <w:szCs w:val="17"/>
          <w:color w:val="auto"/>
        </w:rPr>
      </w:pPr>
    </w:p>
    <w:p>
      <w:pPr>
        <w:jc w:val="both"/>
        <w:ind w:left="429" w:right="20"/>
        <w:spacing w:after="0" w:line="287" w:lineRule="auto"/>
        <w:rPr>
          <w:rFonts w:ascii="Arial" w:cs="Arial" w:eastAsia="Arial" w:hAnsi="Arial"/>
          <w:sz w:val="17"/>
          <w:szCs w:val="17"/>
          <w:color w:val="auto"/>
        </w:rPr>
      </w:pPr>
      <w:r>
        <w:rPr>
          <w:rFonts w:ascii="Arial" w:cs="Arial" w:eastAsia="Arial" w:hAnsi="Arial"/>
          <w:sz w:val="17"/>
          <w:szCs w:val="17"/>
          <w:color w:val="auto"/>
        </w:rPr>
        <w:t>entrusted with management of the Company, specifically in view of their compliance with the</w:t>
      </w:r>
    </w:p>
    <w:p>
      <w:pPr>
        <w:spacing w:after="0" w:line="1" w:lineRule="exact"/>
        <w:rPr>
          <w:rFonts w:ascii="Arial" w:cs="Arial" w:eastAsia="Arial" w:hAnsi="Arial"/>
          <w:sz w:val="17"/>
          <w:szCs w:val="17"/>
          <w:color w:val="auto"/>
        </w:rPr>
      </w:pPr>
    </w:p>
    <w:p>
      <w:pPr>
        <w:ind w:left="429" w:right="20"/>
        <w:spacing w:after="0" w:line="313" w:lineRule="auto"/>
        <w:rPr>
          <w:rFonts w:ascii="Arial" w:cs="Arial" w:eastAsia="Arial" w:hAnsi="Arial"/>
          <w:sz w:val="17"/>
          <w:szCs w:val="17"/>
          <w:color w:val="auto"/>
        </w:rPr>
      </w:pPr>
      <w:r>
        <w:rPr>
          <w:rFonts w:ascii="Arial" w:cs="Arial" w:eastAsia="Arial" w:hAnsi="Arial"/>
          <w:sz w:val="17"/>
          <w:szCs w:val="17"/>
          <w:color w:val="auto"/>
        </w:rPr>
        <w:t>law, these Articles of Incorporation, the regulations and directives;</w:t>
      </w:r>
    </w:p>
    <w:p>
      <w:pPr>
        <w:spacing w:after="0" w:line="9" w:lineRule="exact"/>
        <w:rPr>
          <w:rFonts w:ascii="Arial" w:cs="Arial" w:eastAsia="Arial" w:hAnsi="Arial"/>
          <w:sz w:val="17"/>
          <w:szCs w:val="17"/>
          <w:color w:val="auto"/>
        </w:rPr>
      </w:pPr>
    </w:p>
    <w:p>
      <w:pPr>
        <w:jc w:val="both"/>
        <w:ind w:left="409" w:hanging="409"/>
        <w:spacing w:after="0" w:line="304" w:lineRule="auto"/>
        <w:tabs>
          <w:tab w:leader="none" w:pos="40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preparation of the business report, the compensation report and other reports as required by law, if any;</w:t>
      </w:r>
    </w:p>
    <w:p>
      <w:pPr>
        <w:spacing w:after="0" w:line="4" w:lineRule="exact"/>
        <w:rPr>
          <w:rFonts w:ascii="Arial" w:cs="Arial" w:eastAsia="Arial" w:hAnsi="Arial"/>
          <w:sz w:val="17"/>
          <w:szCs w:val="17"/>
          <w:color w:val="auto"/>
        </w:rPr>
      </w:pPr>
    </w:p>
    <w:p>
      <w:pPr>
        <w:ind w:left="409" w:hanging="409"/>
        <w:spacing w:after="0"/>
        <w:tabs>
          <w:tab w:leader="none" w:pos="4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preparation  of  the  general  meetings  of</w:t>
      </w:r>
    </w:p>
    <w:p>
      <w:pPr>
        <w:spacing w:after="0" w:line="45" w:lineRule="exact"/>
        <w:rPr>
          <w:rFonts w:ascii="Arial" w:cs="Arial" w:eastAsia="Arial" w:hAnsi="Arial"/>
          <w:sz w:val="17"/>
          <w:szCs w:val="17"/>
          <w:color w:val="auto"/>
        </w:rPr>
      </w:pPr>
    </w:p>
    <w:p>
      <w:pPr>
        <w:jc w:val="both"/>
        <w:ind w:left="409"/>
        <w:spacing w:after="0" w:line="304" w:lineRule="auto"/>
        <w:rPr>
          <w:rFonts w:ascii="Arial" w:cs="Arial" w:eastAsia="Arial" w:hAnsi="Arial"/>
          <w:sz w:val="17"/>
          <w:szCs w:val="17"/>
          <w:color w:val="auto"/>
        </w:rPr>
      </w:pPr>
      <w:r>
        <w:rPr>
          <w:rFonts w:ascii="Arial" w:cs="Arial" w:eastAsia="Arial" w:hAnsi="Arial"/>
          <w:sz w:val="17"/>
          <w:szCs w:val="17"/>
          <w:color w:val="auto"/>
        </w:rPr>
        <w:t>shareholders as well as the implementation of the resolutions adopted by the general meetings of shareholders;</w:t>
      </w:r>
    </w:p>
    <w:p>
      <w:pPr>
        <w:spacing w:after="0" w:line="4" w:lineRule="exact"/>
        <w:rPr>
          <w:rFonts w:ascii="Arial" w:cs="Arial" w:eastAsia="Arial" w:hAnsi="Arial"/>
          <w:sz w:val="17"/>
          <w:szCs w:val="17"/>
          <w:color w:val="auto"/>
        </w:rPr>
      </w:pPr>
    </w:p>
    <w:p>
      <w:pPr>
        <w:ind w:left="409" w:hanging="406"/>
        <w:spacing w:after="0"/>
        <w:tabs>
          <w:tab w:leader="none" w:pos="4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adoption  of  resolutions  regarding  the</w:t>
      </w:r>
    </w:p>
    <w:p>
      <w:pPr>
        <w:spacing w:after="0" w:line="45" w:lineRule="exact"/>
        <w:rPr>
          <w:rFonts w:ascii="Arial" w:cs="Arial" w:eastAsia="Arial" w:hAnsi="Arial"/>
          <w:sz w:val="17"/>
          <w:szCs w:val="17"/>
          <w:color w:val="auto"/>
        </w:rPr>
      </w:pPr>
    </w:p>
    <w:p>
      <w:pPr>
        <w:jc w:val="both"/>
        <w:ind w:left="429"/>
        <w:spacing w:after="0" w:line="304" w:lineRule="auto"/>
        <w:rPr>
          <w:rFonts w:ascii="Arial" w:cs="Arial" w:eastAsia="Arial" w:hAnsi="Arial"/>
          <w:sz w:val="17"/>
          <w:szCs w:val="17"/>
          <w:color w:val="auto"/>
        </w:rPr>
      </w:pPr>
      <w:r>
        <w:rPr>
          <w:rFonts w:ascii="Arial" w:cs="Arial" w:eastAsia="Arial" w:hAnsi="Arial"/>
          <w:sz w:val="17"/>
          <w:szCs w:val="17"/>
          <w:color w:val="auto"/>
        </w:rPr>
        <w:t>subsequent payment of capital with respect to non-fully paid up shares and the amendments to the Articles of Incorporation related thereto;</w:t>
      </w:r>
    </w:p>
    <w:p>
      <w:pPr>
        <w:spacing w:after="0" w:line="17" w:lineRule="exact"/>
        <w:rPr>
          <w:rFonts w:ascii="Arial" w:cs="Arial" w:eastAsia="Arial" w:hAnsi="Arial"/>
          <w:sz w:val="17"/>
          <w:szCs w:val="17"/>
          <w:color w:val="auto"/>
        </w:rPr>
      </w:pPr>
    </w:p>
    <w:p>
      <w:pPr>
        <w:jc w:val="both"/>
        <w:ind w:left="429" w:hanging="426"/>
        <w:spacing w:after="0" w:line="305" w:lineRule="auto"/>
        <w:tabs>
          <w:tab w:leader="none" w:pos="42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adoption of resolutions on the change of the share capital to the extent that such power is</w:t>
      </w:r>
    </w:p>
    <w:p>
      <w:pPr>
        <w:jc w:val="both"/>
        <w:ind w:left="429"/>
        <w:spacing w:after="0" w:line="287" w:lineRule="auto"/>
        <w:rPr>
          <w:rFonts w:ascii="Arial" w:cs="Arial" w:eastAsia="Arial" w:hAnsi="Arial"/>
          <w:sz w:val="16"/>
          <w:szCs w:val="16"/>
          <w:color w:val="auto"/>
        </w:rPr>
      </w:pPr>
      <w:r>
        <w:rPr>
          <w:rFonts w:ascii="Arial" w:cs="Arial" w:eastAsia="Arial" w:hAnsi="Arial"/>
          <w:sz w:val="17"/>
          <w:szCs w:val="17"/>
          <w:color w:val="auto"/>
        </w:rPr>
        <w:t>vested in the board of directors, the ascertainment of capital changes, the</w:t>
      </w:r>
    </w:p>
    <w:p>
      <w:pPr>
        <w:spacing w:after="0" w:line="1" w:lineRule="exact"/>
        <w:rPr>
          <w:rFonts w:ascii="Arial" w:cs="Arial" w:eastAsia="Arial" w:hAnsi="Arial"/>
          <w:sz w:val="16"/>
          <w:szCs w:val="16"/>
          <w:color w:val="auto"/>
        </w:rPr>
      </w:pPr>
    </w:p>
    <w:p>
      <w:pPr>
        <w:jc w:val="both"/>
        <w:ind w:left="429"/>
        <w:spacing w:after="0" w:line="287" w:lineRule="auto"/>
        <w:rPr>
          <w:rFonts w:ascii="Arial" w:cs="Arial" w:eastAsia="Arial" w:hAnsi="Arial"/>
          <w:sz w:val="16"/>
          <w:szCs w:val="16"/>
          <w:color w:val="auto"/>
        </w:rPr>
      </w:pPr>
      <w:r>
        <w:rPr>
          <w:rFonts w:ascii="Arial" w:cs="Arial" w:eastAsia="Arial" w:hAnsi="Arial"/>
          <w:sz w:val="17"/>
          <w:szCs w:val="17"/>
          <w:color w:val="auto"/>
        </w:rPr>
        <w:t>preparation of the report on the capital increase, and the respective amendments of</w:t>
      </w:r>
    </w:p>
    <w:p>
      <w:pPr>
        <w:spacing w:after="0" w:line="1" w:lineRule="exact"/>
        <w:rPr>
          <w:rFonts w:ascii="Arial" w:cs="Arial" w:eastAsia="Arial" w:hAnsi="Arial"/>
          <w:sz w:val="16"/>
          <w:szCs w:val="16"/>
          <w:color w:val="auto"/>
        </w:rPr>
      </w:pPr>
    </w:p>
    <w:p>
      <w:pPr>
        <w:ind w:left="429" w:right="20"/>
        <w:spacing w:after="0" w:line="313" w:lineRule="auto"/>
        <w:rPr>
          <w:rFonts w:ascii="Arial" w:cs="Arial" w:eastAsia="Arial" w:hAnsi="Arial"/>
          <w:sz w:val="16"/>
          <w:szCs w:val="16"/>
          <w:color w:val="auto"/>
        </w:rPr>
      </w:pPr>
      <w:r>
        <w:rPr>
          <w:rFonts w:ascii="Arial" w:cs="Arial" w:eastAsia="Arial" w:hAnsi="Arial"/>
          <w:sz w:val="17"/>
          <w:szCs w:val="17"/>
          <w:color w:val="auto"/>
        </w:rPr>
        <w:t>the Articles of Incorporation (including deletions);</w:t>
      </w:r>
    </w:p>
    <w:p>
      <w:pPr>
        <w:spacing w:after="0" w:line="9" w:lineRule="exact"/>
        <w:rPr>
          <w:rFonts w:ascii="Arial" w:cs="Arial" w:eastAsia="Arial" w:hAnsi="Arial"/>
          <w:sz w:val="16"/>
          <w:szCs w:val="16"/>
          <w:color w:val="auto"/>
        </w:rPr>
      </w:pPr>
    </w:p>
    <w:p>
      <w:pPr>
        <w:jc w:val="both"/>
        <w:ind w:left="429" w:hanging="426"/>
        <w:spacing w:after="0" w:line="304" w:lineRule="auto"/>
        <w:tabs>
          <w:tab w:leader="none" w:pos="42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non-delegable and inalienable duties and powers of the board of directors pursuant to the Merger Act;</w:t>
      </w:r>
    </w:p>
    <w:p>
      <w:pPr>
        <w:spacing w:after="0" w:line="4" w:lineRule="exact"/>
        <w:rPr>
          <w:rFonts w:ascii="Arial" w:cs="Arial" w:eastAsia="Arial" w:hAnsi="Arial"/>
          <w:sz w:val="17"/>
          <w:szCs w:val="17"/>
          <w:color w:val="auto"/>
        </w:rPr>
      </w:pPr>
    </w:p>
    <w:p>
      <w:pPr>
        <w:ind w:left="409" w:hanging="406"/>
        <w:spacing w:after="0"/>
        <w:tabs>
          <w:tab w:leader="none" w:pos="4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submission  of  a  petition  for  debt-</w:t>
      </w:r>
    </w:p>
    <w:p>
      <w:pPr>
        <w:spacing w:after="0" w:line="45" w:lineRule="exact"/>
        <w:rPr>
          <w:rFonts w:ascii="Arial" w:cs="Arial" w:eastAsia="Arial" w:hAnsi="Arial"/>
          <w:sz w:val="17"/>
          <w:szCs w:val="17"/>
          <w:color w:val="auto"/>
        </w:rPr>
      </w:pPr>
    </w:p>
    <w:p>
      <w:pPr>
        <w:ind w:left="429"/>
        <w:spacing w:after="0" w:line="313" w:lineRule="auto"/>
        <w:rPr>
          <w:rFonts w:ascii="Arial" w:cs="Arial" w:eastAsia="Arial" w:hAnsi="Arial"/>
          <w:sz w:val="17"/>
          <w:szCs w:val="17"/>
          <w:color w:val="auto"/>
        </w:rPr>
      </w:pPr>
      <w:r>
        <w:rPr>
          <w:rFonts w:ascii="Arial" w:cs="Arial" w:eastAsia="Arial" w:hAnsi="Arial"/>
          <w:sz w:val="17"/>
          <w:szCs w:val="17"/>
          <w:color w:val="auto"/>
        </w:rPr>
        <w:t>restructuring moratorium and the notification of the court if liabilities exceed assets;</w:t>
      </w:r>
    </w:p>
    <w:p>
      <w:pPr>
        <w:spacing w:after="0" w:line="9" w:lineRule="exact"/>
        <w:rPr>
          <w:rFonts w:ascii="Arial" w:cs="Arial" w:eastAsia="Arial" w:hAnsi="Arial"/>
          <w:sz w:val="17"/>
          <w:szCs w:val="17"/>
          <w:color w:val="auto"/>
        </w:rPr>
      </w:pPr>
    </w:p>
    <w:p>
      <w:pPr>
        <w:ind w:left="409" w:hanging="406"/>
        <w:spacing w:after="0"/>
        <w:tabs>
          <w:tab w:leader="none" w:pos="4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other  matter  reserved  to  the  board  of</w:t>
      </w:r>
    </w:p>
    <w:p>
      <w:pPr>
        <w:spacing w:after="0" w:line="45" w:lineRule="exact"/>
        <w:rPr>
          <w:rFonts w:ascii="Arial" w:cs="Arial" w:eastAsia="Arial" w:hAnsi="Arial"/>
          <w:sz w:val="17"/>
          <w:szCs w:val="17"/>
          <w:color w:val="auto"/>
        </w:rPr>
      </w:pPr>
    </w:p>
    <w:p>
      <w:pPr>
        <w:ind w:left="429"/>
        <w:spacing w:after="0" w:line="313" w:lineRule="auto"/>
        <w:rPr>
          <w:rFonts w:ascii="Arial" w:cs="Arial" w:eastAsia="Arial" w:hAnsi="Arial"/>
          <w:sz w:val="17"/>
          <w:szCs w:val="17"/>
          <w:color w:val="auto"/>
        </w:rPr>
      </w:pPr>
      <w:r>
        <w:rPr>
          <w:rFonts w:ascii="Arial" w:cs="Arial" w:eastAsia="Arial" w:hAnsi="Arial"/>
          <w:sz w:val="17"/>
          <w:szCs w:val="17"/>
          <w:color w:val="auto"/>
        </w:rPr>
        <w:t>directors by the law or the Articles of Incorporation.</w:t>
      </w:r>
    </w:p>
    <w:p>
      <w:pPr>
        <w:sectPr>
          <w:pgSz w:w="11900" w:h="16838" w:orient="portrait"/>
          <w:cols w:equalWidth="0" w:num="2">
            <w:col w:w="5871" w:space="720"/>
            <w:col w:w="3989"/>
          </w:cols>
          <w:pgMar w:left="360" w:top="132" w:right="959" w:bottom="1440" w:gutter="0" w:footer="0" w:header="0"/>
          <w:type w:val="continuous"/>
        </w:sectPr>
      </w:pPr>
    </w:p>
    <w:bookmarkStart w:id="244" w:name="page245"/>
    <w:bookmarkEnd w:id="244"/>
    <w:p>
      <w:pPr>
        <w:ind w:left="5420"/>
        <w:spacing w:after="0"/>
        <w:rPr>
          <w:sz w:val="20"/>
          <w:szCs w:val="20"/>
          <w:color w:val="auto"/>
        </w:rPr>
      </w:pPr>
      <w:r>
        <w:rPr>
          <w:rFonts w:ascii="Arial" w:cs="Arial" w:eastAsia="Arial" w:hAnsi="Arial"/>
          <w:sz w:val="13"/>
          <w:szCs w:val="13"/>
          <w:color w:val="auto"/>
        </w:rPr>
        <w:t>- 23 -</w:t>
      </w:r>
    </w:p>
    <w:p>
      <w:pPr>
        <w:sectPr>
          <w:pgSz w:w="11900" w:h="16838" w:orient="portrait"/>
          <w:cols w:equalWidth="0" w:num="1">
            <w:col w:w="10580"/>
          </w:cols>
          <w:pgMar w:left="36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right="305" w:hanging="239"/>
        <w:spacing w:after="0" w:line="285" w:lineRule="auto"/>
        <w:tabs>
          <w:tab w:leader="none" w:pos="12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Im Übrigen kann der Verwaltungsrat die Geschäftsführung sowie die Vertretung der Gesellschaft im Rahmen der gesetzlichen</w:t>
      </w:r>
    </w:p>
    <w:p>
      <w:pPr>
        <w:jc w:val="both"/>
        <w:ind w:left="1300" w:right="305"/>
        <w:spacing w:after="0" w:line="301" w:lineRule="auto"/>
        <w:rPr>
          <w:sz w:val="20"/>
          <w:szCs w:val="20"/>
          <w:color w:val="auto"/>
        </w:rPr>
      </w:pPr>
      <w:r>
        <w:rPr>
          <w:rFonts w:ascii="Arial" w:cs="Arial" w:eastAsia="Arial" w:hAnsi="Arial"/>
          <w:sz w:val="17"/>
          <w:szCs w:val="17"/>
          <w:color w:val="auto"/>
        </w:rPr>
        <w:t>Bestimmungen durch Erlass eines Organisationsreglements ganz oder teilweise an einzelne oder mehrere seiner Mitglieder oder an andere natürliche Personen übertragen.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35" w:hanging="235"/>
        <w:spacing w:after="0" w:line="287" w:lineRule="auto"/>
        <w:tabs>
          <w:tab w:leader="none" w:pos="235" w:val="left"/>
        </w:tabs>
        <w:numPr>
          <w:ilvl w:val="0"/>
          <w:numId w:val="166"/>
        </w:numPr>
        <w:rPr>
          <w:rFonts w:ascii="Arial" w:cs="Arial" w:eastAsia="Arial" w:hAnsi="Arial"/>
          <w:sz w:val="13"/>
          <w:szCs w:val="13"/>
          <w:color w:val="auto"/>
        </w:rPr>
      </w:pPr>
      <w:r>
        <w:rPr>
          <w:rFonts w:ascii="Arial" w:cs="Arial" w:eastAsia="Arial" w:hAnsi="Arial"/>
          <w:sz w:val="17"/>
          <w:szCs w:val="17"/>
          <w:color w:val="auto"/>
        </w:rPr>
        <w:t>The board of directors may delegate the executive management of the Company in whole or in part to</w:t>
      </w:r>
    </w:p>
    <w:p>
      <w:pPr>
        <w:spacing w:after="0" w:line="1" w:lineRule="exact"/>
        <w:rPr>
          <w:rFonts w:ascii="Arial" w:cs="Arial" w:eastAsia="Arial" w:hAnsi="Arial"/>
          <w:sz w:val="13"/>
          <w:szCs w:val="13"/>
          <w:color w:val="auto"/>
        </w:rPr>
      </w:pPr>
    </w:p>
    <w:p>
      <w:pPr>
        <w:jc w:val="both"/>
        <w:ind w:left="235"/>
        <w:spacing w:after="0" w:line="304" w:lineRule="auto"/>
        <w:rPr>
          <w:rFonts w:ascii="Arial" w:cs="Arial" w:eastAsia="Arial" w:hAnsi="Arial"/>
          <w:sz w:val="13"/>
          <w:szCs w:val="13"/>
          <w:color w:val="auto"/>
        </w:rPr>
      </w:pPr>
      <w:r>
        <w:rPr>
          <w:rFonts w:ascii="Arial" w:cs="Arial" w:eastAsia="Arial" w:hAnsi="Arial"/>
          <w:sz w:val="17"/>
          <w:szCs w:val="17"/>
          <w:color w:val="auto"/>
        </w:rPr>
        <w:t>one or several individual directors or to individuals other than directors pursuant to organizational regulations.</w:t>
      </w:r>
    </w:p>
    <w:p>
      <w:pPr>
        <w:spacing w:after="0" w:line="665" w:lineRule="exact"/>
        <w:rPr>
          <w:sz w:val="20"/>
          <w:szCs w:val="20"/>
          <w:color w:val="auto"/>
        </w:rPr>
      </w:pPr>
    </w:p>
    <w:p>
      <w:pPr>
        <w:sectPr>
          <w:pgSz w:w="11900" w:h="16838" w:orient="portrait"/>
          <w:cols w:equalWidth="0" w:num="2">
            <w:col w:w="5605" w:space="720"/>
            <w:col w:w="4255"/>
          </w:cols>
          <w:pgMar w:left="360" w:top="132" w:right="959" w:bottom="1440" w:gutter="0" w:footer="0" w:header="0"/>
          <w:type w:val="continuous"/>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tcPr>
          <w:p>
            <w:pPr>
              <w:spacing w:after="0"/>
              <w:rPr>
                <w:sz w:val="19"/>
                <w:szCs w:val="19"/>
                <w:color w:val="auto"/>
              </w:rPr>
            </w:pPr>
          </w:p>
        </w:tc>
        <w:tc>
          <w:tcPr>
            <w:tcW w:w="3060" w:type="dxa"/>
            <w:vAlign w:val="bottom"/>
          </w:tcPr>
          <w:p>
            <w:pPr>
              <w:ind w:left="340"/>
              <w:spacing w:after="0"/>
              <w:rPr>
                <w:sz w:val="20"/>
                <w:szCs w:val="20"/>
                <w:color w:val="auto"/>
              </w:rPr>
            </w:pPr>
            <w:r>
              <w:rPr>
                <w:rFonts w:ascii="Arial" w:cs="Arial" w:eastAsia="Arial" w:hAnsi="Arial"/>
                <w:sz w:val="17"/>
                <w:szCs w:val="17"/>
                <w:i w:val="1"/>
                <w:iCs w:val="1"/>
                <w:color w:val="auto"/>
              </w:rPr>
              <w:t>C. Der Vergütungsausschuss</w:t>
            </w:r>
          </w:p>
        </w:tc>
        <w:tc>
          <w:tcPr>
            <w:tcW w:w="2260" w:type="dxa"/>
            <w:vAlign w:val="bottom"/>
          </w:tcPr>
          <w:p>
            <w:pPr>
              <w:spacing w:after="0"/>
              <w:rPr>
                <w:sz w:val="19"/>
                <w:szCs w:val="19"/>
                <w:color w:val="auto"/>
              </w:rPr>
            </w:pPr>
          </w:p>
        </w:tc>
        <w:tc>
          <w:tcPr>
            <w:tcW w:w="4300" w:type="dxa"/>
            <w:vAlign w:val="bottom"/>
          </w:tcPr>
          <w:p>
            <w:pPr>
              <w:ind w:left="280"/>
              <w:spacing w:after="0"/>
              <w:rPr>
                <w:sz w:val="20"/>
                <w:szCs w:val="20"/>
                <w:color w:val="auto"/>
              </w:rPr>
            </w:pPr>
            <w:r>
              <w:rPr>
                <w:rFonts w:ascii="Arial" w:cs="Arial" w:eastAsia="Arial" w:hAnsi="Arial"/>
                <w:sz w:val="17"/>
                <w:szCs w:val="17"/>
                <w:i w:val="1"/>
                <w:iCs w:val="1"/>
                <w:color w:val="auto"/>
              </w:rPr>
              <w:t>C. The Compensation Committee</w:t>
            </w:r>
          </w:p>
        </w:tc>
      </w:tr>
      <w:tr>
        <w:trPr>
          <w:trHeight w:val="730"/>
        </w:trPr>
        <w:tc>
          <w:tcPr>
            <w:tcW w:w="960" w:type="dxa"/>
            <w:vAlign w:val="bottom"/>
          </w:tcPr>
          <w:p>
            <w:pPr>
              <w:spacing w:after="0"/>
              <w:rPr>
                <w:sz w:val="24"/>
                <w:szCs w:val="24"/>
                <w:color w:val="auto"/>
              </w:rPr>
            </w:pPr>
          </w:p>
        </w:tc>
        <w:tc>
          <w:tcPr>
            <w:tcW w:w="3060" w:type="dxa"/>
            <w:vAlign w:val="bottom"/>
          </w:tcPr>
          <w:p>
            <w:pPr>
              <w:ind w:left="340"/>
              <w:spacing w:after="0"/>
              <w:rPr>
                <w:sz w:val="20"/>
                <w:szCs w:val="20"/>
                <w:color w:val="auto"/>
              </w:rPr>
            </w:pPr>
            <w:r>
              <w:rPr>
                <w:rFonts w:ascii="Arial" w:cs="Arial" w:eastAsia="Arial" w:hAnsi="Arial"/>
                <w:sz w:val="17"/>
                <w:szCs w:val="17"/>
                <w:b w:val="1"/>
                <w:bCs w:val="1"/>
                <w:color w:val="auto"/>
              </w:rPr>
              <w:t>Artikel 20</w:t>
            </w:r>
          </w:p>
        </w:tc>
        <w:tc>
          <w:tcPr>
            <w:tcW w:w="2260" w:type="dxa"/>
            <w:vAlign w:val="bottom"/>
          </w:tcPr>
          <w:p>
            <w:pPr>
              <w:spacing w:after="0"/>
              <w:rPr>
                <w:sz w:val="24"/>
                <w:szCs w:val="24"/>
                <w:color w:val="auto"/>
              </w:rPr>
            </w:pPr>
          </w:p>
        </w:tc>
        <w:tc>
          <w:tcPr>
            <w:tcW w:w="4300" w:type="dxa"/>
            <w:vAlign w:val="bottom"/>
          </w:tcPr>
          <w:p>
            <w:pPr>
              <w:ind w:left="280"/>
              <w:spacing w:after="0"/>
              <w:rPr>
                <w:sz w:val="20"/>
                <w:szCs w:val="20"/>
                <w:color w:val="auto"/>
              </w:rPr>
            </w:pPr>
            <w:r>
              <w:rPr>
                <w:rFonts w:ascii="Arial" w:cs="Arial" w:eastAsia="Arial" w:hAnsi="Arial"/>
                <w:sz w:val="17"/>
                <w:szCs w:val="17"/>
                <w:b w:val="1"/>
                <w:bCs w:val="1"/>
                <w:color w:val="auto"/>
              </w:rPr>
              <w:t>Article 20</w:t>
            </w:r>
          </w:p>
        </w:tc>
      </w:tr>
      <w:tr>
        <w:trPr>
          <w:trHeight w:val="385"/>
        </w:trPr>
        <w:tc>
          <w:tcPr>
            <w:tcW w:w="960" w:type="dxa"/>
            <w:vAlign w:val="bottom"/>
          </w:tcPr>
          <w:p>
            <w:pPr>
              <w:spacing w:after="0"/>
              <w:rPr>
                <w:sz w:val="20"/>
                <w:szCs w:val="20"/>
                <w:color w:val="auto"/>
              </w:rPr>
            </w:pPr>
            <w:r>
              <w:rPr>
                <w:rFonts w:ascii="Arial" w:cs="Arial" w:eastAsia="Arial" w:hAnsi="Arial"/>
                <w:sz w:val="13"/>
                <w:szCs w:val="13"/>
                <w:color w:val="auto"/>
              </w:rPr>
              <w:t>Anzahl der</w:t>
            </w:r>
          </w:p>
        </w:tc>
        <w:tc>
          <w:tcPr>
            <w:tcW w:w="3060" w:type="dxa"/>
            <w:vAlign w:val="bottom"/>
          </w:tcPr>
          <w:p>
            <w:pPr>
              <w:ind w:left="340"/>
              <w:spacing w:after="0"/>
              <w:rPr>
                <w:sz w:val="20"/>
                <w:szCs w:val="20"/>
                <w:color w:val="auto"/>
              </w:rPr>
            </w:pPr>
            <w:r>
              <w:rPr>
                <w:rFonts w:ascii="Arial" w:cs="Arial" w:eastAsia="Arial" w:hAnsi="Arial"/>
                <w:sz w:val="17"/>
                <w:szCs w:val="17"/>
                <w:color w:val="auto"/>
              </w:rPr>
              <w:t>Der Vergütungsausschuss besteht</w:t>
            </w:r>
          </w:p>
        </w:tc>
        <w:tc>
          <w:tcPr>
            <w:tcW w:w="2260" w:type="dxa"/>
            <w:vAlign w:val="bottom"/>
          </w:tcPr>
          <w:p>
            <w:pPr>
              <w:ind w:left="40"/>
              <w:spacing w:after="0"/>
              <w:rPr>
                <w:sz w:val="20"/>
                <w:szCs w:val="20"/>
                <w:color w:val="auto"/>
              </w:rPr>
            </w:pPr>
            <w:r>
              <w:rPr>
                <w:rFonts w:ascii="Arial" w:cs="Arial" w:eastAsia="Arial" w:hAnsi="Arial"/>
                <w:sz w:val="17"/>
                <w:szCs w:val="17"/>
                <w:color w:val="auto"/>
              </w:rPr>
              <w:t xml:space="preserve">aus mindestens </w:t>
            </w:r>
            <w:r>
              <w:rPr>
                <w:rFonts w:ascii="Arial" w:cs="Arial" w:eastAsia="Arial" w:hAnsi="Arial"/>
                <w:sz w:val="13"/>
                <w:szCs w:val="13"/>
                <w:color w:val="auto"/>
              </w:rPr>
              <w:t>Number of</w:t>
            </w:r>
          </w:p>
        </w:tc>
        <w:tc>
          <w:tcPr>
            <w:tcW w:w="4300" w:type="dxa"/>
            <w:vAlign w:val="bottom"/>
          </w:tcPr>
          <w:p>
            <w:pPr>
              <w:ind w:left="280"/>
              <w:spacing w:after="0"/>
              <w:rPr>
                <w:sz w:val="20"/>
                <w:szCs w:val="20"/>
                <w:color w:val="auto"/>
              </w:rPr>
            </w:pPr>
            <w:r>
              <w:rPr>
                <w:rFonts w:ascii="Arial" w:cs="Arial" w:eastAsia="Arial" w:hAnsi="Arial"/>
                <w:sz w:val="17"/>
                <w:szCs w:val="17"/>
                <w:color w:val="auto"/>
              </w:rPr>
              <w:t>The compensation committee shall consist of no less</w:t>
            </w:r>
          </w:p>
        </w:tc>
      </w:tr>
      <w:tr>
        <w:trPr>
          <w:trHeight w:val="228"/>
        </w:trPr>
        <w:tc>
          <w:tcPr>
            <w:tcW w:w="960" w:type="dxa"/>
            <w:vAlign w:val="bottom"/>
          </w:tcPr>
          <w:p>
            <w:pPr>
              <w:spacing w:after="0"/>
              <w:rPr>
                <w:sz w:val="20"/>
                <w:szCs w:val="20"/>
                <w:color w:val="auto"/>
              </w:rPr>
            </w:pPr>
            <w:r>
              <w:rPr>
                <w:rFonts w:ascii="Arial" w:cs="Arial" w:eastAsia="Arial" w:hAnsi="Arial"/>
                <w:sz w:val="13"/>
                <w:szCs w:val="13"/>
                <w:color w:val="auto"/>
              </w:rPr>
              <w:t>Mitglieder</w:t>
            </w:r>
          </w:p>
        </w:tc>
        <w:tc>
          <w:tcPr>
            <w:tcW w:w="3060" w:type="dxa"/>
            <w:vAlign w:val="bottom"/>
          </w:tcPr>
          <w:p>
            <w:pPr>
              <w:ind w:left="340"/>
              <w:spacing w:after="0"/>
              <w:rPr>
                <w:sz w:val="20"/>
                <w:szCs w:val="20"/>
                <w:color w:val="auto"/>
              </w:rPr>
            </w:pPr>
            <w:r>
              <w:rPr>
                <w:rFonts w:ascii="Arial" w:cs="Arial" w:eastAsia="Arial" w:hAnsi="Arial"/>
                <w:sz w:val="17"/>
                <w:szCs w:val="17"/>
                <w:color w:val="auto"/>
              </w:rPr>
              <w:t>zwei Mitgliedern.</w:t>
            </w:r>
          </w:p>
        </w:tc>
        <w:tc>
          <w:tcPr>
            <w:tcW w:w="2260" w:type="dxa"/>
            <w:vAlign w:val="bottom"/>
          </w:tcPr>
          <w:p>
            <w:pPr>
              <w:ind w:left="1340"/>
              <w:spacing w:after="0"/>
              <w:rPr>
                <w:sz w:val="20"/>
                <w:szCs w:val="20"/>
                <w:color w:val="auto"/>
              </w:rPr>
            </w:pPr>
            <w:r>
              <w:rPr>
                <w:rFonts w:ascii="Arial" w:cs="Arial" w:eastAsia="Arial" w:hAnsi="Arial"/>
                <w:sz w:val="13"/>
                <w:szCs w:val="13"/>
                <w:color w:val="auto"/>
              </w:rPr>
              <w:t>Members</w:t>
            </w:r>
          </w:p>
        </w:tc>
        <w:tc>
          <w:tcPr>
            <w:tcW w:w="4300" w:type="dxa"/>
            <w:vAlign w:val="bottom"/>
          </w:tcPr>
          <w:p>
            <w:pPr>
              <w:ind w:left="280"/>
              <w:spacing w:after="0"/>
              <w:rPr>
                <w:sz w:val="20"/>
                <w:szCs w:val="20"/>
                <w:color w:val="auto"/>
              </w:rPr>
            </w:pPr>
            <w:r>
              <w:rPr>
                <w:rFonts w:ascii="Arial" w:cs="Arial" w:eastAsia="Arial" w:hAnsi="Arial"/>
                <w:sz w:val="17"/>
                <w:szCs w:val="17"/>
                <w:color w:val="auto"/>
              </w:rPr>
              <w:t>than two members.</w:t>
            </w:r>
          </w:p>
        </w:tc>
      </w:tr>
    </w:tbl>
    <w:p>
      <w:pPr>
        <w:spacing w:after="0" w:line="200" w:lineRule="exact"/>
        <w:rPr>
          <w:sz w:val="20"/>
          <w:szCs w:val="20"/>
          <w:color w:val="auto"/>
        </w:rPr>
      </w:pPr>
    </w:p>
    <w:p>
      <w:pPr>
        <w:sectPr>
          <w:pgSz w:w="11900" w:h="16838" w:orient="portrait"/>
          <w:cols w:equalWidth="0" w:num="1">
            <w:col w:w="10580"/>
          </w:cols>
          <w:pgMar w:left="360" w:top="132" w:right="959" w:bottom="1440" w:gutter="0" w:footer="0" w:header="0"/>
          <w:type w:val="continuous"/>
        </w:sect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80"/>
              <w:spacing w:after="0"/>
              <w:rPr>
                <w:sz w:val="20"/>
                <w:szCs w:val="20"/>
                <w:color w:val="auto"/>
              </w:rPr>
            </w:pPr>
            <w:r>
              <w:rPr>
                <w:rFonts w:ascii="Arial" w:cs="Arial" w:eastAsia="Arial" w:hAnsi="Arial"/>
                <w:sz w:val="17"/>
                <w:szCs w:val="17"/>
                <w:b w:val="1"/>
                <w:bCs w:val="1"/>
                <w:color w:val="auto"/>
              </w:rPr>
              <w:t>Artikel 21</w:t>
            </w:r>
          </w:p>
        </w:tc>
      </w:tr>
      <w:tr>
        <w:trPr>
          <w:trHeight w:val="385"/>
        </w:trPr>
        <w:tc>
          <w:tcPr>
            <w:tcW w:w="860" w:type="dxa"/>
            <w:vAlign w:val="bottom"/>
          </w:tcPr>
          <w:p>
            <w:pPr>
              <w:spacing w:after="0"/>
              <w:rPr>
                <w:sz w:val="20"/>
                <w:szCs w:val="20"/>
                <w:color w:val="auto"/>
              </w:rPr>
            </w:pPr>
            <w:r>
              <w:rPr>
                <w:rFonts w:ascii="Arial" w:cs="Arial" w:eastAsia="Arial" w:hAnsi="Arial"/>
                <w:sz w:val="13"/>
                <w:szCs w:val="13"/>
                <w:color w:val="auto"/>
              </w:rPr>
              <w:t>Wahl und</w:t>
            </w: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4080" w:type="dxa"/>
            <w:vAlign w:val="bottom"/>
          </w:tcPr>
          <w:p>
            <w:pPr>
              <w:ind w:left="80"/>
              <w:spacing w:after="0"/>
              <w:rPr>
                <w:sz w:val="20"/>
                <w:szCs w:val="20"/>
                <w:color w:val="auto"/>
              </w:rPr>
            </w:pPr>
            <w:r>
              <w:rPr>
                <w:rFonts w:ascii="Arial" w:cs="Arial" w:eastAsia="Arial" w:hAnsi="Arial"/>
                <w:sz w:val="17"/>
                <w:szCs w:val="17"/>
                <w:color w:val="auto"/>
              </w:rPr>
              <w:t>Die Mitglieder des Vergütungsausschusses werden</w:t>
            </w:r>
          </w:p>
        </w:tc>
      </w:tr>
      <w:tr>
        <w:trPr>
          <w:trHeight w:val="228"/>
        </w:trPr>
        <w:tc>
          <w:tcPr>
            <w:tcW w:w="860" w:type="dxa"/>
            <w:vAlign w:val="bottom"/>
          </w:tcPr>
          <w:p>
            <w:pPr>
              <w:spacing w:after="0"/>
              <w:rPr>
                <w:sz w:val="20"/>
                <w:szCs w:val="20"/>
                <w:color w:val="auto"/>
              </w:rPr>
            </w:pPr>
            <w:r>
              <w:rPr>
                <w:rFonts w:ascii="Arial" w:cs="Arial" w:eastAsia="Arial" w:hAnsi="Arial"/>
                <w:sz w:val="13"/>
                <w:szCs w:val="13"/>
                <w:color w:val="auto"/>
              </w:rPr>
              <w:t>Amtsdauer</w:t>
            </w:r>
          </w:p>
        </w:tc>
        <w:tc>
          <w:tcPr>
            <w:tcW w:w="3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von  der  Generalversammlung  einzeln  für  eine</w:t>
            </w:r>
          </w:p>
        </w:tc>
      </w:tr>
      <w:tr>
        <w:trPr>
          <w:trHeight w:val="241"/>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Amtsdauer  bis  zum  Abschluss  der  nächsten</w:t>
            </w:r>
          </w:p>
        </w:tc>
      </w:tr>
      <w:tr>
        <w:trPr>
          <w:trHeight w:val="228"/>
        </w:trPr>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ordentlichen Generalversammlung gewählt. Wählbar</w:t>
            </w:r>
          </w:p>
        </w:tc>
      </w:tr>
      <w:tr>
        <w:trPr>
          <w:trHeight w:val="241"/>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sind nur Mitglieder des Verwaltungsrates.</w:t>
            </w:r>
          </w:p>
        </w:tc>
      </w:tr>
      <w:tr>
        <w:trPr>
          <w:trHeight w:val="393"/>
        </w:trPr>
        <w:tc>
          <w:tcPr>
            <w:tcW w:w="860" w:type="dxa"/>
            <w:vAlign w:val="bottom"/>
          </w:tcPr>
          <w:p>
            <w:pPr>
              <w:spacing w:after="0"/>
              <w:rPr>
                <w:sz w:val="24"/>
                <w:szCs w:val="24"/>
                <w:color w:val="auto"/>
              </w:rPr>
            </w:pP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4080" w:type="dxa"/>
            <w:vAlign w:val="bottom"/>
          </w:tcPr>
          <w:p>
            <w:pPr>
              <w:ind w:left="80"/>
              <w:spacing w:after="0"/>
              <w:rPr>
                <w:sz w:val="20"/>
                <w:szCs w:val="20"/>
                <w:color w:val="auto"/>
              </w:rPr>
            </w:pPr>
            <w:r>
              <w:rPr>
                <w:rFonts w:ascii="Arial" w:cs="Arial" w:eastAsia="Arial" w:hAnsi="Arial"/>
                <w:sz w:val="17"/>
                <w:szCs w:val="17"/>
                <w:color w:val="auto"/>
              </w:rPr>
              <w:t>Die  Mitglieder  des  Vergütungsausschusses  sind</w:t>
            </w:r>
          </w:p>
        </w:tc>
      </w:tr>
      <w:tr>
        <w:trPr>
          <w:trHeight w:val="228"/>
        </w:trPr>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jederzeit wieder wählbar.</w:t>
            </w:r>
          </w:p>
        </w:tc>
      </w:tr>
      <w:tr>
        <w:trPr>
          <w:trHeight w:val="393"/>
        </w:trPr>
        <w:tc>
          <w:tcPr>
            <w:tcW w:w="860" w:type="dxa"/>
            <w:vAlign w:val="bottom"/>
          </w:tcPr>
          <w:p>
            <w:pPr>
              <w:spacing w:after="0"/>
              <w:rPr>
                <w:sz w:val="24"/>
                <w:szCs w:val="24"/>
                <w:color w:val="auto"/>
              </w:rPr>
            </w:pPr>
          </w:p>
        </w:tc>
        <w:tc>
          <w:tcPr>
            <w:tcW w:w="36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4080" w:type="dxa"/>
            <w:vAlign w:val="bottom"/>
          </w:tcPr>
          <w:p>
            <w:pPr>
              <w:ind w:left="80"/>
              <w:spacing w:after="0"/>
              <w:rPr>
                <w:sz w:val="20"/>
                <w:szCs w:val="20"/>
                <w:color w:val="auto"/>
              </w:rPr>
            </w:pPr>
            <w:r>
              <w:rPr>
                <w:rFonts w:ascii="Arial" w:cs="Arial" w:eastAsia="Arial" w:hAnsi="Arial"/>
                <w:sz w:val="17"/>
                <w:szCs w:val="17"/>
                <w:color w:val="auto"/>
              </w:rPr>
              <w:t>Bei  Vakanzen  im  Vergütungsausschuss  kann  der</w:t>
            </w:r>
          </w:p>
        </w:tc>
      </w:tr>
      <w:tr>
        <w:trPr>
          <w:trHeight w:val="228"/>
        </w:trPr>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Verwaltungsrat aus seiner Mitte Ersatzmitglieder für</w:t>
            </w:r>
          </w:p>
        </w:tc>
      </w:tr>
    </w:tbl>
    <w:p>
      <w:pPr>
        <w:spacing w:after="0" w:line="18" w:lineRule="exact"/>
        <w:rPr>
          <w:sz w:val="20"/>
          <w:szCs w:val="20"/>
          <w:color w:val="auto"/>
        </w:rPr>
      </w:pPr>
    </w:p>
    <w:p>
      <w:pPr>
        <w:ind w:left="1300" w:right="20"/>
        <w:spacing w:after="0" w:line="313" w:lineRule="auto"/>
        <w:rPr>
          <w:sz w:val="20"/>
          <w:szCs w:val="20"/>
          <w:color w:val="auto"/>
        </w:rPr>
      </w:pPr>
      <w:r>
        <w:rPr>
          <w:rFonts w:ascii="Arial" w:cs="Arial" w:eastAsia="Arial" w:hAnsi="Arial"/>
          <w:sz w:val="17"/>
          <w:szCs w:val="17"/>
          <w:color w:val="auto"/>
        </w:rPr>
        <w:t>eine Amtsdauer bis zum Abschluss der nächsten ordentlichen Generalversammlung bezeichnen.</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Article 21</w:t>
      </w:r>
    </w:p>
    <w:p>
      <w:pPr>
        <w:spacing w:after="0" w:line="197" w:lineRule="exact"/>
        <w:rPr>
          <w:sz w:val="20"/>
          <w:szCs w:val="20"/>
          <w:color w:val="auto"/>
        </w:rPr>
      </w:pPr>
    </w:p>
    <w:p>
      <w:pPr>
        <w:spacing w:after="0"/>
        <w:tabs>
          <w:tab w:leader="none" w:pos="840" w:val="left"/>
          <w:tab w:leader="none" w:pos="1080" w:val="left"/>
        </w:tabs>
        <w:rPr>
          <w:sz w:val="20"/>
          <w:szCs w:val="20"/>
          <w:color w:val="auto"/>
        </w:rPr>
      </w:pPr>
      <w:r>
        <w:rPr>
          <w:rFonts w:ascii="Arial" w:cs="Arial" w:eastAsia="Arial" w:hAnsi="Arial"/>
          <w:sz w:val="13"/>
          <w:szCs w:val="13"/>
          <w:color w:val="auto"/>
        </w:rPr>
        <w:t>Election and</w:t>
        <w:tab/>
        <w:t>1</w:t>
      </w:r>
      <w:r>
        <w:rPr>
          <w:sz w:val="20"/>
          <w:szCs w:val="20"/>
          <w:color w:val="auto"/>
        </w:rPr>
        <w:tab/>
      </w:r>
      <w:r>
        <w:rPr>
          <w:rFonts w:ascii="Arial" w:cs="Arial" w:eastAsia="Arial" w:hAnsi="Arial"/>
          <w:sz w:val="17"/>
          <w:szCs w:val="17"/>
          <w:color w:val="auto"/>
        </w:rPr>
        <w:t>The general meeting of shareholders shall elect the</w:t>
      </w:r>
    </w:p>
    <w:p>
      <w:pPr>
        <w:spacing w:after="0" w:line="32"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color w:val="auto"/>
        </w:rPr>
        <w:t>Term of</w:t>
      </w:r>
      <w:r>
        <w:rPr>
          <w:sz w:val="20"/>
          <w:szCs w:val="20"/>
          <w:color w:val="auto"/>
        </w:rPr>
        <w:tab/>
      </w:r>
      <w:r>
        <w:rPr>
          <w:rFonts w:ascii="Arial" w:cs="Arial" w:eastAsia="Arial" w:hAnsi="Arial"/>
          <w:sz w:val="17"/>
          <w:szCs w:val="17"/>
          <w:color w:val="auto"/>
        </w:rPr>
        <w:t>members of the compensation committee individually</w:t>
      </w:r>
    </w:p>
    <w:p>
      <w:pPr>
        <w:spacing w:after="0" w:line="45"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color w:val="auto"/>
        </w:rPr>
        <w:t>Office</w:t>
      </w:r>
      <w:r>
        <w:rPr>
          <w:sz w:val="20"/>
          <w:szCs w:val="20"/>
          <w:color w:val="auto"/>
        </w:rPr>
        <w:tab/>
      </w:r>
      <w:r>
        <w:rPr>
          <w:rFonts w:ascii="Arial" w:cs="Arial" w:eastAsia="Arial" w:hAnsi="Arial"/>
          <w:sz w:val="17"/>
          <w:szCs w:val="17"/>
          <w:color w:val="auto"/>
        </w:rPr>
        <w:t>for a term of office extending until completion of the</w:t>
      </w:r>
    </w:p>
    <w:p>
      <w:pPr>
        <w:spacing w:after="0" w:line="32" w:lineRule="exact"/>
        <w:rPr>
          <w:sz w:val="20"/>
          <w:szCs w:val="20"/>
          <w:color w:val="auto"/>
        </w:rPr>
      </w:pPr>
    </w:p>
    <w:p>
      <w:pPr>
        <w:ind w:left="1100"/>
        <w:spacing w:after="0" w:line="328" w:lineRule="auto"/>
        <w:rPr>
          <w:sz w:val="20"/>
          <w:szCs w:val="20"/>
          <w:color w:val="auto"/>
        </w:rPr>
      </w:pPr>
      <w:r>
        <w:rPr>
          <w:rFonts w:ascii="Arial" w:cs="Arial" w:eastAsia="Arial" w:hAnsi="Arial"/>
          <w:sz w:val="17"/>
          <w:szCs w:val="17"/>
          <w:color w:val="auto"/>
        </w:rPr>
        <w:t>next ordinary general meeting of shareholders. Only members of the board of directors may be elected.</w:t>
      </w:r>
    </w:p>
    <w:p>
      <w:pPr>
        <w:spacing w:after="0" w:line="99" w:lineRule="exact"/>
        <w:rPr>
          <w:sz w:val="20"/>
          <w:szCs w:val="20"/>
          <w:color w:val="auto"/>
        </w:rPr>
      </w:pPr>
    </w:p>
    <w:p>
      <w:pPr>
        <w:ind w:left="1100" w:hanging="235"/>
        <w:spacing w:after="0" w:line="313" w:lineRule="auto"/>
        <w:tabs>
          <w:tab w:leader="none" w:pos="1100" w:val="left"/>
        </w:tabs>
        <w:numPr>
          <w:ilvl w:val="0"/>
          <w:numId w:val="167"/>
        </w:numPr>
        <w:rPr>
          <w:rFonts w:ascii="Arial" w:cs="Arial" w:eastAsia="Arial" w:hAnsi="Arial"/>
          <w:sz w:val="13"/>
          <w:szCs w:val="13"/>
          <w:color w:val="auto"/>
        </w:rPr>
      </w:pPr>
      <w:r>
        <w:rPr>
          <w:rFonts w:ascii="Arial" w:cs="Arial" w:eastAsia="Arial" w:hAnsi="Arial"/>
          <w:sz w:val="17"/>
          <w:szCs w:val="17"/>
          <w:color w:val="auto"/>
        </w:rPr>
        <w:t>Members of the compensation committee may be re-elected at any time.</w:t>
      </w:r>
    </w:p>
    <w:p>
      <w:pPr>
        <w:spacing w:after="0" w:line="111" w:lineRule="exact"/>
        <w:rPr>
          <w:sz w:val="20"/>
          <w:szCs w:val="20"/>
          <w:color w:val="auto"/>
        </w:rPr>
      </w:pPr>
    </w:p>
    <w:p>
      <w:pPr>
        <w:jc w:val="both"/>
        <w:ind w:left="1100" w:hanging="239"/>
        <w:spacing w:after="0" w:line="296" w:lineRule="auto"/>
        <w:tabs>
          <w:tab w:leader="none" w:pos="10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If there are vacancies on the compensation committee, the board of directors shall appoint from among its members substitutes for a term of office extending until completion of the next ordinary general meeting of shareholders.</w:t>
      </w:r>
    </w:p>
    <w:p>
      <w:pPr>
        <w:spacing w:after="0" w:line="200" w:lineRule="exact"/>
        <w:rPr>
          <w:sz w:val="20"/>
          <w:szCs w:val="20"/>
          <w:color w:val="auto"/>
        </w:rPr>
      </w:pPr>
    </w:p>
    <w:p>
      <w:pPr>
        <w:sectPr>
          <w:pgSz w:w="11900" w:h="16838" w:orient="portrait"/>
          <w:cols w:equalWidth="0" w:num="2">
            <w:col w:w="5300" w:space="160"/>
            <w:col w:w="5120"/>
          </w:cols>
          <w:pgMar w:left="360" w:top="132" w:right="959" w:bottom="1440" w:gutter="0" w:footer="0" w:header="0"/>
          <w:type w:val="continuous"/>
        </w:sectPr>
      </w:pPr>
    </w:p>
    <w:p>
      <w:pPr>
        <w:spacing w:after="0" w:line="254" w:lineRule="exact"/>
        <w:rPr>
          <w:sz w:val="20"/>
          <w:szCs w:val="20"/>
          <w:color w:val="auto"/>
        </w:rPr>
      </w:pPr>
    </w:p>
    <w:p>
      <w:pPr>
        <w:ind w:left="1300"/>
        <w:spacing w:after="0"/>
        <w:tabs>
          <w:tab w:leader="none" w:pos="6540" w:val="left"/>
        </w:tabs>
        <w:rPr>
          <w:sz w:val="20"/>
          <w:szCs w:val="20"/>
          <w:color w:val="auto"/>
        </w:rPr>
      </w:pPr>
      <w:r>
        <w:rPr>
          <w:rFonts w:ascii="Arial" w:cs="Arial" w:eastAsia="Arial" w:hAnsi="Arial"/>
          <w:sz w:val="17"/>
          <w:szCs w:val="17"/>
          <w:b w:val="1"/>
          <w:bCs w:val="1"/>
          <w:color w:val="auto"/>
        </w:rPr>
        <w:t>Artikel 22</w:t>
      </w:r>
      <w:r>
        <w:rPr>
          <w:sz w:val="20"/>
          <w:szCs w:val="20"/>
          <w:color w:val="auto"/>
        </w:rPr>
        <w:tab/>
      </w:r>
      <w:r>
        <w:rPr>
          <w:rFonts w:ascii="Arial" w:cs="Arial" w:eastAsia="Arial" w:hAnsi="Arial"/>
          <w:sz w:val="16"/>
          <w:szCs w:val="16"/>
          <w:b w:val="1"/>
          <w:bCs w:val="1"/>
          <w:color w:val="auto"/>
        </w:rPr>
        <w:t>Article 22</w:t>
      </w:r>
    </w:p>
    <w:p>
      <w:pPr>
        <w:sectPr>
          <w:pgSz w:w="11900" w:h="16838" w:orient="portrait"/>
          <w:cols w:equalWidth="0" w:num="1">
            <w:col w:w="10580"/>
          </w:cols>
          <w:pgMar w:left="360" w:top="132" w:right="959" w:bottom="1440" w:gutter="0" w:footer="0" w:header="0"/>
          <w:type w:val="continuous"/>
        </w:sectPr>
      </w:pPr>
    </w:p>
    <w:bookmarkStart w:id="245" w:name="page246"/>
    <w:bookmarkEnd w:id="245"/>
    <w:p>
      <w:pPr>
        <w:spacing w:after="0" w:line="199" w:lineRule="auto"/>
        <w:tabs>
          <w:tab w:leader="none" w:pos="6540" w:val="left"/>
        </w:tabs>
        <w:framePr w:w="2260" w:h="153" w:wrap="auto" w:vAnchor="page" w:hAnchor="page" w:x="7200" w:y="6585"/>
        <w:rPr>
          <w:rFonts w:ascii="Arial" w:cs="Arial" w:eastAsia="Arial" w:hAnsi="Arial"/>
          <w:sz w:val="16"/>
          <w:szCs w:val="16"/>
          <w:color w:val="auto"/>
        </w:rPr>
      </w:pPr>
      <w:r>
        <w:rPr>
          <w:rFonts w:ascii="Arial" w:cs="Arial" w:eastAsia="Arial" w:hAnsi="Arial"/>
          <w:sz w:val="16"/>
          <w:szCs w:val="16"/>
          <w:color w:val="auto"/>
        </w:rPr>
        <w:t>compensation-related issues.</w:t>
      </w:r>
    </w:p>
    <w:p>
      <w:pPr>
        <w:jc w:val="both"/>
        <w:spacing w:after="0" w:line="247" w:lineRule="auto"/>
        <w:tabs>
          <w:tab w:leader="none" w:pos="6540" w:val="left"/>
        </w:tabs>
        <w:framePr w:w="4040" w:h="2090" w:wrap="auto" w:vAnchor="page" w:hAnchor="page" w:x="6940" w:y="6965"/>
        <w:rPr>
          <w:rFonts w:ascii="Arial" w:cs="Arial" w:eastAsia="Arial" w:hAnsi="Arial"/>
          <w:sz w:val="16"/>
          <w:szCs w:val="16"/>
          <w:color w:val="auto"/>
        </w:rPr>
      </w:pPr>
      <w:r>
        <w:rPr>
          <w:rFonts w:ascii="Arial" w:cs="Arial" w:eastAsia="Arial" w:hAnsi="Arial"/>
          <w:sz w:val="13"/>
          <w:szCs w:val="13"/>
          <w:color w:val="auto"/>
        </w:rPr>
        <w:t xml:space="preserve">2 </w:t>
      </w:r>
      <w:r>
        <w:rPr>
          <w:rFonts w:ascii="Arial" w:cs="Arial" w:eastAsia="Arial" w:hAnsi="Arial"/>
          <w:sz w:val="16"/>
          <w:szCs w:val="16"/>
          <w:color w:val="auto"/>
        </w:rPr>
        <w:t>The board of directors shall determine in</w:t>
      </w:r>
      <w:r>
        <w:rPr>
          <w:rFonts w:ascii="Arial" w:cs="Arial" w:eastAsia="Arial" w:hAnsi="Arial"/>
          <w:sz w:val="13"/>
          <w:szCs w:val="13"/>
          <w:color w:val="auto"/>
        </w:rPr>
        <w:t xml:space="preserve"> </w:t>
      </w:r>
      <w:r>
        <w:rPr>
          <w:rFonts w:ascii="Arial" w:cs="Arial" w:eastAsia="Arial" w:hAnsi="Arial"/>
          <w:sz w:val="16"/>
          <w:szCs w:val="16"/>
          <w:color w:val="auto"/>
        </w:rPr>
        <w:t>regulations for which positions of the board of directors and of the executive management, the compensation committee shall submit proposals for the performance metrics, target values and the compensation to the board of directors, and for which positions it shall itself determine, in accordance with the Articles of Incorporation and the compensation guidelines established by the board of directors, the performance metrics, target values and the compensation.</w:t>
      </w:r>
    </w:p>
    <w:p>
      <w:pPr>
        <w:jc w:val="both"/>
        <w:spacing w:after="0" w:line="270" w:lineRule="auto"/>
        <w:tabs>
          <w:tab w:leader="none" w:pos="6540" w:val="left"/>
        </w:tabs>
        <w:framePr w:w="4040" w:h="621" w:wrap="auto" w:vAnchor="page" w:hAnchor="page" w:x="6940" w:y="9472"/>
        <w:rPr>
          <w:rFonts w:ascii="Arial" w:cs="Arial" w:eastAsia="Arial" w:hAnsi="Arial"/>
          <w:sz w:val="16"/>
          <w:szCs w:val="16"/>
          <w:color w:val="auto"/>
        </w:rPr>
      </w:pPr>
      <w:r>
        <w:rPr>
          <w:rFonts w:ascii="Arial" w:cs="Arial" w:eastAsia="Arial" w:hAnsi="Arial"/>
          <w:sz w:val="13"/>
          <w:szCs w:val="13"/>
          <w:color w:val="auto"/>
        </w:rPr>
        <w:t xml:space="preserve">3 </w:t>
      </w:r>
      <w:r>
        <w:rPr>
          <w:rFonts w:ascii="Arial" w:cs="Arial" w:eastAsia="Arial" w:hAnsi="Arial"/>
          <w:sz w:val="16"/>
          <w:szCs w:val="16"/>
          <w:color w:val="auto"/>
        </w:rPr>
        <w:t>The board of directors may determine in</w:t>
      </w:r>
      <w:r>
        <w:rPr>
          <w:rFonts w:ascii="Arial" w:cs="Arial" w:eastAsia="Arial" w:hAnsi="Arial"/>
          <w:sz w:val="13"/>
          <w:szCs w:val="13"/>
          <w:color w:val="auto"/>
        </w:rPr>
        <w:t xml:space="preserve"> </w:t>
      </w:r>
      <w:r>
        <w:rPr>
          <w:rFonts w:ascii="Arial" w:cs="Arial" w:eastAsia="Arial" w:hAnsi="Arial"/>
          <w:sz w:val="16"/>
          <w:szCs w:val="16"/>
          <w:color w:val="auto"/>
        </w:rPr>
        <w:t>regulations to delegate further authorities and duties to the compensation committee.</w:t>
      </w:r>
    </w:p>
    <w:p>
      <w:pPr>
        <w:spacing w:after="0" w:line="199" w:lineRule="auto"/>
        <w:tabs>
          <w:tab w:leader="none" w:pos="6540" w:val="left"/>
        </w:tabs>
        <w:framePr w:w="900" w:h="153" w:wrap="auto" w:vAnchor="page" w:hAnchor="page" w:x="7200" w:y="10891"/>
        <w:rPr>
          <w:rFonts w:ascii="Arial" w:cs="Arial" w:eastAsia="Arial" w:hAnsi="Arial"/>
          <w:sz w:val="16"/>
          <w:szCs w:val="16"/>
          <w:i w:val="1"/>
          <w:iCs w:val="1"/>
          <w:color w:val="auto"/>
        </w:rPr>
      </w:pPr>
      <w:r>
        <w:rPr>
          <w:rFonts w:ascii="Arial" w:cs="Arial" w:eastAsia="Arial" w:hAnsi="Arial"/>
          <w:sz w:val="16"/>
          <w:szCs w:val="16"/>
          <w:i w:val="1"/>
          <w:iCs w:val="1"/>
          <w:color w:val="auto"/>
        </w:rPr>
        <w:t>D. Auditors</w:t>
      </w:r>
    </w:p>
    <w:p>
      <w:pPr>
        <w:spacing w:after="0" w:line="199" w:lineRule="auto"/>
        <w:tabs>
          <w:tab w:leader="none" w:pos="6540" w:val="left"/>
        </w:tabs>
        <w:framePr w:w="820" w:h="153" w:wrap="auto" w:vAnchor="page" w:hAnchor="page" w:x="7200" w:y="11613"/>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Article 24</w:t>
      </w:r>
    </w:p>
    <w:p>
      <w:pPr>
        <w:ind w:left="5420"/>
        <w:spacing w:after="0"/>
        <w:rPr>
          <w:sz w:val="20"/>
          <w:szCs w:val="20"/>
          <w:color w:val="auto"/>
        </w:rPr>
      </w:pPr>
      <w:r>
        <w:rPr>
          <w:rFonts w:ascii="Arial" w:cs="Arial" w:eastAsia="Arial" w:hAnsi="Arial"/>
          <w:sz w:val="13"/>
          <w:szCs w:val="13"/>
          <w:color w:val="auto"/>
        </w:rPr>
        <w:t>- 24 -</w:t>
      </w: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00" w:lineRule="exact"/>
        <w:rPr>
          <w:rFonts w:ascii="Arial" w:cs="Arial" w:eastAsia="Arial" w:hAnsi="Arial"/>
          <w:sz w:val="16"/>
          <w:szCs w:val="16"/>
          <w:b w:val="1"/>
          <w:bCs w:val="1"/>
          <w:i w:val="1"/>
          <w:iCs w:val="1"/>
          <w:color w:val="auto"/>
        </w:rPr>
      </w:pPr>
    </w:p>
    <w:p>
      <w:pPr>
        <w:spacing w:after="0" w:line="272" w:lineRule="exact"/>
        <w:rPr>
          <w:rFonts w:ascii="Arial" w:cs="Arial" w:eastAsia="Arial" w:hAnsi="Arial"/>
          <w:sz w:val="16"/>
          <w:szCs w:val="16"/>
          <w:b w:val="1"/>
          <w:bCs w:val="1"/>
          <w:i w:val="1"/>
          <w:iCs w:val="1"/>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Pr>
          <w:p>
            <w:pPr>
              <w:spacing w:after="0"/>
              <w:rPr>
                <w:sz w:val="20"/>
                <w:szCs w:val="20"/>
                <w:color w:val="auto"/>
              </w:rPr>
            </w:pPr>
            <w:r>
              <w:rPr>
                <w:rFonts w:ascii="Arial" w:cs="Arial" w:eastAsia="Arial" w:hAnsi="Arial"/>
                <w:sz w:val="13"/>
                <w:szCs w:val="13"/>
                <w:color w:val="auto"/>
              </w:rPr>
              <w:t>Organisation des</w:t>
            </w:r>
          </w:p>
        </w:tc>
        <w:tc>
          <w:tcPr>
            <w:tcW w:w="180" w:type="dxa"/>
            <w:vAlign w:val="bottom"/>
          </w:tcPr>
          <w:p>
            <w:pPr>
              <w:ind w:left="40"/>
              <w:spacing w:after="0"/>
              <w:rPr>
                <w:sz w:val="20"/>
                <w:szCs w:val="20"/>
                <w:color w:val="auto"/>
              </w:rPr>
            </w:pPr>
            <w:r>
              <w:rPr>
                <w:rFonts w:ascii="Arial" w:cs="Arial" w:eastAsia="Arial" w:hAnsi="Arial"/>
                <w:sz w:val="13"/>
                <w:szCs w:val="13"/>
                <w:color w:val="auto"/>
              </w:rPr>
              <w:t>1</w:t>
            </w:r>
          </w:p>
        </w:tc>
        <w:tc>
          <w:tcPr>
            <w:tcW w:w="380" w:type="dxa"/>
            <w:vAlign w:val="bottom"/>
          </w:tcPr>
          <w:p>
            <w:pPr>
              <w:ind w:left="60"/>
              <w:spacing w:after="0"/>
              <w:rPr>
                <w:sz w:val="20"/>
                <w:szCs w:val="20"/>
                <w:color w:val="auto"/>
              </w:rPr>
            </w:pPr>
            <w:r>
              <w:rPr>
                <w:rFonts w:ascii="Arial" w:cs="Arial" w:eastAsia="Arial" w:hAnsi="Arial"/>
                <w:sz w:val="17"/>
                <w:szCs w:val="17"/>
                <w:color w:val="auto"/>
              </w:rPr>
              <w:t>Der</w:t>
            </w:r>
          </w:p>
        </w:tc>
        <w:tc>
          <w:tcPr>
            <w:tcW w:w="1780" w:type="dxa"/>
            <w:vAlign w:val="bottom"/>
            <w:gridSpan w:val="4"/>
          </w:tcPr>
          <w:p>
            <w:pPr>
              <w:ind w:left="40"/>
              <w:spacing w:after="0"/>
              <w:rPr>
                <w:sz w:val="20"/>
                <w:szCs w:val="20"/>
                <w:color w:val="auto"/>
              </w:rPr>
            </w:pPr>
            <w:r>
              <w:rPr>
                <w:rFonts w:ascii="Arial" w:cs="Arial" w:eastAsia="Arial" w:hAnsi="Arial"/>
                <w:sz w:val="17"/>
                <w:szCs w:val="17"/>
                <w:color w:val="auto"/>
              </w:rPr>
              <w:t>Vergütungsausschuss</w:t>
            </w:r>
          </w:p>
        </w:tc>
        <w:tc>
          <w:tcPr>
            <w:tcW w:w="1260" w:type="dxa"/>
            <w:vAlign w:val="bottom"/>
            <w:gridSpan w:val="2"/>
          </w:tcPr>
          <w:p>
            <w:pPr>
              <w:spacing w:after="0"/>
              <w:rPr>
                <w:sz w:val="20"/>
                <w:szCs w:val="20"/>
                <w:color w:val="auto"/>
              </w:rPr>
            </w:pPr>
            <w:r>
              <w:rPr>
                <w:rFonts w:ascii="Arial" w:cs="Arial" w:eastAsia="Arial" w:hAnsi="Arial"/>
                <w:sz w:val="17"/>
                <w:szCs w:val="17"/>
                <w:color w:val="auto"/>
              </w:rPr>
              <w:t>konstituiert sich</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unter</w:t>
            </w:r>
          </w:p>
        </w:tc>
        <w:tc>
          <w:tcPr>
            <w:tcW w:w="980" w:type="dxa"/>
            <w:vAlign w:val="bottom"/>
          </w:tcPr>
          <w:p>
            <w:pPr>
              <w:ind w:left="80"/>
              <w:spacing w:after="0"/>
              <w:rPr>
                <w:sz w:val="20"/>
                <w:szCs w:val="20"/>
                <w:color w:val="auto"/>
              </w:rPr>
            </w:pPr>
            <w:r>
              <w:rPr>
                <w:rFonts w:ascii="Arial" w:cs="Arial" w:eastAsia="Arial" w:hAnsi="Arial"/>
                <w:sz w:val="13"/>
                <w:szCs w:val="13"/>
                <w:color w:val="auto"/>
              </w:rPr>
              <w:t>Organization</w:t>
            </w:r>
          </w:p>
        </w:tc>
        <w:tc>
          <w:tcPr>
            <w:tcW w:w="200" w:type="dxa"/>
            <w:vAlign w:val="bottom"/>
          </w:tcPr>
          <w:p>
            <w:pPr>
              <w:ind w:left="40"/>
              <w:spacing w:after="0"/>
              <w:rPr>
                <w:sz w:val="20"/>
                <w:szCs w:val="20"/>
                <w:color w:val="auto"/>
              </w:rPr>
            </w:pPr>
            <w:r>
              <w:rPr>
                <w:rFonts w:ascii="Arial" w:cs="Arial" w:eastAsia="Arial" w:hAnsi="Arial"/>
                <w:sz w:val="13"/>
                <w:szCs w:val="13"/>
                <w:color w:val="auto"/>
              </w:rPr>
              <w:t>1</w:t>
            </w: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The compensation committee constitutes itself</w:t>
            </w:r>
          </w:p>
        </w:tc>
      </w:tr>
      <w:tr>
        <w:trPr>
          <w:trHeight w:val="228"/>
        </w:trPr>
        <w:tc>
          <w:tcPr>
            <w:tcW w:w="1480" w:type="dxa"/>
            <w:vAlign w:val="bottom"/>
          </w:tcPr>
          <w:p>
            <w:pPr>
              <w:spacing w:after="0"/>
              <w:rPr>
                <w:sz w:val="20"/>
                <w:szCs w:val="20"/>
                <w:color w:val="auto"/>
              </w:rPr>
            </w:pPr>
            <w:r>
              <w:rPr>
                <w:rFonts w:ascii="Arial" w:cs="Arial" w:eastAsia="Arial" w:hAnsi="Arial"/>
                <w:sz w:val="13"/>
                <w:szCs w:val="13"/>
                <w:color w:val="auto"/>
              </w:rPr>
              <w:t>Vergütungsausschusses</w:t>
            </w: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Vorbehalt</w:t>
            </w:r>
          </w:p>
        </w:tc>
        <w:tc>
          <w:tcPr>
            <w:tcW w:w="300" w:type="dxa"/>
            <w:vAlign w:val="bottom"/>
          </w:tcPr>
          <w:p>
            <w:pPr>
              <w:spacing w:after="0"/>
              <w:rPr>
                <w:sz w:val="19"/>
                <w:szCs w:val="19"/>
                <w:color w:val="auto"/>
              </w:rPr>
            </w:pPr>
          </w:p>
        </w:tc>
        <w:tc>
          <w:tcPr>
            <w:tcW w:w="500" w:type="dxa"/>
            <w:vAlign w:val="bottom"/>
          </w:tcPr>
          <w:p>
            <w:pPr>
              <w:jc w:val="center"/>
              <w:ind w:right="56"/>
              <w:spacing w:after="0"/>
              <w:rPr>
                <w:sz w:val="20"/>
                <w:szCs w:val="20"/>
                <w:color w:val="auto"/>
              </w:rPr>
            </w:pPr>
            <w:r>
              <w:rPr>
                <w:rFonts w:ascii="Arial" w:cs="Arial" w:eastAsia="Arial" w:hAnsi="Arial"/>
                <w:sz w:val="17"/>
                <w:szCs w:val="17"/>
                <w:color w:val="auto"/>
                <w:w w:val="97"/>
              </w:rPr>
              <w:t>der</w:t>
            </w:r>
          </w:p>
        </w:tc>
        <w:tc>
          <w:tcPr>
            <w:tcW w:w="1680" w:type="dxa"/>
            <w:vAlign w:val="bottom"/>
            <w:gridSpan w:val="3"/>
          </w:tcPr>
          <w:p>
            <w:pPr>
              <w:ind w:left="300"/>
              <w:spacing w:after="0"/>
              <w:rPr>
                <w:sz w:val="20"/>
                <w:szCs w:val="20"/>
                <w:color w:val="auto"/>
              </w:rPr>
            </w:pPr>
            <w:r>
              <w:rPr>
                <w:rFonts w:ascii="Arial" w:cs="Arial" w:eastAsia="Arial" w:hAnsi="Arial"/>
                <w:sz w:val="17"/>
                <w:szCs w:val="17"/>
                <w:color w:val="auto"/>
              </w:rPr>
              <w:t>Kompetenzen</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der</w:t>
            </w:r>
          </w:p>
        </w:tc>
        <w:tc>
          <w:tcPr>
            <w:tcW w:w="980" w:type="dxa"/>
            <w:vAlign w:val="bottom"/>
          </w:tcPr>
          <w:p>
            <w:pPr>
              <w:ind w:left="80"/>
              <w:spacing w:after="0"/>
              <w:rPr>
                <w:sz w:val="20"/>
                <w:szCs w:val="20"/>
                <w:color w:val="auto"/>
              </w:rPr>
            </w:pPr>
            <w:r>
              <w:rPr>
                <w:rFonts w:ascii="Arial" w:cs="Arial" w:eastAsia="Arial" w:hAnsi="Arial"/>
                <w:sz w:val="13"/>
                <w:szCs w:val="13"/>
                <w:color w:val="auto"/>
              </w:rPr>
              <w:t>of the</w:t>
            </w: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subject to the powers of the general meeting of</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auto"/>
              </w:rPr>
              <w:t>Generalversammlung</w:t>
            </w:r>
          </w:p>
        </w:tc>
        <w:tc>
          <w:tcPr>
            <w:tcW w:w="420" w:type="dxa"/>
            <w:vAlign w:val="bottom"/>
          </w:tcPr>
          <w:p>
            <w:pPr>
              <w:ind w:left="80"/>
              <w:spacing w:after="0"/>
              <w:rPr>
                <w:sz w:val="20"/>
                <w:szCs w:val="20"/>
                <w:color w:val="auto"/>
              </w:rPr>
            </w:pPr>
            <w:r>
              <w:rPr>
                <w:rFonts w:ascii="Arial" w:cs="Arial" w:eastAsia="Arial" w:hAnsi="Arial"/>
                <w:sz w:val="17"/>
                <w:szCs w:val="17"/>
                <w:color w:val="auto"/>
              </w:rPr>
              <w:t>und</w:t>
            </w:r>
          </w:p>
        </w:tc>
        <w:tc>
          <w:tcPr>
            <w:tcW w:w="360" w:type="dxa"/>
            <w:vAlign w:val="bottom"/>
          </w:tcPr>
          <w:p>
            <w:pPr>
              <w:ind w:left="80"/>
              <w:spacing w:after="0"/>
              <w:rPr>
                <w:sz w:val="20"/>
                <w:szCs w:val="20"/>
                <w:color w:val="auto"/>
              </w:rPr>
            </w:pPr>
            <w:r>
              <w:rPr>
                <w:rFonts w:ascii="Arial" w:cs="Arial" w:eastAsia="Arial" w:hAnsi="Arial"/>
                <w:sz w:val="17"/>
                <w:szCs w:val="17"/>
                <w:color w:val="auto"/>
                <w:w w:val="94"/>
              </w:rPr>
              <w:t>des</w:t>
            </w:r>
          </w:p>
        </w:tc>
        <w:tc>
          <w:tcPr>
            <w:tcW w:w="1420" w:type="dxa"/>
            <w:vAlign w:val="bottom"/>
            <w:gridSpan w:val="2"/>
          </w:tcPr>
          <w:p>
            <w:pPr>
              <w:jc w:val="right"/>
              <w:ind w:right="16"/>
              <w:spacing w:after="0"/>
              <w:rPr>
                <w:sz w:val="20"/>
                <w:szCs w:val="20"/>
                <w:color w:val="auto"/>
              </w:rPr>
            </w:pPr>
            <w:r>
              <w:rPr>
                <w:rFonts w:ascii="Arial" w:cs="Arial" w:eastAsia="Arial" w:hAnsi="Arial"/>
                <w:sz w:val="17"/>
                <w:szCs w:val="17"/>
                <w:color w:val="auto"/>
              </w:rPr>
              <w:t>Verwaltungsrats</w:t>
            </w:r>
          </w:p>
        </w:tc>
        <w:tc>
          <w:tcPr>
            <w:tcW w:w="98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200" w:type="dxa"/>
            <w:vAlign w:val="bottom"/>
          </w:tcPr>
          <w:p>
            <w:pPr>
              <w:spacing w:after="0"/>
              <w:rPr>
                <w:sz w:val="20"/>
                <w:szCs w:val="20"/>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shareholders and the board of directors. The</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selbst.  Der  Verwaltungsrat  bezeichnet  den</w:t>
            </w:r>
          </w:p>
        </w:tc>
        <w:tc>
          <w:tcPr>
            <w:tcW w:w="980" w:type="dxa"/>
            <w:vAlign w:val="bottom"/>
          </w:tcPr>
          <w:p>
            <w:pPr>
              <w:ind w:left="80"/>
              <w:spacing w:after="0"/>
              <w:rPr>
                <w:sz w:val="20"/>
                <w:szCs w:val="20"/>
                <w:color w:val="auto"/>
              </w:rPr>
            </w:pPr>
            <w:r>
              <w:rPr>
                <w:rFonts w:ascii="Arial" w:cs="Arial" w:eastAsia="Arial" w:hAnsi="Arial"/>
                <w:sz w:val="13"/>
                <w:szCs w:val="13"/>
                <w:color w:val="auto"/>
              </w:rPr>
              <w:t>Committee</w:t>
            </w: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board of directors shall elect the chair of the</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7"/>
          </w:tcPr>
          <w:p>
            <w:pPr>
              <w:ind w:left="60"/>
              <w:spacing w:after="0"/>
              <w:rPr>
                <w:sz w:val="20"/>
                <w:szCs w:val="20"/>
                <w:color w:val="auto"/>
              </w:rPr>
            </w:pPr>
            <w:r>
              <w:rPr>
                <w:rFonts w:ascii="Arial" w:cs="Arial" w:eastAsia="Arial" w:hAnsi="Arial"/>
                <w:sz w:val="17"/>
                <w:szCs w:val="17"/>
                <w:color w:val="auto"/>
              </w:rPr>
              <w:t>Vorsitzenden des Vergütungsausschusses.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7"/>
                <w:szCs w:val="17"/>
                <w:color w:val="auto"/>
              </w:rPr>
              <w:t>compensation committee.</w:t>
            </w:r>
          </w:p>
        </w:tc>
        <w:tc>
          <w:tcPr>
            <w:tcW w:w="1700" w:type="dxa"/>
            <w:vAlign w:val="bottom"/>
          </w:tcPr>
          <w:p>
            <w:pPr>
              <w:spacing w:after="0"/>
              <w:rPr>
                <w:sz w:val="20"/>
                <w:szCs w:val="20"/>
                <w:color w:val="auto"/>
              </w:rPr>
            </w:pPr>
          </w:p>
        </w:tc>
      </w:tr>
      <w:tr>
        <w:trPr>
          <w:trHeight w:val="393"/>
        </w:trPr>
        <w:tc>
          <w:tcPr>
            <w:tcW w:w="148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Im</w:t>
            </w:r>
          </w:p>
        </w:tc>
        <w:tc>
          <w:tcPr>
            <w:tcW w:w="3560" w:type="dxa"/>
            <w:vAlign w:val="bottom"/>
            <w:gridSpan w:val="7"/>
          </w:tcPr>
          <w:p>
            <w:pPr>
              <w:jc w:val="right"/>
              <w:ind w:right="16"/>
              <w:spacing w:after="0"/>
              <w:rPr>
                <w:sz w:val="20"/>
                <w:szCs w:val="20"/>
                <w:color w:val="auto"/>
              </w:rPr>
            </w:pPr>
            <w:r>
              <w:rPr>
                <w:rFonts w:ascii="Arial" w:cs="Arial" w:eastAsia="Arial" w:hAnsi="Arial"/>
                <w:sz w:val="17"/>
                <w:szCs w:val="17"/>
                <w:color w:val="auto"/>
              </w:rPr>
              <w:t>Übrigen  erlässt  der  Verwaltungsrat  ein</w:t>
            </w:r>
          </w:p>
        </w:tc>
        <w:tc>
          <w:tcPr>
            <w:tcW w:w="9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The  board</w:t>
            </w:r>
          </w:p>
        </w:tc>
        <w:tc>
          <w:tcPr>
            <w:tcW w:w="1000" w:type="dxa"/>
            <w:vAlign w:val="bottom"/>
          </w:tcPr>
          <w:p>
            <w:pPr>
              <w:jc w:val="center"/>
              <w:spacing w:after="0"/>
              <w:rPr>
                <w:sz w:val="20"/>
                <w:szCs w:val="20"/>
                <w:color w:val="auto"/>
              </w:rPr>
            </w:pPr>
            <w:r>
              <w:rPr>
                <w:rFonts w:ascii="Arial" w:cs="Arial" w:eastAsia="Arial" w:hAnsi="Arial"/>
                <w:sz w:val="17"/>
                <w:szCs w:val="17"/>
                <w:color w:val="auto"/>
              </w:rPr>
              <w:t>of  directors</w:t>
            </w:r>
          </w:p>
        </w:tc>
        <w:tc>
          <w:tcPr>
            <w:tcW w:w="1700" w:type="dxa"/>
            <w:vAlign w:val="bottom"/>
          </w:tcPr>
          <w:p>
            <w:pPr>
              <w:jc w:val="right"/>
              <w:spacing w:after="0"/>
              <w:rPr>
                <w:sz w:val="20"/>
                <w:szCs w:val="20"/>
                <w:color w:val="auto"/>
              </w:rPr>
            </w:pPr>
            <w:r>
              <w:rPr>
                <w:rFonts w:ascii="Arial" w:cs="Arial" w:eastAsia="Arial" w:hAnsi="Arial"/>
                <w:sz w:val="17"/>
                <w:szCs w:val="17"/>
                <w:color w:val="auto"/>
              </w:rPr>
              <w:t>shall  establish  the</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Reglement</w:t>
            </w:r>
          </w:p>
        </w:tc>
        <w:tc>
          <w:tcPr>
            <w:tcW w:w="800" w:type="dxa"/>
            <w:vAlign w:val="bottom"/>
            <w:gridSpan w:val="2"/>
          </w:tcPr>
          <w:p>
            <w:pPr>
              <w:ind w:left="240"/>
              <w:spacing w:after="0"/>
              <w:rPr>
                <w:sz w:val="20"/>
                <w:szCs w:val="20"/>
                <w:color w:val="auto"/>
              </w:rPr>
            </w:pPr>
            <w:r>
              <w:rPr>
                <w:rFonts w:ascii="Arial" w:cs="Arial" w:eastAsia="Arial" w:hAnsi="Arial"/>
                <w:sz w:val="17"/>
                <w:szCs w:val="17"/>
                <w:color w:val="auto"/>
              </w:rPr>
              <w:t>über</w:t>
            </w:r>
          </w:p>
        </w:tc>
        <w:tc>
          <w:tcPr>
            <w:tcW w:w="420" w:type="dxa"/>
            <w:vAlign w:val="bottom"/>
          </w:tcPr>
          <w:p>
            <w:pPr>
              <w:ind w:left="60"/>
              <w:spacing w:after="0"/>
              <w:rPr>
                <w:sz w:val="20"/>
                <w:szCs w:val="20"/>
                <w:color w:val="auto"/>
              </w:rPr>
            </w:pPr>
            <w:r>
              <w:rPr>
                <w:rFonts w:ascii="Arial" w:cs="Arial" w:eastAsia="Arial" w:hAnsi="Arial"/>
                <w:sz w:val="17"/>
                <w:szCs w:val="17"/>
                <w:color w:val="auto"/>
              </w:rPr>
              <w:t>die</w:t>
            </w: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Organisation</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und</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particulars of the organization and adoption of</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Beschlussfassung des Vergütungsausschusses.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resolutions of the compensation committee in</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7"/>
                <w:szCs w:val="17"/>
                <w:color w:val="auto"/>
              </w:rPr>
              <w:t>regulations.</w:t>
            </w:r>
          </w:p>
        </w:tc>
        <w:tc>
          <w:tcPr>
            <w:tcW w:w="10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730"/>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b w:val="1"/>
                <w:bCs w:val="1"/>
                <w:color w:val="auto"/>
              </w:rPr>
              <w:t>Artikel 23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7"/>
                <w:szCs w:val="17"/>
                <w:b w:val="1"/>
                <w:bCs w:val="1"/>
                <w:color w:val="auto"/>
              </w:rPr>
              <w:t>Article 23</w:t>
            </w: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3"/>
                <w:szCs w:val="13"/>
                <w:color w:val="auto"/>
              </w:rPr>
              <w:t>Befugnisse des</w:t>
            </w:r>
          </w:p>
        </w:tc>
        <w:tc>
          <w:tcPr>
            <w:tcW w:w="180" w:type="dxa"/>
            <w:vAlign w:val="bottom"/>
          </w:tcPr>
          <w:p>
            <w:pPr>
              <w:ind w:left="40"/>
              <w:spacing w:after="0"/>
              <w:rPr>
                <w:sz w:val="20"/>
                <w:szCs w:val="20"/>
                <w:color w:val="auto"/>
              </w:rPr>
            </w:pPr>
            <w:r>
              <w:rPr>
                <w:rFonts w:ascii="Arial" w:cs="Arial" w:eastAsia="Arial" w:hAnsi="Arial"/>
                <w:sz w:val="13"/>
                <w:szCs w:val="13"/>
                <w:color w:val="auto"/>
              </w:rPr>
              <w:t>1</w:t>
            </w:r>
          </w:p>
        </w:tc>
        <w:tc>
          <w:tcPr>
            <w:tcW w:w="380" w:type="dxa"/>
            <w:vAlign w:val="bottom"/>
          </w:tcPr>
          <w:p>
            <w:pPr>
              <w:ind w:left="60"/>
              <w:spacing w:after="0"/>
              <w:rPr>
                <w:sz w:val="20"/>
                <w:szCs w:val="20"/>
                <w:color w:val="auto"/>
              </w:rPr>
            </w:pPr>
            <w:r>
              <w:rPr>
                <w:rFonts w:ascii="Arial" w:cs="Arial" w:eastAsia="Arial" w:hAnsi="Arial"/>
                <w:sz w:val="17"/>
                <w:szCs w:val="17"/>
                <w:color w:val="auto"/>
              </w:rPr>
              <w:t>Der</w:t>
            </w:r>
          </w:p>
        </w:tc>
        <w:tc>
          <w:tcPr>
            <w:tcW w:w="2140" w:type="dxa"/>
            <w:vAlign w:val="bottom"/>
            <w:gridSpan w:val="5"/>
          </w:tcPr>
          <w:p>
            <w:pPr>
              <w:jc w:val="center"/>
              <w:spacing w:after="0"/>
              <w:rPr>
                <w:sz w:val="20"/>
                <w:szCs w:val="20"/>
                <w:color w:val="auto"/>
              </w:rPr>
            </w:pPr>
            <w:r>
              <w:rPr>
                <w:rFonts w:ascii="Arial" w:cs="Arial" w:eastAsia="Arial" w:hAnsi="Arial"/>
                <w:sz w:val="17"/>
                <w:szCs w:val="17"/>
                <w:color w:val="auto"/>
                <w:w w:val="99"/>
              </w:rPr>
              <w:t>Vergütungsausschuss</w:t>
            </w:r>
          </w:p>
        </w:tc>
        <w:tc>
          <w:tcPr>
            <w:tcW w:w="900" w:type="dxa"/>
            <w:vAlign w:val="bottom"/>
          </w:tcPr>
          <w:p>
            <w:pPr>
              <w:spacing w:after="0"/>
              <w:rPr>
                <w:sz w:val="20"/>
                <w:szCs w:val="20"/>
                <w:color w:val="auto"/>
              </w:rPr>
            </w:pPr>
            <w:r>
              <w:rPr>
                <w:rFonts w:ascii="Arial" w:cs="Arial" w:eastAsia="Arial" w:hAnsi="Arial"/>
                <w:sz w:val="17"/>
                <w:szCs w:val="17"/>
                <w:color w:val="auto"/>
              </w:rPr>
              <w:t>unterstützt</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den</w:t>
            </w:r>
          </w:p>
        </w:tc>
        <w:tc>
          <w:tcPr>
            <w:tcW w:w="980" w:type="dxa"/>
            <w:vAlign w:val="bottom"/>
          </w:tcPr>
          <w:p>
            <w:pPr>
              <w:ind w:left="80"/>
              <w:spacing w:after="0"/>
              <w:rPr>
                <w:sz w:val="20"/>
                <w:szCs w:val="20"/>
                <w:color w:val="auto"/>
              </w:rPr>
            </w:pPr>
            <w:r>
              <w:rPr>
                <w:rFonts w:ascii="Arial" w:cs="Arial" w:eastAsia="Arial" w:hAnsi="Arial"/>
                <w:sz w:val="13"/>
                <w:szCs w:val="13"/>
                <w:color w:val="auto"/>
              </w:rPr>
              <w:t>Powers of the</w:t>
            </w:r>
          </w:p>
        </w:tc>
        <w:tc>
          <w:tcPr>
            <w:tcW w:w="200" w:type="dxa"/>
            <w:vAlign w:val="bottom"/>
          </w:tcPr>
          <w:p>
            <w:pPr>
              <w:ind w:left="40"/>
              <w:spacing w:after="0"/>
              <w:rPr>
                <w:sz w:val="20"/>
                <w:szCs w:val="20"/>
                <w:color w:val="auto"/>
              </w:rPr>
            </w:pPr>
            <w:r>
              <w:rPr>
                <w:rFonts w:ascii="Arial" w:cs="Arial" w:eastAsia="Arial" w:hAnsi="Arial"/>
                <w:sz w:val="13"/>
                <w:szCs w:val="13"/>
                <w:color w:val="auto"/>
              </w:rPr>
              <w:t>1</w:t>
            </w: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The compensation committee shall support the</w:t>
            </w:r>
          </w:p>
        </w:tc>
      </w:tr>
      <w:tr>
        <w:trPr>
          <w:trHeight w:val="228"/>
        </w:trPr>
        <w:tc>
          <w:tcPr>
            <w:tcW w:w="1480" w:type="dxa"/>
            <w:vAlign w:val="bottom"/>
          </w:tcPr>
          <w:p>
            <w:pPr>
              <w:spacing w:after="0"/>
              <w:rPr>
                <w:sz w:val="20"/>
                <w:szCs w:val="20"/>
                <w:color w:val="auto"/>
              </w:rPr>
            </w:pPr>
            <w:r>
              <w:rPr>
                <w:rFonts w:ascii="Arial" w:cs="Arial" w:eastAsia="Arial" w:hAnsi="Arial"/>
                <w:sz w:val="13"/>
                <w:szCs w:val="13"/>
                <w:color w:val="auto"/>
              </w:rPr>
              <w:t>Vergütungsausschusses</w:t>
            </w:r>
          </w:p>
        </w:tc>
        <w:tc>
          <w:tcPr>
            <w:tcW w:w="180" w:type="dxa"/>
            <w:vAlign w:val="bottom"/>
          </w:tcPr>
          <w:p>
            <w:pPr>
              <w:spacing w:after="0"/>
              <w:rPr>
                <w:sz w:val="19"/>
                <w:szCs w:val="19"/>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Verwaltungsrat   bei   der   Festsetzung   und</w:t>
            </w:r>
          </w:p>
        </w:tc>
        <w:tc>
          <w:tcPr>
            <w:tcW w:w="98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board of directors in establishing and reviewing</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Überprüfung  der  Vergütungsstrategie  und  -</w:t>
            </w:r>
          </w:p>
        </w:tc>
        <w:tc>
          <w:tcPr>
            <w:tcW w:w="980" w:type="dxa"/>
            <w:vAlign w:val="bottom"/>
          </w:tcPr>
          <w:p>
            <w:pPr>
              <w:ind w:left="80"/>
              <w:spacing w:after="0"/>
              <w:rPr>
                <w:sz w:val="20"/>
                <w:szCs w:val="20"/>
                <w:color w:val="auto"/>
              </w:rPr>
            </w:pPr>
            <w:r>
              <w:rPr>
                <w:rFonts w:ascii="Arial" w:cs="Arial" w:eastAsia="Arial" w:hAnsi="Arial"/>
                <w:sz w:val="13"/>
                <w:szCs w:val="13"/>
                <w:color w:val="auto"/>
              </w:rPr>
              <w:t>Committee</w:t>
            </w:r>
          </w:p>
        </w:tc>
        <w:tc>
          <w:tcPr>
            <w:tcW w:w="200" w:type="dxa"/>
            <w:vAlign w:val="bottom"/>
          </w:tcPr>
          <w:p>
            <w:pPr>
              <w:spacing w:after="0"/>
              <w:rPr>
                <w:sz w:val="20"/>
                <w:szCs w:val="20"/>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w w:val="99"/>
              </w:rPr>
              <w:t>the compensation strategy and guidelines as well</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richtlinien sowie bei der Vorbereitung der Anträge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as in preparing the proposals to the general</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zuhanden der Generalversammlung betreffend die</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meeting   of   shareholders   regarding   the</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Vergütung   des   Verwaltungsrats   und   der</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w w:val="99"/>
              </w:rPr>
              <w:t>compensation of the board of directors and of the</w:t>
            </w:r>
          </w:p>
        </w:tc>
      </w:tr>
      <w:tr>
        <w:trPr>
          <w:trHeight w:val="241"/>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8"/>
          </w:tcPr>
          <w:p>
            <w:pPr>
              <w:ind w:left="60"/>
              <w:spacing w:after="0"/>
              <w:rPr>
                <w:sz w:val="20"/>
                <w:szCs w:val="20"/>
                <w:color w:val="auto"/>
              </w:rPr>
            </w:pPr>
            <w:r>
              <w:rPr>
                <w:rFonts w:ascii="Arial" w:cs="Arial" w:eastAsia="Arial" w:hAnsi="Arial"/>
                <w:sz w:val="17"/>
                <w:szCs w:val="17"/>
                <w:color w:val="auto"/>
              </w:rPr>
              <w:t>Geschäftsleitung und kann dem Verwaltungsrat</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3"/>
          </w:tcPr>
          <w:p>
            <w:pPr>
              <w:ind w:left="100"/>
              <w:spacing w:after="0"/>
              <w:rPr>
                <w:sz w:val="20"/>
                <w:szCs w:val="20"/>
                <w:color w:val="auto"/>
              </w:rPr>
            </w:pPr>
            <w:r>
              <w:rPr>
                <w:rFonts w:ascii="Arial" w:cs="Arial" w:eastAsia="Arial" w:hAnsi="Arial"/>
                <w:sz w:val="17"/>
                <w:szCs w:val="17"/>
                <w:color w:val="auto"/>
              </w:rPr>
              <w:t>executive   management,   and   may   submit</w:t>
            </w:r>
          </w:p>
        </w:tc>
      </w:tr>
      <w:tr>
        <w:trPr>
          <w:trHeight w:val="228"/>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Anträge</w:t>
            </w:r>
          </w:p>
        </w:tc>
        <w:tc>
          <w:tcPr>
            <w:tcW w:w="300" w:type="dxa"/>
            <w:vAlign w:val="bottom"/>
          </w:tcPr>
          <w:p>
            <w:pPr>
              <w:ind w:left="60"/>
              <w:spacing w:after="0"/>
              <w:rPr>
                <w:sz w:val="20"/>
                <w:szCs w:val="20"/>
                <w:color w:val="auto"/>
              </w:rPr>
            </w:pPr>
            <w:r>
              <w:rPr>
                <w:rFonts w:ascii="Arial" w:cs="Arial" w:eastAsia="Arial" w:hAnsi="Arial"/>
                <w:sz w:val="17"/>
                <w:szCs w:val="17"/>
                <w:color w:val="auto"/>
              </w:rPr>
              <w:t>zu</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w w:val="93"/>
              </w:rPr>
              <w:t>weiteren</w:t>
            </w:r>
          </w:p>
        </w:tc>
        <w:tc>
          <w:tcPr>
            <w:tcW w:w="360" w:type="dxa"/>
            <w:vAlign w:val="bottom"/>
          </w:tcPr>
          <w:p>
            <w:pPr>
              <w:spacing w:after="0"/>
              <w:rPr>
                <w:sz w:val="19"/>
                <w:szCs w:val="19"/>
                <w:color w:val="auto"/>
              </w:rPr>
            </w:pPr>
          </w:p>
        </w:tc>
        <w:tc>
          <w:tcPr>
            <w:tcW w:w="1420" w:type="dxa"/>
            <w:vAlign w:val="bottom"/>
            <w:gridSpan w:val="2"/>
          </w:tcPr>
          <w:p>
            <w:pPr>
              <w:jc w:val="right"/>
              <w:ind w:right="16"/>
              <w:spacing w:after="0"/>
              <w:rPr>
                <w:sz w:val="20"/>
                <w:szCs w:val="20"/>
                <w:color w:val="auto"/>
              </w:rPr>
            </w:pPr>
            <w:r>
              <w:rPr>
                <w:rFonts w:ascii="Arial" w:cs="Arial" w:eastAsia="Arial" w:hAnsi="Arial"/>
                <w:sz w:val="17"/>
                <w:szCs w:val="17"/>
                <w:color w:val="auto"/>
                <w:w w:val="96"/>
              </w:rPr>
              <w:t>Vergütungsfragen</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7"/>
                <w:szCs w:val="17"/>
                <w:color w:val="auto"/>
              </w:rPr>
              <w:t>proposals  to</w:t>
            </w:r>
          </w:p>
        </w:tc>
        <w:tc>
          <w:tcPr>
            <w:tcW w:w="1000" w:type="dxa"/>
            <w:vAlign w:val="bottom"/>
          </w:tcPr>
          <w:p>
            <w:pPr>
              <w:jc w:val="center"/>
              <w:spacing w:after="0"/>
              <w:rPr>
                <w:sz w:val="20"/>
                <w:szCs w:val="20"/>
                <w:color w:val="auto"/>
              </w:rPr>
            </w:pPr>
            <w:r>
              <w:rPr>
                <w:rFonts w:ascii="Arial" w:cs="Arial" w:eastAsia="Arial" w:hAnsi="Arial"/>
                <w:sz w:val="17"/>
                <w:szCs w:val="17"/>
                <w:color w:val="auto"/>
              </w:rPr>
              <w:t>the  board</w:t>
            </w:r>
          </w:p>
        </w:tc>
        <w:tc>
          <w:tcPr>
            <w:tcW w:w="1700" w:type="dxa"/>
            <w:vAlign w:val="bottom"/>
          </w:tcPr>
          <w:p>
            <w:pPr>
              <w:jc w:val="right"/>
              <w:spacing w:after="0"/>
              <w:rPr>
                <w:sz w:val="20"/>
                <w:szCs w:val="20"/>
                <w:color w:val="auto"/>
              </w:rPr>
            </w:pPr>
            <w:r>
              <w:rPr>
                <w:rFonts w:ascii="Arial" w:cs="Arial" w:eastAsia="Arial" w:hAnsi="Arial"/>
                <w:sz w:val="17"/>
                <w:szCs w:val="17"/>
                <w:color w:val="auto"/>
              </w:rPr>
              <w:t>of  directors  in  other</w:t>
            </w:r>
          </w:p>
        </w:tc>
      </w:tr>
    </w:tbl>
    <w:p>
      <w:pPr>
        <w:spacing w:after="0" w:line="18" w:lineRule="exact"/>
        <w:rPr>
          <w:rFonts w:ascii="Arial" w:cs="Arial" w:eastAsia="Arial" w:hAnsi="Arial"/>
          <w:sz w:val="16"/>
          <w:szCs w:val="16"/>
          <w:b w:val="1"/>
          <w:bCs w:val="1"/>
          <w:i w:val="1"/>
          <w:iCs w:val="1"/>
          <w:color w:val="auto"/>
        </w:rPr>
      </w:pPr>
    </w:p>
    <w:p>
      <w:pPr>
        <w:ind w:left="1720"/>
        <w:spacing w:after="0"/>
        <w:rPr>
          <w:sz w:val="20"/>
          <w:szCs w:val="20"/>
          <w:color w:val="auto"/>
        </w:rPr>
      </w:pPr>
      <w:r>
        <w:rPr>
          <w:rFonts w:ascii="Arial" w:cs="Arial" w:eastAsia="Arial" w:hAnsi="Arial"/>
          <w:sz w:val="17"/>
          <w:szCs w:val="17"/>
          <w:color w:val="auto"/>
        </w:rPr>
        <w:t>unterbreiten.</w:t>
      </w:r>
    </w:p>
    <w:p>
      <w:pPr>
        <w:spacing w:after="0" w:line="197" w:lineRule="exact"/>
        <w:rPr>
          <w:rFonts w:ascii="Arial" w:cs="Arial" w:eastAsia="Arial" w:hAnsi="Arial"/>
          <w:sz w:val="16"/>
          <w:szCs w:val="16"/>
          <w:b w:val="1"/>
          <w:bCs w:val="1"/>
          <w:i w:val="1"/>
          <w:iCs w:val="1"/>
          <w:color w:val="auto"/>
        </w:rPr>
      </w:pPr>
    </w:p>
    <w:p>
      <w:pPr>
        <w:jc w:val="both"/>
        <w:ind w:left="1720" w:right="5060" w:hanging="199"/>
        <w:spacing w:after="0" w:line="290" w:lineRule="auto"/>
        <w:tabs>
          <w:tab w:leader="none" w:pos="17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Der Verwaltungsrat legt in einem Reglement fest, für welche Funktionen des Verwaltungsrats und der Geschäftsleitung der Vergütungsausschuss dem Verwaltungsrat Vorschläge für die Leistungswerte, Zielwerte und die Vergütung unterbreitet und für welche Funktionen er selbst im Rahmen der Statuten und der vom Verwaltungsrat erlassenen Vergütungsrichtlinien die Leistungswerte, Zielwerte und die Vergütung festsetzt.</w:t>
      </w:r>
    </w:p>
    <w:p>
      <w:pPr>
        <w:spacing w:after="0" w:line="133" w:lineRule="exact"/>
        <w:rPr>
          <w:rFonts w:ascii="Arial" w:cs="Arial" w:eastAsia="Arial" w:hAnsi="Arial"/>
          <w:sz w:val="16"/>
          <w:szCs w:val="16"/>
          <w:b w:val="1"/>
          <w:bCs w:val="1"/>
          <w:i w:val="1"/>
          <w:iCs w:val="1"/>
          <w:color w:val="auto"/>
        </w:rPr>
      </w:pPr>
    </w:p>
    <w:p>
      <w:pPr>
        <w:ind w:left="1520"/>
        <w:spacing w:after="0"/>
        <w:tabs>
          <w:tab w:leader="none" w:pos="1700" w:val="left"/>
          <w:tab w:leader="none" w:pos="2540" w:val="left"/>
          <w:tab w:leader="none" w:pos="4220" w:val="left"/>
          <w:tab w:leader="none" w:pos="516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Der</w:t>
      </w:r>
      <w:r>
        <w:rPr>
          <w:sz w:val="20"/>
          <w:szCs w:val="20"/>
          <w:color w:val="auto"/>
        </w:rPr>
        <w:tab/>
      </w:r>
      <w:r>
        <w:rPr>
          <w:rFonts w:ascii="Arial" w:cs="Arial" w:eastAsia="Arial" w:hAnsi="Arial"/>
          <w:sz w:val="17"/>
          <w:szCs w:val="17"/>
          <w:color w:val="auto"/>
        </w:rPr>
        <w:t>Verwaltungsrat</w:t>
      </w:r>
      <w:r>
        <w:rPr>
          <w:sz w:val="20"/>
          <w:szCs w:val="20"/>
          <w:color w:val="auto"/>
        </w:rPr>
        <w:tab/>
      </w:r>
      <w:r>
        <w:rPr>
          <w:rFonts w:ascii="Arial" w:cs="Arial" w:eastAsia="Arial" w:hAnsi="Arial"/>
          <w:sz w:val="17"/>
          <w:szCs w:val="17"/>
          <w:color w:val="auto"/>
        </w:rPr>
        <w:t>kann</w:t>
      </w:r>
      <w:r>
        <w:rPr>
          <w:sz w:val="20"/>
          <w:szCs w:val="20"/>
          <w:color w:val="auto"/>
        </w:rPr>
        <w:tab/>
      </w:r>
      <w:r>
        <w:rPr>
          <w:rFonts w:ascii="Arial" w:cs="Arial" w:eastAsia="Arial" w:hAnsi="Arial"/>
          <w:sz w:val="16"/>
          <w:szCs w:val="16"/>
          <w:color w:val="auto"/>
        </w:rPr>
        <w:t>dem</w:t>
      </w:r>
    </w:p>
    <w:p>
      <w:pPr>
        <w:spacing w:after="0" w:line="32" w:lineRule="exact"/>
        <w:rPr>
          <w:rFonts w:ascii="Arial" w:cs="Arial" w:eastAsia="Arial" w:hAnsi="Arial"/>
          <w:sz w:val="16"/>
          <w:szCs w:val="16"/>
          <w:b w:val="1"/>
          <w:bCs w:val="1"/>
          <w:i w:val="1"/>
          <w:iCs w:val="1"/>
          <w:color w:val="auto"/>
        </w:rPr>
      </w:pPr>
    </w:p>
    <w:p>
      <w:pPr>
        <w:jc w:val="both"/>
        <w:ind w:left="1720" w:right="5060"/>
        <w:spacing w:after="0" w:line="304" w:lineRule="auto"/>
        <w:rPr>
          <w:sz w:val="20"/>
          <w:szCs w:val="20"/>
          <w:color w:val="auto"/>
        </w:rPr>
      </w:pPr>
      <w:r>
        <w:rPr>
          <w:rFonts w:ascii="Arial" w:cs="Arial" w:eastAsia="Arial" w:hAnsi="Arial"/>
          <w:sz w:val="17"/>
          <w:szCs w:val="17"/>
          <w:color w:val="auto"/>
        </w:rPr>
        <w:t>Vergütungsausschuss weitere Aufgaben zuweisen, die in einem Reglement festgehalten werden.</w:t>
      </w:r>
    </w:p>
    <w:p>
      <w:pPr>
        <w:spacing w:after="0" w:line="200" w:lineRule="exact"/>
        <w:rPr>
          <w:rFonts w:ascii="Arial" w:cs="Arial" w:eastAsia="Arial" w:hAnsi="Arial"/>
          <w:sz w:val="16"/>
          <w:szCs w:val="16"/>
          <w:b w:val="1"/>
          <w:bCs w:val="1"/>
          <w:i w:val="1"/>
          <w:iCs w:val="1"/>
          <w:color w:val="auto"/>
        </w:rPr>
      </w:pPr>
    </w:p>
    <w:p>
      <w:pPr>
        <w:spacing w:after="0" w:line="250" w:lineRule="exact"/>
        <w:rPr>
          <w:rFonts w:ascii="Arial" w:cs="Arial" w:eastAsia="Arial" w:hAnsi="Arial"/>
          <w:sz w:val="16"/>
          <w:szCs w:val="16"/>
          <w:b w:val="1"/>
          <w:bCs w:val="1"/>
          <w:i w:val="1"/>
          <w:iCs w:val="1"/>
          <w:color w:val="auto"/>
        </w:rPr>
      </w:pPr>
    </w:p>
    <w:p>
      <w:pPr>
        <w:ind w:left="1720"/>
        <w:spacing w:after="0"/>
        <w:rPr>
          <w:sz w:val="20"/>
          <w:szCs w:val="20"/>
          <w:color w:val="auto"/>
        </w:rPr>
      </w:pPr>
      <w:r>
        <w:rPr>
          <w:rFonts w:ascii="Arial" w:cs="Arial" w:eastAsia="Arial" w:hAnsi="Arial"/>
          <w:sz w:val="17"/>
          <w:szCs w:val="17"/>
          <w:i w:val="1"/>
          <w:iCs w:val="1"/>
          <w:color w:val="auto"/>
        </w:rPr>
        <w:t>D. Die Revisionsstelle</w:t>
      </w:r>
    </w:p>
    <w:p>
      <w:pPr>
        <w:spacing w:after="0" w:line="200" w:lineRule="exact"/>
        <w:rPr>
          <w:rFonts w:ascii="Arial" w:cs="Arial" w:eastAsia="Arial" w:hAnsi="Arial"/>
          <w:sz w:val="16"/>
          <w:szCs w:val="16"/>
          <w:b w:val="1"/>
          <w:bCs w:val="1"/>
          <w:i w:val="1"/>
          <w:iCs w:val="1"/>
          <w:color w:val="auto"/>
        </w:rPr>
      </w:pPr>
    </w:p>
    <w:p>
      <w:pPr>
        <w:spacing w:after="0" w:line="324" w:lineRule="exact"/>
        <w:rPr>
          <w:rFonts w:ascii="Arial" w:cs="Arial" w:eastAsia="Arial" w:hAnsi="Arial"/>
          <w:sz w:val="16"/>
          <w:szCs w:val="16"/>
          <w:b w:val="1"/>
          <w:bCs w:val="1"/>
          <w:i w:val="1"/>
          <w:iCs w:val="1"/>
          <w:color w:val="auto"/>
        </w:rPr>
      </w:pPr>
    </w:p>
    <w:p>
      <w:pPr>
        <w:ind w:left="1720"/>
        <w:spacing w:after="0"/>
        <w:rPr>
          <w:sz w:val="20"/>
          <w:szCs w:val="20"/>
          <w:color w:val="auto"/>
        </w:rPr>
      </w:pPr>
      <w:r>
        <w:rPr>
          <w:rFonts w:ascii="Arial" w:cs="Arial" w:eastAsia="Arial" w:hAnsi="Arial"/>
          <w:sz w:val="17"/>
          <w:szCs w:val="17"/>
          <w:b w:val="1"/>
          <w:bCs w:val="1"/>
          <w:color w:val="auto"/>
        </w:rPr>
        <w:t>Artikel 24</w:t>
      </w:r>
    </w:p>
    <w:p>
      <w:pPr>
        <w:sectPr>
          <w:pgSz w:w="11900" w:h="16838" w:orient="portrait"/>
          <w:cols w:equalWidth="0" w:num="1">
            <w:col w:w="10580"/>
          </w:cols>
          <w:pgMar w:left="360" w:top="132" w:right="959" w:bottom="1440" w:gutter="0" w:footer="0" w:header="0"/>
        </w:sectPr>
      </w:pPr>
    </w:p>
    <w:bookmarkStart w:id="246" w:name="page247"/>
    <w:bookmarkEnd w:id="246"/>
    <w:p>
      <w:pPr>
        <w:ind w:left="5420"/>
        <w:spacing w:after="0"/>
        <w:rPr>
          <w:sz w:val="20"/>
          <w:szCs w:val="20"/>
          <w:color w:val="auto"/>
        </w:rPr>
      </w:pPr>
      <w:r>
        <w:rPr>
          <w:rFonts w:ascii="Arial" w:cs="Arial" w:eastAsia="Arial" w:hAnsi="Arial"/>
          <w:sz w:val="13"/>
          <w:szCs w:val="13"/>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20"/>
                <w:szCs w:val="20"/>
                <w:color w:val="auto"/>
              </w:rPr>
            </w:pPr>
            <w:r>
              <w:rPr>
                <w:rFonts w:ascii="Arial" w:cs="Arial" w:eastAsia="Arial" w:hAnsi="Arial"/>
                <w:sz w:val="13"/>
                <w:szCs w:val="13"/>
                <w:color w:val="auto"/>
              </w:rPr>
              <w:t>Wahl, Amtsdauer</w:t>
            </w:r>
          </w:p>
        </w:tc>
        <w:tc>
          <w:tcPr>
            <w:tcW w:w="940" w:type="dxa"/>
            <w:vAlign w:val="bottom"/>
          </w:tcPr>
          <w:p>
            <w:pPr>
              <w:ind w:left="2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w:t>
            </w:r>
          </w:p>
        </w:tc>
        <w:tc>
          <w:tcPr>
            <w:tcW w:w="2060" w:type="dxa"/>
            <w:vAlign w:val="bottom"/>
          </w:tcPr>
          <w:p>
            <w:pPr>
              <w:ind w:left="220"/>
              <w:spacing w:after="0"/>
              <w:rPr>
                <w:sz w:val="20"/>
                <w:szCs w:val="20"/>
                <w:color w:val="auto"/>
              </w:rPr>
            </w:pPr>
            <w:r>
              <w:rPr>
                <w:rFonts w:ascii="Arial" w:cs="Arial" w:eastAsia="Arial" w:hAnsi="Arial"/>
                <w:sz w:val="17"/>
                <w:szCs w:val="17"/>
                <w:color w:val="auto"/>
              </w:rPr>
              <w:t>Generalversammlung</w:t>
            </w:r>
          </w:p>
        </w:tc>
        <w:tc>
          <w:tcPr>
            <w:tcW w:w="840" w:type="dxa"/>
            <w:vAlign w:val="bottom"/>
          </w:tcPr>
          <w:p>
            <w:pPr>
              <w:ind w:left="220"/>
              <w:spacing w:after="0"/>
              <w:rPr>
                <w:sz w:val="20"/>
                <w:szCs w:val="20"/>
                <w:color w:val="auto"/>
              </w:rPr>
            </w:pPr>
            <w:r>
              <w:rPr>
                <w:rFonts w:ascii="Arial" w:cs="Arial" w:eastAsia="Arial" w:hAnsi="Arial"/>
                <w:sz w:val="17"/>
                <w:szCs w:val="17"/>
                <w:color w:val="auto"/>
              </w:rPr>
              <w:t>wählt</w:t>
            </w:r>
          </w:p>
        </w:tc>
        <w:tc>
          <w:tcPr>
            <w:tcW w:w="1300" w:type="dxa"/>
            <w:vAlign w:val="bottom"/>
          </w:tcPr>
          <w:p>
            <w:pPr>
              <w:ind w:left="220"/>
              <w:spacing w:after="0"/>
              <w:rPr>
                <w:sz w:val="20"/>
                <w:szCs w:val="20"/>
                <w:color w:val="auto"/>
              </w:rPr>
            </w:pPr>
            <w:r>
              <w:rPr>
                <w:rFonts w:ascii="Arial" w:cs="Arial" w:eastAsia="Arial" w:hAnsi="Arial"/>
                <w:sz w:val="17"/>
                <w:szCs w:val="17"/>
                <w:color w:val="auto"/>
              </w:rPr>
              <w:t xml:space="preserve">die  </w:t>
            </w:r>
            <w:r>
              <w:rPr>
                <w:rFonts w:ascii="Arial" w:cs="Arial" w:eastAsia="Arial" w:hAnsi="Arial"/>
                <w:sz w:val="13"/>
                <w:szCs w:val="13"/>
                <w:color w:val="auto"/>
              </w:rPr>
              <w:t>Election,</w:t>
            </w:r>
          </w:p>
        </w:tc>
        <w:tc>
          <w:tcPr>
            <w:tcW w:w="4180" w:type="dxa"/>
            <w:vAlign w:val="bottom"/>
          </w:tcPr>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auditors  shall  be  elected  by  the  general</w:t>
            </w:r>
          </w:p>
        </w:tc>
      </w:tr>
      <w:tr>
        <w:trPr>
          <w:trHeight w:val="261"/>
        </w:trPr>
        <w:tc>
          <w:tcPr>
            <w:tcW w:w="1260" w:type="dxa"/>
            <w:vAlign w:val="bottom"/>
          </w:tcPr>
          <w:p>
            <w:pPr>
              <w:spacing w:after="0"/>
              <w:rPr>
                <w:sz w:val="22"/>
                <w:szCs w:val="22"/>
                <w:color w:val="auto"/>
              </w:rPr>
            </w:pPr>
          </w:p>
        </w:tc>
        <w:tc>
          <w:tcPr>
            <w:tcW w:w="3000" w:type="dxa"/>
            <w:vAlign w:val="bottom"/>
            <w:gridSpan w:val="2"/>
          </w:tcPr>
          <w:p>
            <w:pPr>
              <w:ind w:left="460"/>
              <w:spacing w:after="0"/>
              <w:rPr>
                <w:sz w:val="20"/>
                <w:szCs w:val="20"/>
                <w:color w:val="auto"/>
              </w:rPr>
            </w:pPr>
            <w:r>
              <w:rPr>
                <w:rFonts w:ascii="Arial" w:cs="Arial" w:eastAsia="Arial" w:hAnsi="Arial"/>
                <w:sz w:val="17"/>
                <w:szCs w:val="17"/>
                <w:color w:val="auto"/>
              </w:rPr>
              <w:t>Revisionsstelle.</w:t>
            </w:r>
          </w:p>
        </w:tc>
        <w:tc>
          <w:tcPr>
            <w:tcW w:w="840" w:type="dxa"/>
            <w:vAlign w:val="bottom"/>
          </w:tcPr>
          <w:p>
            <w:pPr>
              <w:spacing w:after="0"/>
              <w:rPr>
                <w:sz w:val="22"/>
                <w:szCs w:val="22"/>
                <w:color w:val="auto"/>
              </w:rPr>
            </w:pPr>
          </w:p>
        </w:tc>
        <w:tc>
          <w:tcPr>
            <w:tcW w:w="1300" w:type="dxa"/>
            <w:vAlign w:val="bottom"/>
          </w:tcPr>
          <w:p>
            <w:pPr>
              <w:ind w:left="620"/>
              <w:spacing w:after="0"/>
              <w:rPr>
                <w:sz w:val="20"/>
                <w:szCs w:val="20"/>
                <w:color w:val="auto"/>
              </w:rPr>
            </w:pPr>
            <w:r>
              <w:rPr>
                <w:rFonts w:ascii="Arial" w:cs="Arial" w:eastAsia="Arial" w:hAnsi="Arial"/>
                <w:sz w:val="13"/>
                <w:szCs w:val="13"/>
                <w:color w:val="auto"/>
              </w:rPr>
              <w:t>Term of</w:t>
            </w:r>
          </w:p>
        </w:tc>
        <w:tc>
          <w:tcPr>
            <w:tcW w:w="4180" w:type="dxa"/>
            <w:vAlign w:val="bottom"/>
          </w:tcPr>
          <w:p>
            <w:pPr>
              <w:ind w:left="400"/>
              <w:spacing w:after="0"/>
              <w:rPr>
                <w:sz w:val="20"/>
                <w:szCs w:val="20"/>
                <w:color w:val="auto"/>
              </w:rPr>
            </w:pPr>
            <w:r>
              <w:rPr>
                <w:rFonts w:ascii="Arial" w:cs="Arial" w:eastAsia="Arial" w:hAnsi="Arial"/>
                <w:sz w:val="17"/>
                <w:szCs w:val="17"/>
                <w:color w:val="auto"/>
              </w:rPr>
              <w:t>meeting of shareholders.</w:t>
            </w:r>
          </w:p>
        </w:tc>
      </w:tr>
    </w:tbl>
    <w:p>
      <w:pPr>
        <w:spacing w:after="0" w:line="5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Office</w:t>
      </w:r>
    </w:p>
    <w:p>
      <w:pPr>
        <w:sectPr>
          <w:pgSz w:w="11900" w:h="16838" w:orient="portrait"/>
          <w:cols w:equalWidth="0" w:num="1">
            <w:col w:w="10580"/>
          </w:cols>
          <w:pgMar w:left="360" w:top="132" w:right="959" w:bottom="1440" w:gutter="0" w:footer="0" w:header="0"/>
        </w:sectPr>
      </w:pPr>
    </w:p>
    <w:p>
      <w:pPr>
        <w:spacing w:after="0" w:line="196" w:lineRule="exact"/>
        <w:rPr>
          <w:sz w:val="20"/>
          <w:szCs w:val="20"/>
          <w:color w:val="auto"/>
        </w:rPr>
      </w:pPr>
    </w:p>
    <w:p>
      <w:pPr>
        <w:jc w:val="both"/>
        <w:ind w:left="1720" w:right="286" w:hanging="219"/>
        <w:spacing w:after="0" w:line="253" w:lineRule="auto"/>
        <w:tabs>
          <w:tab w:leader="none" w:pos="17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Die Revisionsstelle wird von der Generalversammlung für eine Amtsdauer eines Geschäftsjahres gewählt. Ihre Amtszeit endet mit der Genehmigung der Jahresrechnung für das</w:t>
      </w:r>
    </w:p>
    <w:p>
      <w:pPr>
        <w:spacing w:after="0" w:line="2" w:lineRule="exact"/>
        <w:rPr>
          <w:sz w:val="20"/>
          <w:szCs w:val="20"/>
          <w:color w:val="auto"/>
        </w:rPr>
      </w:pPr>
    </w:p>
    <w:p>
      <w:pPr>
        <w:ind w:left="1720" w:right="306"/>
        <w:spacing w:after="0" w:line="262" w:lineRule="auto"/>
        <w:rPr>
          <w:sz w:val="20"/>
          <w:szCs w:val="20"/>
          <w:color w:val="auto"/>
        </w:rPr>
      </w:pPr>
      <w:r>
        <w:rPr>
          <w:rFonts w:ascii="Arial" w:cs="Arial" w:eastAsia="Arial" w:hAnsi="Arial"/>
          <w:sz w:val="17"/>
          <w:szCs w:val="17"/>
          <w:color w:val="auto"/>
        </w:rPr>
        <w:t>betreffende Geschäftsjahr durch die Generalversammlung. Wiederwahl ist möglich.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Artikel 25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left="234" w:hanging="234"/>
        <w:spacing w:after="0" w:line="287" w:lineRule="auto"/>
        <w:tabs>
          <w:tab w:leader="none" w:pos="234" w:val="left"/>
        </w:tabs>
        <w:numPr>
          <w:ilvl w:val="0"/>
          <w:numId w:val="168"/>
        </w:numPr>
        <w:rPr>
          <w:rFonts w:ascii="Arial" w:cs="Arial" w:eastAsia="Arial" w:hAnsi="Arial"/>
          <w:sz w:val="13"/>
          <w:szCs w:val="13"/>
          <w:color w:val="auto"/>
        </w:rPr>
      </w:pPr>
      <w:r>
        <w:rPr>
          <w:rFonts w:ascii="Arial" w:cs="Arial" w:eastAsia="Arial" w:hAnsi="Arial"/>
          <w:sz w:val="17"/>
          <w:szCs w:val="17"/>
          <w:color w:val="auto"/>
        </w:rPr>
        <w:t>The shareholders shall elect the auditors at a general meeting of shareholders for a term of</w:t>
      </w:r>
    </w:p>
    <w:p>
      <w:pPr>
        <w:spacing w:after="0" w:line="1" w:lineRule="exact"/>
        <w:rPr>
          <w:rFonts w:ascii="Arial" w:cs="Arial" w:eastAsia="Arial" w:hAnsi="Arial"/>
          <w:sz w:val="13"/>
          <w:szCs w:val="13"/>
          <w:color w:val="auto"/>
        </w:rPr>
      </w:pPr>
    </w:p>
    <w:p>
      <w:pPr>
        <w:jc w:val="both"/>
        <w:ind w:left="234"/>
        <w:spacing w:after="0" w:line="287" w:lineRule="auto"/>
        <w:rPr>
          <w:rFonts w:ascii="Arial" w:cs="Arial" w:eastAsia="Arial" w:hAnsi="Arial"/>
          <w:sz w:val="13"/>
          <w:szCs w:val="13"/>
          <w:color w:val="auto"/>
        </w:rPr>
      </w:pPr>
      <w:r>
        <w:rPr>
          <w:rFonts w:ascii="Arial" w:cs="Arial" w:eastAsia="Arial" w:hAnsi="Arial"/>
          <w:sz w:val="17"/>
          <w:szCs w:val="17"/>
          <w:color w:val="auto"/>
        </w:rPr>
        <w:t>office extending one financial year. Their term of office ends with the approval of the annual</w:t>
      </w:r>
    </w:p>
    <w:p>
      <w:pPr>
        <w:spacing w:after="0" w:line="1" w:lineRule="exact"/>
        <w:rPr>
          <w:rFonts w:ascii="Arial" w:cs="Arial" w:eastAsia="Arial" w:hAnsi="Arial"/>
          <w:sz w:val="13"/>
          <w:szCs w:val="13"/>
          <w:color w:val="auto"/>
        </w:rPr>
      </w:pPr>
    </w:p>
    <w:p>
      <w:pPr>
        <w:jc w:val="both"/>
        <w:ind w:left="234"/>
        <w:spacing w:after="0" w:line="304" w:lineRule="auto"/>
        <w:rPr>
          <w:rFonts w:ascii="Arial" w:cs="Arial" w:eastAsia="Arial" w:hAnsi="Arial"/>
          <w:sz w:val="13"/>
          <w:szCs w:val="13"/>
          <w:color w:val="auto"/>
        </w:rPr>
      </w:pPr>
      <w:r>
        <w:rPr>
          <w:rFonts w:ascii="Arial" w:cs="Arial" w:eastAsia="Arial" w:hAnsi="Arial"/>
          <w:sz w:val="17"/>
          <w:szCs w:val="17"/>
          <w:color w:val="auto"/>
        </w:rPr>
        <w:t>financial statements of the respective financial year by the general meeting of shareholders. Re-election is possible.</w:t>
      </w:r>
    </w:p>
    <w:p>
      <w:pPr>
        <w:spacing w:after="0" w:line="200" w:lineRule="exact"/>
        <w:rPr>
          <w:rFonts w:ascii="Arial" w:cs="Arial" w:eastAsia="Arial" w:hAnsi="Arial"/>
          <w:sz w:val="13"/>
          <w:szCs w:val="13"/>
          <w:color w:val="auto"/>
        </w:rPr>
      </w:pPr>
    </w:p>
    <w:p>
      <w:pPr>
        <w:spacing w:after="0" w:line="247" w:lineRule="exact"/>
        <w:rPr>
          <w:rFonts w:ascii="Arial" w:cs="Arial" w:eastAsia="Arial" w:hAnsi="Arial"/>
          <w:sz w:val="13"/>
          <w:szCs w:val="13"/>
          <w:color w:val="auto"/>
        </w:rPr>
      </w:pPr>
    </w:p>
    <w:p>
      <w:pPr>
        <w:ind w:left="234"/>
        <w:spacing w:after="0"/>
        <w:rPr>
          <w:rFonts w:ascii="Arial" w:cs="Arial" w:eastAsia="Arial" w:hAnsi="Arial"/>
          <w:sz w:val="13"/>
          <w:szCs w:val="13"/>
          <w:color w:val="auto"/>
        </w:rPr>
      </w:pPr>
      <w:r>
        <w:rPr>
          <w:rFonts w:ascii="Arial" w:cs="Arial" w:eastAsia="Arial" w:hAnsi="Arial"/>
          <w:sz w:val="17"/>
          <w:szCs w:val="17"/>
          <w:b w:val="1"/>
          <w:bCs w:val="1"/>
          <w:color w:val="auto"/>
        </w:rPr>
        <w:t>Article 25</w:t>
      </w:r>
    </w:p>
    <w:p>
      <w:pPr>
        <w:spacing w:after="0" w:line="197" w:lineRule="exact"/>
        <w:rPr>
          <w:sz w:val="20"/>
          <w:szCs w:val="20"/>
          <w:color w:val="auto"/>
        </w:rPr>
      </w:pPr>
    </w:p>
    <w:p>
      <w:pPr>
        <w:sectPr>
          <w:pgSz w:w="11900" w:h="16838" w:orient="portrait"/>
          <w:cols w:equalWidth="0" w:num="2">
            <w:col w:w="5846" w:space="720"/>
            <w:col w:w="4014"/>
          </w:cols>
          <w:pgMar w:left="360" w:top="132" w:right="9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580" w:type="dxa"/>
            <w:vAlign w:val="bottom"/>
          </w:tcPr>
          <w:p>
            <w:pPr>
              <w:spacing w:after="0"/>
              <w:rPr>
                <w:sz w:val="20"/>
                <w:szCs w:val="20"/>
                <w:color w:val="auto"/>
              </w:rPr>
            </w:pPr>
            <w:r>
              <w:rPr>
                <w:rFonts w:ascii="Arial" w:cs="Arial" w:eastAsia="Arial" w:hAnsi="Arial"/>
                <w:sz w:val="13"/>
                <w:szCs w:val="13"/>
                <w:color w:val="auto"/>
              </w:rPr>
              <w:t>Prüfungs-,</w:t>
            </w:r>
          </w:p>
        </w:tc>
        <w:tc>
          <w:tcPr>
            <w:tcW w:w="4060" w:type="dxa"/>
            <w:vAlign w:val="bottom"/>
            <w:gridSpan w:val="2"/>
          </w:tcPr>
          <w:p>
            <w:pPr>
              <w:ind w:left="140"/>
              <w:spacing w:after="0"/>
              <w:rPr>
                <w:sz w:val="20"/>
                <w:szCs w:val="20"/>
                <w:color w:val="auto"/>
              </w:rPr>
            </w:pPr>
            <w:r>
              <w:rPr>
                <w:rFonts w:ascii="Arial" w:cs="Arial" w:eastAsia="Arial" w:hAnsi="Arial"/>
                <w:sz w:val="17"/>
                <w:szCs w:val="17"/>
                <w:color w:val="auto"/>
              </w:rPr>
              <w:t>Die  Revisionsstelle  nimmt  ihre  Prüfungs-  und</w:t>
            </w:r>
          </w:p>
        </w:tc>
        <w:tc>
          <w:tcPr>
            <w:tcW w:w="1000" w:type="dxa"/>
            <w:vAlign w:val="bottom"/>
          </w:tcPr>
          <w:p>
            <w:pPr>
              <w:ind w:left="80"/>
              <w:spacing w:after="0"/>
              <w:rPr>
                <w:sz w:val="20"/>
                <w:szCs w:val="20"/>
                <w:color w:val="auto"/>
              </w:rPr>
            </w:pPr>
            <w:r>
              <w:rPr>
                <w:rFonts w:ascii="Arial" w:cs="Arial" w:eastAsia="Arial" w:hAnsi="Arial"/>
                <w:sz w:val="13"/>
                <w:szCs w:val="13"/>
                <w:color w:val="auto"/>
              </w:rPr>
              <w:t>Duty of</w:t>
            </w:r>
          </w:p>
        </w:tc>
        <w:tc>
          <w:tcPr>
            <w:tcW w:w="3940" w:type="dxa"/>
            <w:vAlign w:val="bottom"/>
          </w:tcPr>
          <w:p>
            <w:pPr>
              <w:ind w:left="160"/>
              <w:spacing w:after="0"/>
              <w:rPr>
                <w:sz w:val="20"/>
                <w:szCs w:val="20"/>
                <w:color w:val="auto"/>
              </w:rPr>
            </w:pPr>
            <w:r>
              <w:rPr>
                <w:rFonts w:ascii="Arial" w:cs="Arial" w:eastAsia="Arial" w:hAnsi="Arial"/>
                <w:sz w:val="17"/>
                <w:szCs w:val="17"/>
                <w:color w:val="auto"/>
                <w:w w:val="99"/>
              </w:rPr>
              <w:t>The auditors shall perform their duties to audit and</w:t>
            </w:r>
          </w:p>
        </w:tc>
      </w:tr>
      <w:tr>
        <w:trPr>
          <w:trHeight w:val="228"/>
        </w:trPr>
        <w:tc>
          <w:tcPr>
            <w:tcW w:w="1580" w:type="dxa"/>
            <w:vAlign w:val="bottom"/>
          </w:tcPr>
          <w:p>
            <w:pPr>
              <w:spacing w:after="0"/>
              <w:rPr>
                <w:sz w:val="20"/>
                <w:szCs w:val="20"/>
                <w:color w:val="auto"/>
              </w:rPr>
            </w:pPr>
            <w:r>
              <w:rPr>
                <w:rFonts w:ascii="Arial" w:cs="Arial" w:eastAsia="Arial" w:hAnsi="Arial"/>
                <w:sz w:val="13"/>
                <w:szCs w:val="13"/>
                <w:color w:val="auto"/>
              </w:rPr>
              <w:t>Berichterstattungspflicht</w:t>
            </w:r>
          </w:p>
        </w:tc>
        <w:tc>
          <w:tcPr>
            <w:tcW w:w="4060" w:type="dxa"/>
            <w:vAlign w:val="bottom"/>
            <w:gridSpan w:val="2"/>
          </w:tcPr>
          <w:p>
            <w:pPr>
              <w:ind w:left="140"/>
              <w:spacing w:after="0"/>
              <w:rPr>
                <w:sz w:val="20"/>
                <w:szCs w:val="20"/>
                <w:color w:val="auto"/>
              </w:rPr>
            </w:pPr>
            <w:r>
              <w:rPr>
                <w:rFonts w:ascii="Arial" w:cs="Arial" w:eastAsia="Arial" w:hAnsi="Arial"/>
                <w:sz w:val="17"/>
                <w:szCs w:val="17"/>
                <w:color w:val="auto"/>
              </w:rPr>
              <w:t>Berichterstattungspflichten in Übereinstimmung mit</w:t>
            </w:r>
          </w:p>
        </w:tc>
        <w:tc>
          <w:tcPr>
            <w:tcW w:w="1000" w:type="dxa"/>
            <w:vAlign w:val="bottom"/>
          </w:tcPr>
          <w:p>
            <w:pPr>
              <w:ind w:left="80"/>
              <w:spacing w:after="0"/>
              <w:rPr>
                <w:sz w:val="20"/>
                <w:szCs w:val="20"/>
                <w:color w:val="auto"/>
              </w:rPr>
            </w:pPr>
            <w:r>
              <w:rPr>
                <w:rFonts w:ascii="Arial" w:cs="Arial" w:eastAsia="Arial" w:hAnsi="Arial"/>
                <w:sz w:val="13"/>
                <w:szCs w:val="13"/>
                <w:color w:val="auto"/>
              </w:rPr>
              <w:t>Auditing and</w:t>
            </w:r>
          </w:p>
        </w:tc>
        <w:tc>
          <w:tcPr>
            <w:tcW w:w="3940" w:type="dxa"/>
            <w:vAlign w:val="bottom"/>
          </w:tcPr>
          <w:p>
            <w:pPr>
              <w:ind w:left="160"/>
              <w:spacing w:after="0"/>
              <w:rPr>
                <w:sz w:val="20"/>
                <w:szCs w:val="20"/>
                <w:color w:val="auto"/>
              </w:rPr>
            </w:pPr>
            <w:r>
              <w:rPr>
                <w:rFonts w:ascii="Arial" w:cs="Arial" w:eastAsia="Arial" w:hAnsi="Arial"/>
                <w:sz w:val="17"/>
                <w:szCs w:val="17"/>
                <w:color w:val="auto"/>
              </w:rPr>
              <w:t>report in accordance with the law.</w:t>
            </w:r>
          </w:p>
        </w:tc>
      </w:tr>
      <w:tr>
        <w:trPr>
          <w:trHeight w:val="241"/>
        </w:trPr>
        <w:tc>
          <w:tcPr>
            <w:tcW w:w="1580" w:type="dxa"/>
            <w:vAlign w:val="bottom"/>
          </w:tcPr>
          <w:p>
            <w:pPr>
              <w:spacing w:after="0"/>
              <w:rPr>
                <w:sz w:val="20"/>
                <w:szCs w:val="20"/>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dem Gesetz wahr.</w:t>
            </w:r>
          </w:p>
        </w:tc>
        <w:tc>
          <w:tcPr>
            <w:tcW w:w="120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Reporting</w:t>
            </w:r>
          </w:p>
        </w:tc>
        <w:tc>
          <w:tcPr>
            <w:tcW w:w="3940" w:type="dxa"/>
            <w:vAlign w:val="bottom"/>
          </w:tcPr>
          <w:p>
            <w:pPr>
              <w:spacing w:after="0"/>
              <w:rPr>
                <w:sz w:val="20"/>
                <w:szCs w:val="20"/>
                <w:color w:val="auto"/>
              </w:rPr>
            </w:pPr>
          </w:p>
        </w:tc>
      </w:tr>
      <w:tr>
        <w:trPr>
          <w:trHeight w:val="730"/>
        </w:trPr>
        <w:tc>
          <w:tcPr>
            <w:tcW w:w="1580" w:type="dxa"/>
            <w:vAlign w:val="bottom"/>
          </w:tcPr>
          <w:p>
            <w:pPr>
              <w:spacing w:after="0"/>
              <w:rPr>
                <w:sz w:val="24"/>
                <w:szCs w:val="24"/>
                <w:color w:val="auto"/>
              </w:rPr>
            </w:pPr>
          </w:p>
        </w:tc>
        <w:tc>
          <w:tcPr>
            <w:tcW w:w="2860" w:type="dxa"/>
            <w:vAlign w:val="bottom"/>
          </w:tcPr>
          <w:p>
            <w:pPr>
              <w:ind w:left="140"/>
              <w:spacing w:after="0"/>
              <w:rPr>
                <w:sz w:val="20"/>
                <w:szCs w:val="20"/>
                <w:color w:val="auto"/>
              </w:rPr>
            </w:pPr>
            <w:r>
              <w:rPr>
                <w:rFonts w:ascii="Arial" w:cs="Arial" w:eastAsia="Arial" w:hAnsi="Arial"/>
                <w:sz w:val="17"/>
                <w:szCs w:val="17"/>
                <w:b w:val="1"/>
                <w:bCs w:val="1"/>
                <w:color w:val="auto"/>
              </w:rPr>
              <w:t>Artikel 26</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Arial" w:cs="Arial" w:eastAsia="Arial" w:hAnsi="Arial"/>
                <w:sz w:val="17"/>
                <w:szCs w:val="17"/>
                <w:b w:val="1"/>
                <w:bCs w:val="1"/>
                <w:color w:val="auto"/>
              </w:rPr>
              <w:t>Article 26</w:t>
            </w:r>
          </w:p>
        </w:tc>
      </w:tr>
      <w:tr>
        <w:trPr>
          <w:trHeight w:val="385"/>
        </w:trPr>
        <w:tc>
          <w:tcPr>
            <w:tcW w:w="1580" w:type="dxa"/>
            <w:vAlign w:val="bottom"/>
          </w:tcPr>
          <w:p>
            <w:pPr>
              <w:spacing w:after="0"/>
              <w:rPr>
                <w:sz w:val="20"/>
                <w:szCs w:val="20"/>
                <w:color w:val="auto"/>
              </w:rPr>
            </w:pPr>
            <w:r>
              <w:rPr>
                <w:rFonts w:ascii="Arial" w:cs="Arial" w:eastAsia="Arial" w:hAnsi="Arial"/>
                <w:sz w:val="13"/>
                <w:szCs w:val="13"/>
                <w:color w:val="auto"/>
              </w:rPr>
              <w:t>Besondere</w:t>
            </w:r>
          </w:p>
        </w:tc>
        <w:tc>
          <w:tcPr>
            <w:tcW w:w="4060" w:type="dxa"/>
            <w:vAlign w:val="bottom"/>
            <w:gridSpan w:val="2"/>
          </w:tcPr>
          <w:p>
            <w:pPr>
              <w:ind w:left="140"/>
              <w:spacing w:after="0"/>
              <w:rPr>
                <w:sz w:val="20"/>
                <w:szCs w:val="20"/>
                <w:color w:val="auto"/>
              </w:rPr>
            </w:pPr>
            <w:r>
              <w:rPr>
                <w:rFonts w:ascii="Arial" w:cs="Arial" w:eastAsia="Arial" w:hAnsi="Arial"/>
                <w:sz w:val="17"/>
                <w:szCs w:val="17"/>
                <w:color w:val="auto"/>
              </w:rPr>
              <w:t>Der  Verwaltungsrat  kann  die  Revisionsstelle</w:t>
            </w:r>
          </w:p>
        </w:tc>
        <w:tc>
          <w:tcPr>
            <w:tcW w:w="1000" w:type="dxa"/>
            <w:vAlign w:val="bottom"/>
          </w:tcPr>
          <w:p>
            <w:pPr>
              <w:ind w:left="80"/>
              <w:spacing w:after="0"/>
              <w:rPr>
                <w:sz w:val="20"/>
                <w:szCs w:val="20"/>
                <w:color w:val="auto"/>
              </w:rPr>
            </w:pPr>
            <w:r>
              <w:rPr>
                <w:rFonts w:ascii="Arial" w:cs="Arial" w:eastAsia="Arial" w:hAnsi="Arial"/>
                <w:sz w:val="13"/>
                <w:szCs w:val="13"/>
                <w:color w:val="auto"/>
              </w:rPr>
              <w:t>Special</w:t>
            </w:r>
          </w:p>
        </w:tc>
        <w:tc>
          <w:tcPr>
            <w:tcW w:w="3940" w:type="dxa"/>
            <w:vAlign w:val="bottom"/>
          </w:tcPr>
          <w:p>
            <w:pPr>
              <w:ind w:left="160"/>
              <w:spacing w:after="0"/>
              <w:rPr>
                <w:sz w:val="20"/>
                <w:szCs w:val="20"/>
                <w:color w:val="auto"/>
              </w:rPr>
            </w:pPr>
            <w:r>
              <w:rPr>
                <w:rFonts w:ascii="Arial" w:cs="Arial" w:eastAsia="Arial" w:hAnsi="Arial"/>
                <w:sz w:val="17"/>
                <w:szCs w:val="17"/>
                <w:color w:val="auto"/>
              </w:rPr>
              <w:t>The board of directors may at any time request</w:t>
            </w:r>
          </w:p>
        </w:tc>
      </w:tr>
      <w:tr>
        <w:trPr>
          <w:trHeight w:val="228"/>
        </w:trPr>
        <w:tc>
          <w:tcPr>
            <w:tcW w:w="1580" w:type="dxa"/>
            <w:vAlign w:val="bottom"/>
          </w:tcPr>
          <w:p>
            <w:pPr>
              <w:spacing w:after="0"/>
              <w:rPr>
                <w:sz w:val="20"/>
                <w:szCs w:val="20"/>
                <w:color w:val="auto"/>
              </w:rPr>
            </w:pPr>
            <w:r>
              <w:rPr>
                <w:rFonts w:ascii="Arial" w:cs="Arial" w:eastAsia="Arial" w:hAnsi="Arial"/>
                <w:sz w:val="13"/>
                <w:szCs w:val="13"/>
                <w:color w:val="auto"/>
              </w:rPr>
              <w:t>Abklärungen,</w:t>
            </w:r>
          </w:p>
        </w:tc>
        <w:tc>
          <w:tcPr>
            <w:tcW w:w="2860" w:type="dxa"/>
            <w:vAlign w:val="bottom"/>
          </w:tcPr>
          <w:p>
            <w:pPr>
              <w:ind w:left="140"/>
              <w:spacing w:after="0"/>
              <w:rPr>
                <w:sz w:val="20"/>
                <w:szCs w:val="20"/>
                <w:color w:val="auto"/>
              </w:rPr>
            </w:pPr>
            <w:r>
              <w:rPr>
                <w:rFonts w:ascii="Arial" w:cs="Arial" w:eastAsia="Arial" w:hAnsi="Arial"/>
                <w:sz w:val="17"/>
                <w:szCs w:val="17"/>
                <w:color w:val="auto"/>
              </w:rPr>
              <w:t>jederzeit  beauftragen,  besondere</w:t>
            </w:r>
          </w:p>
        </w:tc>
        <w:tc>
          <w:tcPr>
            <w:tcW w:w="1200" w:type="dxa"/>
            <w:vAlign w:val="bottom"/>
          </w:tcPr>
          <w:p>
            <w:pPr>
              <w:jc w:val="right"/>
              <w:spacing w:after="0"/>
              <w:rPr>
                <w:sz w:val="20"/>
                <w:szCs w:val="20"/>
                <w:color w:val="auto"/>
              </w:rPr>
            </w:pPr>
            <w:r>
              <w:rPr>
                <w:rFonts w:ascii="Arial" w:cs="Arial" w:eastAsia="Arial" w:hAnsi="Arial"/>
                <w:sz w:val="17"/>
                <w:szCs w:val="17"/>
                <w:color w:val="auto"/>
              </w:rPr>
              <w:t>Abklärungen,</w:t>
            </w:r>
          </w:p>
        </w:tc>
        <w:tc>
          <w:tcPr>
            <w:tcW w:w="1000" w:type="dxa"/>
            <w:vAlign w:val="bottom"/>
          </w:tcPr>
          <w:p>
            <w:pPr>
              <w:ind w:left="80"/>
              <w:spacing w:after="0"/>
              <w:rPr>
                <w:sz w:val="20"/>
                <w:szCs w:val="20"/>
                <w:color w:val="auto"/>
              </w:rPr>
            </w:pPr>
            <w:r>
              <w:rPr>
                <w:rFonts w:ascii="Arial" w:cs="Arial" w:eastAsia="Arial" w:hAnsi="Arial"/>
                <w:sz w:val="13"/>
                <w:szCs w:val="13"/>
                <w:color w:val="auto"/>
              </w:rPr>
              <w:t>Audits,</w:t>
            </w:r>
          </w:p>
        </w:tc>
        <w:tc>
          <w:tcPr>
            <w:tcW w:w="3940" w:type="dxa"/>
            <w:vAlign w:val="bottom"/>
          </w:tcPr>
          <w:p>
            <w:pPr>
              <w:ind w:left="160"/>
              <w:spacing w:after="0"/>
              <w:rPr>
                <w:sz w:val="20"/>
                <w:szCs w:val="20"/>
                <w:color w:val="auto"/>
              </w:rPr>
            </w:pPr>
            <w:r>
              <w:rPr>
                <w:rFonts w:ascii="Arial" w:cs="Arial" w:eastAsia="Arial" w:hAnsi="Arial"/>
                <w:sz w:val="17"/>
                <w:szCs w:val="17"/>
                <w:color w:val="auto"/>
              </w:rPr>
              <w:t>the auditors to conduct special audits, including</w:t>
            </w:r>
          </w:p>
        </w:tc>
      </w:tr>
      <w:tr>
        <w:trPr>
          <w:trHeight w:val="241"/>
        </w:trPr>
        <w:tc>
          <w:tcPr>
            <w:tcW w:w="1580" w:type="dxa"/>
            <w:vAlign w:val="bottom"/>
          </w:tcPr>
          <w:p>
            <w:pPr>
              <w:spacing w:after="0"/>
              <w:rPr>
                <w:sz w:val="20"/>
                <w:szCs w:val="20"/>
                <w:color w:val="auto"/>
              </w:rPr>
            </w:pPr>
            <w:r>
              <w:rPr>
                <w:rFonts w:ascii="Arial" w:cs="Arial" w:eastAsia="Arial" w:hAnsi="Arial"/>
                <w:sz w:val="13"/>
                <w:szCs w:val="13"/>
                <w:color w:val="auto"/>
              </w:rPr>
              <w:t>Zwischenrevisionen</w:t>
            </w:r>
          </w:p>
        </w:tc>
        <w:tc>
          <w:tcPr>
            <w:tcW w:w="2860" w:type="dxa"/>
            <w:vAlign w:val="bottom"/>
          </w:tcPr>
          <w:p>
            <w:pPr>
              <w:ind w:left="140"/>
              <w:spacing w:after="0"/>
              <w:rPr>
                <w:sz w:val="20"/>
                <w:szCs w:val="20"/>
                <w:color w:val="auto"/>
              </w:rPr>
            </w:pPr>
            <w:r>
              <w:rPr>
                <w:rFonts w:ascii="Arial" w:cs="Arial" w:eastAsia="Arial" w:hAnsi="Arial"/>
                <w:sz w:val="17"/>
                <w:szCs w:val="17"/>
                <w:color w:val="auto"/>
              </w:rPr>
              <w:t>insbesondere Zwischenrevisionen,</w:t>
            </w:r>
          </w:p>
        </w:tc>
        <w:tc>
          <w:tcPr>
            <w:tcW w:w="1200" w:type="dxa"/>
            <w:vAlign w:val="bottom"/>
          </w:tcPr>
          <w:p>
            <w:pPr>
              <w:jc w:val="right"/>
              <w:ind w:right="16"/>
              <w:spacing w:after="0"/>
              <w:rPr>
                <w:sz w:val="20"/>
                <w:szCs w:val="20"/>
                <w:color w:val="auto"/>
              </w:rPr>
            </w:pPr>
            <w:r>
              <w:rPr>
                <w:rFonts w:ascii="Arial" w:cs="Arial" w:eastAsia="Arial" w:hAnsi="Arial"/>
                <w:sz w:val="17"/>
                <w:szCs w:val="17"/>
                <w:color w:val="auto"/>
                <w:w w:val="99"/>
              </w:rPr>
              <w:t>durchzuführen</w:t>
            </w:r>
          </w:p>
        </w:tc>
        <w:tc>
          <w:tcPr>
            <w:tcW w:w="1000" w:type="dxa"/>
            <w:vAlign w:val="bottom"/>
          </w:tcPr>
          <w:p>
            <w:pPr>
              <w:ind w:left="80"/>
              <w:spacing w:after="0"/>
              <w:rPr>
                <w:sz w:val="20"/>
                <w:szCs w:val="20"/>
                <w:color w:val="auto"/>
              </w:rPr>
            </w:pPr>
            <w:r>
              <w:rPr>
                <w:rFonts w:ascii="Arial" w:cs="Arial" w:eastAsia="Arial" w:hAnsi="Arial"/>
                <w:sz w:val="13"/>
                <w:szCs w:val="13"/>
                <w:color w:val="auto"/>
              </w:rPr>
              <w:t>Interim</w:t>
            </w:r>
          </w:p>
        </w:tc>
        <w:tc>
          <w:tcPr>
            <w:tcW w:w="3940" w:type="dxa"/>
            <w:vAlign w:val="bottom"/>
          </w:tcPr>
          <w:p>
            <w:pPr>
              <w:ind w:left="160"/>
              <w:spacing w:after="0"/>
              <w:rPr>
                <w:sz w:val="20"/>
                <w:szCs w:val="20"/>
                <w:color w:val="auto"/>
              </w:rPr>
            </w:pPr>
            <w:r>
              <w:rPr>
                <w:rFonts w:ascii="Arial" w:cs="Arial" w:eastAsia="Arial" w:hAnsi="Arial"/>
                <w:sz w:val="17"/>
                <w:szCs w:val="17"/>
                <w:color w:val="auto"/>
              </w:rPr>
              <w:t>interim audits, and to submit a respective report.</w:t>
            </w:r>
          </w:p>
        </w:tc>
      </w:tr>
      <w:tr>
        <w:trPr>
          <w:trHeight w:val="228"/>
        </w:trPr>
        <w:tc>
          <w:tcPr>
            <w:tcW w:w="158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7"/>
                <w:szCs w:val="17"/>
                <w:color w:val="auto"/>
              </w:rPr>
              <w:t>und darüber Bericht zu erstatten.</w:t>
            </w:r>
          </w:p>
        </w:tc>
        <w:tc>
          <w:tcPr>
            <w:tcW w:w="1200" w:type="dxa"/>
            <w:vAlign w:val="bottom"/>
          </w:tcPr>
          <w:p>
            <w:pPr>
              <w:spacing w:after="0"/>
              <w:rPr>
                <w:sz w:val="19"/>
                <w:szCs w:val="19"/>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Audits</w:t>
            </w:r>
          </w:p>
        </w:tc>
        <w:tc>
          <w:tcPr>
            <w:tcW w:w="3940" w:type="dxa"/>
            <w:vAlign w:val="bottom"/>
          </w:tcPr>
          <w:p>
            <w:pPr>
              <w:spacing w:after="0"/>
              <w:rPr>
                <w:sz w:val="19"/>
                <w:szCs w:val="19"/>
                <w:color w:val="auto"/>
              </w:rPr>
            </w:pPr>
          </w:p>
        </w:tc>
      </w:tr>
    </w:tbl>
    <w:p>
      <w:pPr>
        <w:sectPr>
          <w:pgSz w:w="11900" w:h="16838" w:orient="portrait"/>
          <w:cols w:equalWidth="0" w:num="1">
            <w:col w:w="10580"/>
          </w:cols>
          <w:pgMar w:left="360" w:top="132" w:right="959" w:bottom="1440" w:gutter="0" w:footer="0" w:header="0"/>
          <w:type w:val="continuous"/>
        </w:sectPr>
      </w:pPr>
    </w:p>
    <w:bookmarkStart w:id="247" w:name="page248"/>
    <w:bookmarkEnd w:id="247"/>
    <w:p>
      <w:pPr>
        <w:ind w:left="5420"/>
        <w:spacing w:after="0"/>
        <w:rPr>
          <w:sz w:val="20"/>
          <w:szCs w:val="20"/>
          <w:color w:val="auto"/>
        </w:rPr>
      </w:pPr>
      <w:r>
        <w:rPr>
          <w:rFonts w:ascii="Arial" w:cs="Arial" w:eastAsia="Arial" w:hAnsi="Arial"/>
          <w:sz w:val="13"/>
          <w:szCs w:val="13"/>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762000</wp:posOffset>
            </wp:positionV>
            <wp:extent cx="59347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5934710" cy="8255"/>
                    </a:xfrm>
                    <a:prstGeom prst="rect">
                      <a:avLst/>
                    </a:prstGeom>
                    <a:noFill/>
                  </pic:spPr>
                </pic:pic>
              </a:graphicData>
            </a:graphic>
          </wp:anchor>
        </w:drawing>
      </w:r>
    </w:p>
    <w:p>
      <w:pPr>
        <w:sectPr>
          <w:pgSz w:w="11900" w:h="16838" w:orient="portrait"/>
          <w:cols w:equalWidth="0" w:num="1">
            <w:col w:w="10580"/>
          </w:cols>
          <w:pgMar w:left="36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Abschnitt 4:</w:t>
      </w:r>
    </w:p>
    <w:p>
      <w:pPr>
        <w:spacing w:after="0" w:line="35" w:lineRule="exact"/>
        <w:rPr>
          <w:sz w:val="20"/>
          <w:szCs w:val="20"/>
          <w:color w:val="auto"/>
        </w:rPr>
      </w:pPr>
    </w:p>
    <w:p>
      <w:pPr>
        <w:ind w:left="1300" w:right="760"/>
        <w:spacing w:after="0" w:line="325" w:lineRule="auto"/>
        <w:rPr>
          <w:sz w:val="20"/>
          <w:szCs w:val="20"/>
          <w:color w:val="auto"/>
        </w:rPr>
      </w:pPr>
      <w:r>
        <w:rPr>
          <w:rFonts w:ascii="Arial" w:cs="Arial" w:eastAsia="Arial" w:hAnsi="Arial"/>
          <w:sz w:val="17"/>
          <w:szCs w:val="17"/>
          <w:i w:val="1"/>
          <w:iCs w:val="1"/>
          <w:color w:val="auto"/>
        </w:rPr>
        <w:t>Vergütung der Mitglieder des Verwaltungsrates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18415</wp:posOffset>
            </wp:positionV>
            <wp:extent cx="25571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Artikel 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w:t>
      </w:r>
    </w:p>
    <w:p>
      <w:pPr>
        <w:spacing w:after="0" w:line="35" w:lineRule="exact"/>
        <w:rPr>
          <w:sz w:val="20"/>
          <w:szCs w:val="20"/>
          <w:color w:val="auto"/>
        </w:rPr>
      </w:pPr>
    </w:p>
    <w:p>
      <w:pPr>
        <w:ind w:right="380"/>
        <w:spacing w:after="0" w:line="325" w:lineRule="auto"/>
        <w:rPr>
          <w:sz w:val="20"/>
          <w:szCs w:val="20"/>
          <w:color w:val="auto"/>
        </w:rPr>
      </w:pPr>
      <w:r>
        <w:rPr>
          <w:rFonts w:ascii="Arial" w:cs="Arial" w:eastAsia="Arial" w:hAnsi="Arial"/>
          <w:sz w:val="17"/>
          <w:szCs w:val="17"/>
          <w:i w:val="1"/>
          <w:iCs w:val="1"/>
          <w:color w:val="auto"/>
        </w:rPr>
        <w:t>Compensation of the Board of Directors and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18415</wp:posOffset>
            </wp:positionV>
            <wp:extent cx="25571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27</w:t>
      </w:r>
    </w:p>
    <w:p>
      <w:pPr>
        <w:spacing w:after="0" w:line="197" w:lineRule="exact"/>
        <w:rPr>
          <w:sz w:val="20"/>
          <w:szCs w:val="20"/>
          <w:color w:val="auto"/>
        </w:rPr>
      </w:pPr>
    </w:p>
    <w:p>
      <w:pPr>
        <w:sectPr>
          <w:pgSz w:w="11900" w:h="16838" w:orient="portrait"/>
          <w:cols w:equalWidth="0" w:num="2">
            <w:col w:w="5900" w:space="720"/>
            <w:col w:w="3960"/>
          </w:cols>
          <w:pgMar w:left="360" w:top="132" w:right="959" w:bottom="1440" w:gutter="0" w:footer="0" w:header="0"/>
          <w:type w:val="continuous"/>
        </w:sectPr>
      </w:pPr>
    </w:p>
    <w:p>
      <w:pPr>
        <w:spacing w:after="0"/>
        <w:tabs>
          <w:tab w:leader="none" w:pos="1040" w:val="left"/>
          <w:tab w:leader="none" w:pos="1280" w:val="left"/>
        </w:tabs>
        <w:rPr>
          <w:sz w:val="20"/>
          <w:szCs w:val="20"/>
          <w:color w:val="auto"/>
        </w:rPr>
      </w:pPr>
      <w:r>
        <w:rPr>
          <w:rFonts w:ascii="Arial" w:cs="Arial" w:eastAsia="Arial" w:hAnsi="Arial"/>
          <w:sz w:val="13"/>
          <w:szCs w:val="13"/>
          <w:color w:val="auto"/>
        </w:rPr>
        <w:t>Grundsätze der</w:t>
        <w:tab/>
        <w:t>1</w:t>
      </w:r>
      <w:r>
        <w:rPr>
          <w:sz w:val="20"/>
          <w:szCs w:val="20"/>
          <w:color w:val="auto"/>
        </w:rPr>
        <w:tab/>
      </w:r>
      <w:r>
        <w:rPr>
          <w:rFonts w:ascii="Arial" w:cs="Arial" w:eastAsia="Arial" w:hAnsi="Arial"/>
          <w:sz w:val="17"/>
          <w:szCs w:val="17"/>
          <w:color w:val="auto"/>
        </w:rPr>
        <w:t>Die Vergütung der Mitglieder des Verwaltungsrats</w:t>
      </w:r>
    </w:p>
    <w:p>
      <w:pPr>
        <w:spacing w:after="0" w:line="32" w:lineRule="exact"/>
        <w:rPr>
          <w:sz w:val="20"/>
          <w:szCs w:val="20"/>
          <w:color w:val="auto"/>
        </w:rPr>
      </w:pPr>
    </w:p>
    <w:p>
      <w:pPr>
        <w:spacing w:after="0"/>
        <w:tabs>
          <w:tab w:leader="none" w:pos="1280" w:val="left"/>
          <w:tab w:leader="none" w:pos="1880" w:val="left"/>
          <w:tab w:leader="none" w:pos="2360" w:val="left"/>
          <w:tab w:leader="none" w:pos="2880" w:val="left"/>
          <w:tab w:leader="none" w:pos="3680" w:val="left"/>
        </w:tabs>
        <w:rPr>
          <w:sz w:val="20"/>
          <w:szCs w:val="20"/>
          <w:color w:val="auto"/>
        </w:rPr>
      </w:pPr>
      <w:r>
        <w:rPr>
          <w:rFonts w:ascii="Arial" w:cs="Arial" w:eastAsia="Arial" w:hAnsi="Arial"/>
          <w:sz w:val="13"/>
          <w:szCs w:val="13"/>
          <w:color w:val="auto"/>
        </w:rPr>
        <w:t>Vergütungen</w:t>
      </w:r>
      <w:r>
        <w:rPr>
          <w:sz w:val="20"/>
          <w:szCs w:val="20"/>
          <w:color w:val="auto"/>
        </w:rPr>
        <w:tab/>
      </w:r>
      <w:r>
        <w:rPr>
          <w:rFonts w:ascii="Arial" w:cs="Arial" w:eastAsia="Arial" w:hAnsi="Arial"/>
          <w:sz w:val="17"/>
          <w:szCs w:val="17"/>
          <w:color w:val="auto"/>
        </w:rPr>
        <w:t>kann</w:t>
        <w:tab/>
        <w:t>fixe</w:t>
        <w:tab/>
        <w:t>und</w:t>
        <w:tab/>
        <w:t>variable</w:t>
      </w:r>
      <w:r>
        <w:rPr>
          <w:sz w:val="20"/>
          <w:szCs w:val="20"/>
          <w:color w:val="auto"/>
        </w:rPr>
        <w:tab/>
      </w:r>
      <w:r>
        <w:rPr>
          <w:rFonts w:ascii="Arial" w:cs="Arial" w:eastAsia="Arial" w:hAnsi="Arial"/>
          <w:sz w:val="16"/>
          <w:szCs w:val="16"/>
          <w:color w:val="auto"/>
        </w:rPr>
        <w:t>Vergütungselemente</w:t>
      </w:r>
    </w:p>
    <w:p>
      <w:pPr>
        <w:spacing w:after="0" w:line="45" w:lineRule="exact"/>
        <w:rPr>
          <w:sz w:val="20"/>
          <w:szCs w:val="20"/>
          <w:color w:val="auto"/>
        </w:rPr>
      </w:pPr>
    </w:p>
    <w:p>
      <w:pPr>
        <w:ind w:left="1300" w:right="20"/>
        <w:spacing w:after="0" w:line="313" w:lineRule="auto"/>
        <w:rPr>
          <w:sz w:val="20"/>
          <w:szCs w:val="20"/>
          <w:color w:val="auto"/>
        </w:rPr>
      </w:pPr>
      <w:r>
        <w:rPr>
          <w:rFonts w:ascii="Arial" w:cs="Arial" w:eastAsia="Arial" w:hAnsi="Arial"/>
          <w:sz w:val="17"/>
          <w:szCs w:val="17"/>
          <w:color w:val="auto"/>
        </w:rPr>
        <w:t>umfassen. Die Gesamtvergütung berücksichtigt Funktion und Verantwortungsstufe des Empfängers.</w:t>
      </w:r>
    </w:p>
    <w:p>
      <w:pPr>
        <w:spacing w:after="0" w:line="20" w:lineRule="exact"/>
        <w:rPr>
          <w:sz w:val="20"/>
          <w:szCs w:val="20"/>
          <w:color w:val="auto"/>
        </w:rPr>
      </w:pPr>
      <w:r>
        <w:rPr>
          <w:sz w:val="20"/>
          <w:szCs w:val="20"/>
          <w:color w:val="auto"/>
        </w:rPr>
        <w:br w:type="column"/>
      </w:r>
    </w:p>
    <w:p>
      <w:pPr>
        <w:spacing w:after="0"/>
        <w:tabs>
          <w:tab w:leader="none" w:pos="940" w:val="left"/>
          <w:tab w:leader="none" w:pos="1180" w:val="left"/>
        </w:tabs>
        <w:rPr>
          <w:sz w:val="20"/>
          <w:szCs w:val="20"/>
          <w:color w:val="auto"/>
        </w:rPr>
      </w:pPr>
      <w:r>
        <w:rPr>
          <w:rFonts w:ascii="Arial" w:cs="Arial" w:eastAsia="Arial" w:hAnsi="Arial"/>
          <w:sz w:val="13"/>
          <w:szCs w:val="13"/>
          <w:color w:val="auto"/>
        </w:rPr>
        <w:t>General</w:t>
      </w:r>
      <w:r>
        <w:rPr>
          <w:sz w:val="20"/>
          <w:szCs w:val="20"/>
          <w:color w:val="auto"/>
        </w:rPr>
        <w:tab/>
      </w:r>
      <w:r>
        <w:rPr>
          <w:rFonts w:ascii="Arial" w:cs="Arial" w:eastAsia="Arial" w:hAnsi="Arial"/>
          <w:sz w:val="13"/>
          <w:szCs w:val="13"/>
          <w:color w:val="auto"/>
        </w:rPr>
        <w:t>1</w:t>
      </w:r>
      <w:r>
        <w:rPr>
          <w:sz w:val="20"/>
          <w:szCs w:val="20"/>
          <w:color w:val="auto"/>
        </w:rPr>
        <w:tab/>
      </w:r>
      <w:r>
        <w:rPr>
          <w:rFonts w:ascii="Arial" w:cs="Arial" w:eastAsia="Arial" w:hAnsi="Arial"/>
          <w:sz w:val="17"/>
          <w:szCs w:val="17"/>
          <w:color w:val="auto"/>
        </w:rPr>
        <w:t>Compensation  of  the  members  of  the  board  of</w:t>
      </w:r>
    </w:p>
    <w:p>
      <w:pPr>
        <w:spacing w:after="0" w:line="32" w:lineRule="exact"/>
        <w:rPr>
          <w:sz w:val="20"/>
          <w:szCs w:val="20"/>
          <w:color w:val="auto"/>
        </w:rPr>
      </w:pPr>
    </w:p>
    <w:p>
      <w:pPr>
        <w:spacing w:after="0"/>
        <w:tabs>
          <w:tab w:leader="none" w:pos="1180" w:val="left"/>
          <w:tab w:leader="none" w:pos="2000" w:val="left"/>
          <w:tab w:leader="none" w:pos="2500" w:val="left"/>
          <w:tab w:leader="none" w:pos="3220" w:val="left"/>
          <w:tab w:leader="none" w:pos="3540" w:val="left"/>
          <w:tab w:leader="none" w:pos="4080" w:val="left"/>
          <w:tab w:leader="none" w:pos="4540" w:val="left"/>
        </w:tabs>
        <w:rPr>
          <w:sz w:val="20"/>
          <w:szCs w:val="20"/>
          <w:color w:val="auto"/>
        </w:rPr>
      </w:pPr>
      <w:r>
        <w:rPr>
          <w:rFonts w:ascii="Arial" w:cs="Arial" w:eastAsia="Arial" w:hAnsi="Arial"/>
          <w:sz w:val="13"/>
          <w:szCs w:val="13"/>
          <w:color w:val="auto"/>
        </w:rPr>
        <w:t>Compensation</w:t>
      </w:r>
      <w:r>
        <w:rPr>
          <w:sz w:val="20"/>
          <w:szCs w:val="20"/>
          <w:color w:val="auto"/>
        </w:rPr>
        <w:tab/>
      </w:r>
      <w:r>
        <w:rPr>
          <w:rFonts w:ascii="Arial" w:cs="Arial" w:eastAsia="Arial" w:hAnsi="Arial"/>
          <w:sz w:val="17"/>
          <w:szCs w:val="17"/>
          <w:color w:val="auto"/>
        </w:rPr>
        <w:t>directors</w:t>
        <w:tab/>
        <w:t>may</w:t>
        <w:tab/>
        <w:t>consist</w:t>
        <w:tab/>
        <w:t>of</w:t>
        <w:tab/>
        <w:t>fixed</w:t>
        <w:tab/>
        <w:t>and</w:t>
      </w:r>
      <w:r>
        <w:rPr>
          <w:sz w:val="20"/>
          <w:szCs w:val="20"/>
          <w:color w:val="auto"/>
        </w:rPr>
        <w:tab/>
      </w:r>
      <w:r>
        <w:rPr>
          <w:rFonts w:ascii="Arial" w:cs="Arial" w:eastAsia="Arial" w:hAnsi="Arial"/>
          <w:sz w:val="16"/>
          <w:szCs w:val="16"/>
          <w:color w:val="auto"/>
        </w:rPr>
        <w:t>variable</w:t>
      </w:r>
    </w:p>
    <w:p>
      <w:pPr>
        <w:spacing w:after="0" w:line="45"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Principles</w:t>
      </w:r>
      <w:r>
        <w:rPr>
          <w:sz w:val="20"/>
          <w:szCs w:val="20"/>
          <w:color w:val="auto"/>
        </w:rPr>
        <w:tab/>
      </w:r>
      <w:r>
        <w:rPr>
          <w:rFonts w:ascii="Arial" w:cs="Arial" w:eastAsia="Arial" w:hAnsi="Arial"/>
          <w:sz w:val="17"/>
          <w:szCs w:val="17"/>
          <w:color w:val="auto"/>
        </w:rPr>
        <w:t>compensation. Total compensation shall take into</w:t>
      </w:r>
    </w:p>
    <w:p>
      <w:pPr>
        <w:spacing w:after="0" w:line="32" w:lineRule="exact"/>
        <w:rPr>
          <w:sz w:val="20"/>
          <w:szCs w:val="20"/>
          <w:color w:val="auto"/>
        </w:rPr>
      </w:pPr>
    </w:p>
    <w:p>
      <w:pPr>
        <w:ind w:left="1200"/>
        <w:spacing w:after="0" w:line="328" w:lineRule="auto"/>
        <w:rPr>
          <w:sz w:val="20"/>
          <w:szCs w:val="20"/>
          <w:color w:val="auto"/>
        </w:rPr>
      </w:pPr>
      <w:r>
        <w:rPr>
          <w:rFonts w:ascii="Arial" w:cs="Arial" w:eastAsia="Arial" w:hAnsi="Arial"/>
          <w:sz w:val="17"/>
          <w:szCs w:val="17"/>
          <w:color w:val="auto"/>
        </w:rPr>
        <w:t>account the position and level of responsibility of the recipient.</w:t>
      </w:r>
    </w:p>
    <w:p>
      <w:pPr>
        <w:spacing w:after="0" w:line="99" w:lineRule="exact"/>
        <w:rPr>
          <w:sz w:val="20"/>
          <w:szCs w:val="20"/>
          <w:color w:val="auto"/>
        </w:rPr>
      </w:pPr>
    </w:p>
    <w:p>
      <w:pPr>
        <w:sectPr>
          <w:pgSz w:w="11900" w:h="16838" w:orient="portrait"/>
          <w:cols w:equalWidth="0" w:num="2">
            <w:col w:w="5260" w:space="160"/>
            <w:col w:w="5160"/>
          </w:cols>
          <w:pgMar w:left="360" w:top="132" w:right="959" w:bottom="1440" w:gutter="0" w:footer="0" w:header="0"/>
          <w:type w:val="continuous"/>
        </w:sectPr>
      </w:pPr>
    </w:p>
    <w:p>
      <w:pPr>
        <w:ind w:left="1300" w:hanging="243"/>
        <w:spacing w:after="0"/>
        <w:tabs>
          <w:tab w:leader="none" w:pos="1300" w:val="left"/>
        </w:tabs>
        <w:numPr>
          <w:ilvl w:val="0"/>
          <w:numId w:val="169"/>
        </w:numPr>
        <w:rPr>
          <w:rFonts w:ascii="Arial" w:cs="Arial" w:eastAsia="Arial" w:hAnsi="Arial"/>
          <w:sz w:val="13"/>
          <w:szCs w:val="13"/>
          <w:color w:val="auto"/>
        </w:rPr>
      </w:pPr>
      <w:r>
        <w:rPr>
          <w:rFonts w:ascii="Arial" w:cs="Arial" w:eastAsia="Arial" w:hAnsi="Arial"/>
          <w:sz w:val="17"/>
          <w:szCs w:val="17"/>
          <w:color w:val="auto"/>
        </w:rPr>
        <w:t>Die Vergütung der Mitglieder der Geschäftsleitung</w:t>
      </w:r>
    </w:p>
    <w:p>
      <w:pPr>
        <w:spacing w:after="0" w:line="32"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7"/>
          <w:szCs w:val="17"/>
          <w:color w:val="auto"/>
        </w:rPr>
        <w:t>bestehtausfixenund</w:t>
      </w:r>
      <w:r>
        <w:rPr>
          <w:rFonts w:ascii="Arial" w:cs="Arial" w:eastAsia="Arial" w:hAnsi="Arial"/>
          <w:sz w:val="16"/>
          <w:szCs w:val="16"/>
          <w:color w:val="auto"/>
        </w:rPr>
        <w:t>variablen</w:t>
      </w:r>
    </w:p>
    <w:p>
      <w:pPr>
        <w:spacing w:after="0" w:line="45" w:lineRule="exact"/>
        <w:rPr>
          <w:rFonts w:ascii="Arial" w:cs="Arial" w:eastAsia="Arial" w:hAnsi="Arial"/>
          <w:sz w:val="13"/>
          <w:szCs w:val="13"/>
          <w:color w:val="auto"/>
        </w:rPr>
      </w:pPr>
    </w:p>
    <w:p>
      <w:pPr>
        <w:jc w:val="both"/>
        <w:ind w:left="1300" w:right="396"/>
        <w:spacing w:after="0" w:line="287" w:lineRule="auto"/>
        <w:rPr>
          <w:rFonts w:ascii="Arial" w:cs="Arial" w:eastAsia="Arial" w:hAnsi="Arial"/>
          <w:sz w:val="13"/>
          <w:szCs w:val="13"/>
          <w:color w:val="auto"/>
        </w:rPr>
      </w:pPr>
      <w:r>
        <w:rPr>
          <w:rFonts w:ascii="Arial" w:cs="Arial" w:eastAsia="Arial" w:hAnsi="Arial"/>
          <w:sz w:val="17"/>
          <w:szCs w:val="17"/>
          <w:color w:val="auto"/>
        </w:rPr>
        <w:t>Vergütungselementen. Die fixe Vergütung umfasst das Basissalär und weitere nicht-variable</w:t>
      </w:r>
    </w:p>
    <w:p>
      <w:pPr>
        <w:spacing w:after="0" w:line="1"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7"/>
          <w:szCs w:val="17"/>
          <w:color w:val="auto"/>
        </w:rPr>
        <w:t>Vergütungselemente. Die variable Vergütung kann</w:t>
      </w:r>
    </w:p>
    <w:p>
      <w:pPr>
        <w:spacing w:after="0" w:line="32" w:lineRule="exact"/>
        <w:rPr>
          <w:rFonts w:ascii="Arial" w:cs="Arial" w:eastAsia="Arial" w:hAnsi="Arial"/>
          <w:sz w:val="13"/>
          <w:szCs w:val="13"/>
          <w:color w:val="auto"/>
        </w:rPr>
      </w:pPr>
    </w:p>
    <w:p>
      <w:pPr>
        <w:ind w:left="1300" w:right="396"/>
        <w:spacing w:after="0" w:line="328" w:lineRule="auto"/>
        <w:rPr>
          <w:rFonts w:ascii="Arial" w:cs="Arial" w:eastAsia="Arial" w:hAnsi="Arial"/>
          <w:sz w:val="13"/>
          <w:szCs w:val="13"/>
          <w:color w:val="auto"/>
        </w:rPr>
      </w:pPr>
      <w:r>
        <w:rPr>
          <w:rFonts w:ascii="Arial" w:cs="Arial" w:eastAsia="Arial" w:hAnsi="Arial"/>
          <w:sz w:val="17"/>
          <w:szCs w:val="17"/>
          <w:color w:val="auto"/>
        </w:rPr>
        <w:t>kurzfristige und langfristige variable Vergütungselemente umfassen.</w:t>
      </w:r>
    </w:p>
    <w:p>
      <w:pPr>
        <w:spacing w:after="0" w:line="99" w:lineRule="exact"/>
        <w:rPr>
          <w:sz w:val="20"/>
          <w:szCs w:val="20"/>
          <w:color w:val="auto"/>
        </w:rPr>
      </w:pPr>
    </w:p>
    <w:p>
      <w:pPr>
        <w:jc w:val="both"/>
        <w:ind w:left="1300" w:right="396" w:hanging="239"/>
        <w:spacing w:after="0" w:line="290" w:lineRule="auto"/>
        <w:tabs>
          <w:tab w:leader="none" w:pos="12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Die kurzfristigen variablen Vergütungselemente orientieren sich an Leistungswerten, die das Erreichen von operativen, strategischen, finanziellen oder anderen Zielen, das Ergebnis der Gesellschaft, des Konzerns oder Teilen davon und/oder individuelle Ziele berücksichtigen, und deren Erreichung sich in der Regel während eines einjährigen Zeitraums bemisst. Je nach erreichter Leistung kann sich die Vergütung auf einen vordefinierten Multiplikator des Zielwerts belaufen.</w:t>
      </w:r>
    </w:p>
    <w:p>
      <w:pPr>
        <w:spacing w:after="0" w:line="133" w:lineRule="exact"/>
        <w:rPr>
          <w:sz w:val="20"/>
          <w:szCs w:val="20"/>
          <w:color w:val="auto"/>
        </w:rPr>
      </w:pPr>
    </w:p>
    <w:p>
      <w:pPr>
        <w:jc w:val="both"/>
        <w:ind w:left="1300" w:right="396" w:hanging="239"/>
        <w:spacing w:after="0" w:line="287" w:lineRule="auto"/>
        <w:tabs>
          <w:tab w:leader="none" w:pos="128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7"/>
          <w:szCs w:val="17"/>
          <w:color w:val="auto"/>
        </w:rPr>
        <w:t>Die langfristigen variablen Vergütungselemente orientieren sich an Leistungswerten, welche die</w:t>
      </w:r>
    </w:p>
    <w:p>
      <w:pPr>
        <w:spacing w:after="0" w:line="1" w:lineRule="exact"/>
        <w:rPr>
          <w:sz w:val="20"/>
          <w:szCs w:val="20"/>
          <w:color w:val="auto"/>
        </w:rPr>
      </w:pPr>
    </w:p>
    <w:p>
      <w:pPr>
        <w:jc w:val="both"/>
        <w:ind w:left="1300" w:right="396"/>
        <w:spacing w:after="0" w:line="290" w:lineRule="auto"/>
        <w:rPr>
          <w:sz w:val="20"/>
          <w:szCs w:val="20"/>
          <w:color w:val="auto"/>
        </w:rPr>
      </w:pPr>
      <w:r>
        <w:rPr>
          <w:rFonts w:ascii="Arial" w:cs="Arial" w:eastAsia="Arial" w:hAnsi="Arial"/>
          <w:sz w:val="17"/>
          <w:szCs w:val="17"/>
          <w:color w:val="auto"/>
        </w:rPr>
        <w:t>Entwicklung des Aktienkurses oder Aktienergebnisses absolut oder im Verhältnis zu Vergleichsgruppen oder Indices und/oder das Ergebnis der Gesellschaft, des Konzerns oder Teilen davon und/oder das Erreichen von operativen, strategischen, finanziellen oder anderen Zielen absolut oder im Vergleich zum Markt, anderen Unternehmen oder vergleichbaren Richtgrössen und/oder Elemente zwecks Mitarbeiterbindung berücksichtigen. Die Zielerreichung bemisst sich in der Regel während eines mehrjährigen Zeitraums, sowie an Elementen zwecks Mitarbeiterbindung. Je nach erreichter Leistung kann sich die Vergütung auf einen vordefinierten Multiplikator des Zielwerts belaufen.</w:t>
      </w:r>
    </w:p>
    <w:p>
      <w:pPr>
        <w:spacing w:after="0" w:line="20" w:lineRule="exact"/>
        <w:rPr>
          <w:sz w:val="20"/>
          <w:szCs w:val="20"/>
          <w:color w:val="auto"/>
        </w:rPr>
      </w:pPr>
      <w:r>
        <w:rPr>
          <w:sz w:val="20"/>
          <w:szCs w:val="20"/>
          <w:color w:val="auto"/>
        </w:rPr>
        <w:br w:type="column"/>
      </w:r>
    </w:p>
    <w:p>
      <w:pPr>
        <w:jc w:val="both"/>
        <w:ind w:left="244" w:hanging="244"/>
        <w:spacing w:after="0" w:line="287" w:lineRule="auto"/>
        <w:tabs>
          <w:tab w:leader="none" w:pos="244" w:val="left"/>
        </w:tabs>
        <w:numPr>
          <w:ilvl w:val="0"/>
          <w:numId w:val="170"/>
        </w:numPr>
        <w:rPr>
          <w:rFonts w:ascii="Arial" w:cs="Arial" w:eastAsia="Arial" w:hAnsi="Arial"/>
          <w:sz w:val="13"/>
          <w:szCs w:val="13"/>
          <w:color w:val="auto"/>
        </w:rPr>
      </w:pPr>
      <w:r>
        <w:rPr>
          <w:rFonts w:ascii="Arial" w:cs="Arial" w:eastAsia="Arial" w:hAnsi="Arial"/>
          <w:sz w:val="17"/>
          <w:szCs w:val="17"/>
          <w:color w:val="auto"/>
        </w:rPr>
        <w:t>Compensation of the members of the executive management consists of fixed and variable</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compensation elements. Fixed compensation comprises the base salary and other non-variable</w:t>
      </w:r>
    </w:p>
    <w:p>
      <w:pPr>
        <w:spacing w:after="0" w:line="1" w:lineRule="exact"/>
        <w:rPr>
          <w:rFonts w:ascii="Arial" w:cs="Arial" w:eastAsia="Arial" w:hAnsi="Arial"/>
          <w:sz w:val="13"/>
          <w:szCs w:val="13"/>
          <w:color w:val="auto"/>
        </w:rPr>
      </w:pPr>
    </w:p>
    <w:p>
      <w:pPr>
        <w:jc w:val="both"/>
        <w:ind w:left="244"/>
        <w:spacing w:after="0" w:line="304" w:lineRule="auto"/>
        <w:rPr>
          <w:rFonts w:ascii="Arial" w:cs="Arial" w:eastAsia="Arial" w:hAnsi="Arial"/>
          <w:sz w:val="13"/>
          <w:szCs w:val="13"/>
          <w:color w:val="auto"/>
        </w:rPr>
      </w:pPr>
      <w:r>
        <w:rPr>
          <w:rFonts w:ascii="Arial" w:cs="Arial" w:eastAsia="Arial" w:hAnsi="Arial"/>
          <w:sz w:val="17"/>
          <w:szCs w:val="17"/>
          <w:color w:val="auto"/>
        </w:rPr>
        <w:t>compensation elements. Variable compensation may comprise short-term and long-term variable compensation elements.</w:t>
      </w:r>
    </w:p>
    <w:p>
      <w:pPr>
        <w:spacing w:after="0" w:line="118" w:lineRule="exact"/>
        <w:rPr>
          <w:sz w:val="20"/>
          <w:szCs w:val="20"/>
          <w:color w:val="auto"/>
        </w:rPr>
      </w:pPr>
    </w:p>
    <w:p>
      <w:pPr>
        <w:jc w:val="both"/>
        <w:ind w:left="244" w:hanging="244"/>
        <w:spacing w:after="0" w:line="287" w:lineRule="auto"/>
        <w:tabs>
          <w:tab w:leader="none" w:pos="244" w:val="left"/>
        </w:tabs>
        <w:numPr>
          <w:ilvl w:val="0"/>
          <w:numId w:val="171"/>
        </w:numPr>
        <w:rPr>
          <w:rFonts w:ascii="Arial" w:cs="Arial" w:eastAsia="Arial" w:hAnsi="Arial"/>
          <w:sz w:val="13"/>
          <w:szCs w:val="13"/>
          <w:color w:val="auto"/>
        </w:rPr>
      </w:pPr>
      <w:r>
        <w:rPr>
          <w:rFonts w:ascii="Arial" w:cs="Arial" w:eastAsia="Arial" w:hAnsi="Arial"/>
          <w:sz w:val="17"/>
          <w:szCs w:val="17"/>
          <w:color w:val="auto"/>
        </w:rPr>
        <w:t>Short-term variable compensation elements shall be governed by performance metrics that take into</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account the achievement of operational, strategic, financial or other objectives, the results of the</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Company, the group or parts thereof and/or individual targets, and achievement of which is</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generally measured during a one-year period. Depending on achieved performance, the</w:t>
      </w:r>
    </w:p>
    <w:p>
      <w:pPr>
        <w:spacing w:after="0" w:line="1" w:lineRule="exact"/>
        <w:rPr>
          <w:rFonts w:ascii="Arial" w:cs="Arial" w:eastAsia="Arial" w:hAnsi="Arial"/>
          <w:sz w:val="13"/>
          <w:szCs w:val="13"/>
          <w:color w:val="auto"/>
        </w:rPr>
      </w:pPr>
    </w:p>
    <w:p>
      <w:pPr>
        <w:ind w:left="244"/>
        <w:spacing w:after="0" w:line="313" w:lineRule="auto"/>
        <w:rPr>
          <w:rFonts w:ascii="Arial" w:cs="Arial" w:eastAsia="Arial" w:hAnsi="Arial"/>
          <w:sz w:val="13"/>
          <w:szCs w:val="13"/>
          <w:color w:val="auto"/>
        </w:rPr>
      </w:pPr>
      <w:r>
        <w:rPr>
          <w:rFonts w:ascii="Arial" w:cs="Arial" w:eastAsia="Arial" w:hAnsi="Arial"/>
          <w:sz w:val="17"/>
          <w:szCs w:val="17"/>
          <w:color w:val="auto"/>
        </w:rPr>
        <w:t>compensation may amount to a multiplier of target level.</w:t>
      </w:r>
    </w:p>
    <w:p>
      <w:pPr>
        <w:spacing w:after="0" w:line="111" w:lineRule="exact"/>
        <w:rPr>
          <w:sz w:val="20"/>
          <w:szCs w:val="20"/>
          <w:color w:val="auto"/>
        </w:rPr>
      </w:pPr>
    </w:p>
    <w:p>
      <w:pPr>
        <w:jc w:val="both"/>
        <w:ind w:left="244" w:hanging="244"/>
        <w:spacing w:after="0" w:line="287" w:lineRule="auto"/>
        <w:tabs>
          <w:tab w:leader="none" w:pos="244" w:val="left"/>
        </w:tabs>
        <w:numPr>
          <w:ilvl w:val="0"/>
          <w:numId w:val="172"/>
        </w:numPr>
        <w:rPr>
          <w:rFonts w:ascii="Arial" w:cs="Arial" w:eastAsia="Arial" w:hAnsi="Arial"/>
          <w:sz w:val="13"/>
          <w:szCs w:val="13"/>
          <w:color w:val="auto"/>
        </w:rPr>
      </w:pPr>
      <w:r>
        <w:rPr>
          <w:rFonts w:ascii="Arial" w:cs="Arial" w:eastAsia="Arial" w:hAnsi="Arial"/>
          <w:sz w:val="17"/>
          <w:szCs w:val="17"/>
          <w:color w:val="auto"/>
        </w:rPr>
        <w:t>Long-term variable compensation elements shall be governed by performance metrics that take into</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account the development of the share price or share performance in absolute terms or in relation to peer</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groups or indices and/or the results of the Company, the group or parts thereof and/or the achievement of</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operational, strategic, financial or other objectives in absolute terms or in relation to the market, other</w:t>
      </w:r>
    </w:p>
    <w:p>
      <w:pPr>
        <w:spacing w:after="0" w:line="1" w:lineRule="exact"/>
        <w:rPr>
          <w:rFonts w:ascii="Arial" w:cs="Arial" w:eastAsia="Arial" w:hAnsi="Arial"/>
          <w:sz w:val="13"/>
          <w:szCs w:val="13"/>
          <w:color w:val="auto"/>
        </w:rPr>
      </w:pPr>
    </w:p>
    <w:p>
      <w:pPr>
        <w:jc w:val="both"/>
        <w:ind w:left="244"/>
        <w:spacing w:after="0" w:line="308" w:lineRule="auto"/>
        <w:rPr>
          <w:rFonts w:ascii="Arial" w:cs="Arial" w:eastAsia="Arial" w:hAnsi="Arial"/>
          <w:sz w:val="13"/>
          <w:szCs w:val="13"/>
          <w:color w:val="auto"/>
        </w:rPr>
      </w:pPr>
      <w:r>
        <w:rPr>
          <w:rFonts w:ascii="Arial" w:cs="Arial" w:eastAsia="Arial" w:hAnsi="Arial"/>
          <w:sz w:val="16"/>
          <w:szCs w:val="16"/>
          <w:color w:val="auto"/>
        </w:rPr>
        <w:t>companies or comparable benchmarks and/or retention elements. An achievement of the objectives is generally measured over a period of several</w:t>
      </w:r>
    </w:p>
    <w:p>
      <w:pPr>
        <w:jc w:val="both"/>
        <w:ind w:left="244"/>
        <w:spacing w:after="0" w:line="304" w:lineRule="auto"/>
        <w:rPr>
          <w:rFonts w:ascii="Arial" w:cs="Arial" w:eastAsia="Arial" w:hAnsi="Arial"/>
          <w:sz w:val="13"/>
          <w:szCs w:val="13"/>
          <w:color w:val="auto"/>
        </w:rPr>
      </w:pPr>
      <w:r>
        <w:rPr>
          <w:rFonts w:ascii="Arial" w:cs="Arial" w:eastAsia="Arial" w:hAnsi="Arial"/>
          <w:sz w:val="17"/>
          <w:szCs w:val="17"/>
          <w:color w:val="auto"/>
        </w:rPr>
        <w:t>years. Depending on achieved performance, the compensation may amount to a multiplier of target level.</w:t>
      </w:r>
    </w:p>
    <w:p>
      <w:pPr>
        <w:sectPr>
          <w:pgSz w:w="11900" w:h="16838" w:orient="portrait"/>
          <w:cols w:equalWidth="0" w:num="2">
            <w:col w:w="5656" w:space="720"/>
            <w:col w:w="4204"/>
          </w:cols>
          <w:pgMar w:left="360" w:top="132" w:right="959" w:bottom="1440" w:gutter="0" w:footer="0" w:header="0"/>
          <w:type w:val="continuous"/>
        </w:sectPr>
      </w:pPr>
    </w:p>
    <w:bookmarkStart w:id="248" w:name="page249"/>
    <w:bookmarkEnd w:id="248"/>
    <w:p>
      <w:pPr>
        <w:jc w:val="center"/>
        <w:ind w:right="477"/>
        <w:spacing w:after="0"/>
        <w:rPr>
          <w:sz w:val="20"/>
          <w:szCs w:val="20"/>
          <w:color w:val="auto"/>
        </w:rPr>
      </w:pPr>
      <w:r>
        <w:rPr>
          <w:rFonts w:ascii="Arial" w:cs="Arial" w:eastAsia="Arial" w:hAnsi="Arial"/>
          <w:sz w:val="13"/>
          <w:szCs w:val="13"/>
          <w:color w:val="auto"/>
        </w:rPr>
        <w:t>- 27 -</w:t>
      </w:r>
    </w:p>
    <w:p>
      <w:pPr>
        <w:sectPr>
          <w:pgSz w:w="11900" w:h="16838" w:orient="portrait"/>
          <w:cols w:equalWidth="0" w:num="1">
            <w:col w:w="9523"/>
          </w:cols>
          <w:pgMar w:left="1417"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43" w:right="305" w:hanging="243"/>
        <w:spacing w:after="0" w:line="330" w:lineRule="auto"/>
        <w:tabs>
          <w:tab w:leader="none" w:pos="243" w:val="left"/>
        </w:tabs>
        <w:numPr>
          <w:ilvl w:val="0"/>
          <w:numId w:val="173"/>
        </w:numPr>
        <w:rPr>
          <w:rFonts w:ascii="Arial" w:cs="Arial" w:eastAsia="Arial" w:hAnsi="Arial"/>
          <w:sz w:val="13"/>
          <w:szCs w:val="13"/>
          <w:color w:val="auto"/>
        </w:rPr>
      </w:pPr>
      <w:r>
        <w:rPr>
          <w:rFonts w:ascii="Arial" w:cs="Arial" w:eastAsia="Arial" w:hAnsi="Arial"/>
          <w:sz w:val="16"/>
          <w:szCs w:val="16"/>
          <w:color w:val="auto"/>
        </w:rPr>
        <w:t>Der Verwaltungsrat oder, soweit an ihn delegiert, der Vergütungsausschuss legen Leistungs- und Zielwerte sowie deren Gewichtung und Erreichung fest.</w:t>
      </w:r>
    </w:p>
    <w:p>
      <w:pPr>
        <w:spacing w:after="0" w:line="200" w:lineRule="exact"/>
        <w:rPr>
          <w:sz w:val="20"/>
          <w:szCs w:val="20"/>
          <w:color w:val="auto"/>
        </w:rPr>
      </w:pPr>
    </w:p>
    <w:p>
      <w:pPr>
        <w:spacing w:after="0" w:line="383" w:lineRule="exact"/>
        <w:rPr>
          <w:sz w:val="20"/>
          <w:szCs w:val="20"/>
          <w:color w:val="auto"/>
        </w:rPr>
      </w:pPr>
    </w:p>
    <w:p>
      <w:pPr>
        <w:jc w:val="both"/>
        <w:ind w:left="243" w:right="305" w:hanging="243"/>
        <w:spacing w:after="0" w:line="303" w:lineRule="auto"/>
        <w:tabs>
          <w:tab w:leader="none" w:pos="243" w:val="left"/>
        </w:tabs>
        <w:numPr>
          <w:ilvl w:val="0"/>
          <w:numId w:val="174"/>
        </w:numPr>
        <w:rPr>
          <w:rFonts w:ascii="Arial" w:cs="Arial" w:eastAsia="Arial" w:hAnsi="Arial"/>
          <w:sz w:val="13"/>
          <w:szCs w:val="13"/>
          <w:color w:val="auto"/>
        </w:rPr>
      </w:pPr>
      <w:r>
        <w:rPr>
          <w:rFonts w:ascii="Arial" w:cs="Arial" w:eastAsia="Arial" w:hAnsi="Arial"/>
          <w:sz w:val="17"/>
          <w:szCs w:val="17"/>
          <w:color w:val="auto"/>
        </w:rPr>
        <w:t>Die Vergütung kann in der Form von Geld, Aktien oder Sach- oder Dienstleistungen ausgerichtet</w:t>
      </w:r>
    </w:p>
    <w:p>
      <w:pPr>
        <w:jc w:val="both"/>
        <w:ind w:left="243" w:right="305"/>
        <w:spacing w:after="0" w:line="305" w:lineRule="auto"/>
        <w:rPr>
          <w:rFonts w:ascii="Arial" w:cs="Arial" w:eastAsia="Arial" w:hAnsi="Arial"/>
          <w:sz w:val="13"/>
          <w:szCs w:val="13"/>
          <w:color w:val="auto"/>
        </w:rPr>
      </w:pPr>
      <w:r>
        <w:rPr>
          <w:rFonts w:ascii="Arial" w:cs="Arial" w:eastAsia="Arial" w:hAnsi="Arial"/>
          <w:sz w:val="17"/>
          <w:szCs w:val="17"/>
          <w:color w:val="auto"/>
        </w:rPr>
        <w:t>werden werden; Vergütung der Mitglieder der Geschäftsleitung kann zusätzlich in der Form von aktienbasierten Instrumenten oder Einheiten</w:t>
      </w:r>
    </w:p>
    <w:p>
      <w:pPr>
        <w:spacing w:after="0" w:line="1" w:lineRule="exact"/>
        <w:rPr>
          <w:rFonts w:ascii="Arial" w:cs="Arial" w:eastAsia="Arial" w:hAnsi="Arial"/>
          <w:sz w:val="13"/>
          <w:szCs w:val="13"/>
          <w:color w:val="auto"/>
        </w:rPr>
      </w:pPr>
    </w:p>
    <w:p>
      <w:pPr>
        <w:jc w:val="both"/>
        <w:ind w:left="243" w:right="305"/>
        <w:spacing w:after="0" w:line="322" w:lineRule="auto"/>
        <w:rPr>
          <w:rFonts w:ascii="Arial" w:cs="Arial" w:eastAsia="Arial" w:hAnsi="Arial"/>
          <w:sz w:val="13"/>
          <w:szCs w:val="13"/>
          <w:color w:val="auto"/>
        </w:rPr>
      </w:pPr>
      <w:r>
        <w:rPr>
          <w:rFonts w:ascii="Arial" w:cs="Arial" w:eastAsia="Arial" w:hAnsi="Arial"/>
          <w:sz w:val="16"/>
          <w:szCs w:val="16"/>
          <w:color w:val="auto"/>
        </w:rPr>
        <w:t>ausgerichtet werden. Der Verwaltungsrat oder, soweit an ihn delegiert, der Vergütungsausschuss legen</w:t>
      </w:r>
    </w:p>
    <w:p>
      <w:pPr>
        <w:jc w:val="both"/>
        <w:ind w:left="243" w:right="305"/>
        <w:spacing w:after="0" w:line="305" w:lineRule="auto"/>
        <w:rPr>
          <w:rFonts w:ascii="Arial" w:cs="Arial" w:eastAsia="Arial" w:hAnsi="Arial"/>
          <w:sz w:val="13"/>
          <w:szCs w:val="13"/>
          <w:color w:val="auto"/>
        </w:rPr>
      </w:pPr>
      <w:r>
        <w:rPr>
          <w:rFonts w:ascii="Arial" w:cs="Arial" w:eastAsia="Arial" w:hAnsi="Arial"/>
          <w:sz w:val="17"/>
          <w:szCs w:val="17"/>
          <w:color w:val="auto"/>
        </w:rPr>
        <w:t>Zuteilungs-, Vesting-, Ausübungs- und Verfallsbedingungen fest. Sie können insbesondere vorsehen, dass aufgrund des Eintritts im Voraus</w:t>
      </w:r>
    </w:p>
    <w:p>
      <w:pPr>
        <w:spacing w:after="0" w:line="1" w:lineRule="exact"/>
        <w:rPr>
          <w:rFonts w:ascii="Arial" w:cs="Arial" w:eastAsia="Arial" w:hAnsi="Arial"/>
          <w:sz w:val="13"/>
          <w:szCs w:val="13"/>
          <w:color w:val="auto"/>
        </w:rPr>
      </w:pPr>
    </w:p>
    <w:p>
      <w:pPr>
        <w:jc w:val="both"/>
        <w:ind w:left="243" w:right="305"/>
        <w:spacing w:after="0" w:line="303" w:lineRule="auto"/>
        <w:rPr>
          <w:rFonts w:ascii="Arial" w:cs="Arial" w:eastAsia="Arial" w:hAnsi="Arial"/>
          <w:sz w:val="13"/>
          <w:szCs w:val="13"/>
          <w:color w:val="auto"/>
        </w:rPr>
      </w:pPr>
      <w:r>
        <w:rPr>
          <w:rFonts w:ascii="Arial" w:cs="Arial" w:eastAsia="Arial" w:hAnsi="Arial"/>
          <w:sz w:val="17"/>
          <w:szCs w:val="17"/>
          <w:color w:val="auto"/>
        </w:rPr>
        <w:t>bestimmter Ereignisse, wie eines Kontrollwechsels oder der Beendigung des Arbeits- oder</w:t>
      </w:r>
    </w:p>
    <w:p>
      <w:pPr>
        <w:jc w:val="both"/>
        <w:ind w:left="243" w:right="305"/>
        <w:spacing w:after="0" w:line="305" w:lineRule="auto"/>
        <w:rPr>
          <w:rFonts w:ascii="Arial" w:cs="Arial" w:eastAsia="Arial" w:hAnsi="Arial"/>
          <w:sz w:val="13"/>
          <w:szCs w:val="13"/>
          <w:color w:val="auto"/>
        </w:rPr>
      </w:pPr>
      <w:r>
        <w:rPr>
          <w:rFonts w:ascii="Arial" w:cs="Arial" w:eastAsia="Arial" w:hAnsi="Arial"/>
          <w:sz w:val="17"/>
          <w:szCs w:val="17"/>
          <w:color w:val="auto"/>
        </w:rPr>
        <w:t>Mandatsverhältnisses, Vesting-, Ausübungs- und Verfallsbedingungen weitergelten, verkürzt oder aufgehoben werden, Vergütungen unter der</w:t>
      </w:r>
    </w:p>
    <w:p>
      <w:pPr>
        <w:spacing w:after="0" w:line="1" w:lineRule="exact"/>
        <w:rPr>
          <w:rFonts w:ascii="Arial" w:cs="Arial" w:eastAsia="Arial" w:hAnsi="Arial"/>
          <w:sz w:val="13"/>
          <w:szCs w:val="13"/>
          <w:color w:val="auto"/>
        </w:rPr>
      </w:pPr>
    </w:p>
    <w:p>
      <w:pPr>
        <w:jc w:val="both"/>
        <w:ind w:left="243" w:right="305"/>
        <w:spacing w:after="0" w:line="322" w:lineRule="auto"/>
        <w:rPr>
          <w:rFonts w:ascii="Arial" w:cs="Arial" w:eastAsia="Arial" w:hAnsi="Arial"/>
          <w:sz w:val="13"/>
          <w:szCs w:val="13"/>
          <w:color w:val="auto"/>
        </w:rPr>
      </w:pPr>
      <w:r>
        <w:rPr>
          <w:rFonts w:ascii="Arial" w:cs="Arial" w:eastAsia="Arial" w:hAnsi="Arial"/>
          <w:sz w:val="16"/>
          <w:szCs w:val="16"/>
          <w:color w:val="auto"/>
        </w:rPr>
        <w:t>Annahme der Erreichung von Zielwerten ausgerichtet werden oder Vergütungen verfallen. Die Gesellschaft</w:t>
      </w:r>
    </w:p>
    <w:p>
      <w:pPr>
        <w:jc w:val="both"/>
        <w:ind w:left="243" w:right="325"/>
        <w:spacing w:after="0" w:line="316" w:lineRule="auto"/>
        <w:rPr>
          <w:rFonts w:ascii="Arial" w:cs="Arial" w:eastAsia="Arial" w:hAnsi="Arial"/>
          <w:sz w:val="13"/>
          <w:szCs w:val="13"/>
          <w:color w:val="auto"/>
        </w:rPr>
      </w:pPr>
      <w:r>
        <w:rPr>
          <w:rFonts w:ascii="Arial" w:cs="Arial" w:eastAsia="Arial" w:hAnsi="Arial"/>
          <w:sz w:val="17"/>
          <w:szCs w:val="17"/>
          <w:color w:val="auto"/>
        </w:rPr>
        <w:t>kann die erforderlichen Aktien auf dem Markt erwerben, aus Beständen eigener Aktien entnehmen oder unter Verwendung von bedingtem oder genehmigtem Kapital bereitstellen.</w:t>
      </w:r>
    </w:p>
    <w:p>
      <w:pPr>
        <w:spacing w:after="0" w:line="110" w:lineRule="exact"/>
        <w:rPr>
          <w:sz w:val="20"/>
          <w:szCs w:val="20"/>
          <w:color w:val="auto"/>
        </w:rPr>
      </w:pPr>
    </w:p>
    <w:p>
      <w:pPr>
        <w:jc w:val="both"/>
        <w:ind w:left="243" w:right="305" w:hanging="243"/>
        <w:spacing w:after="0" w:line="304" w:lineRule="auto"/>
        <w:tabs>
          <w:tab w:leader="none" w:pos="243" w:val="left"/>
        </w:tabs>
        <w:numPr>
          <w:ilvl w:val="0"/>
          <w:numId w:val="175"/>
        </w:numPr>
        <w:rPr>
          <w:rFonts w:ascii="Arial" w:cs="Arial" w:eastAsia="Arial" w:hAnsi="Arial"/>
          <w:sz w:val="13"/>
          <w:szCs w:val="13"/>
          <w:color w:val="auto"/>
        </w:rPr>
      </w:pPr>
      <w:r>
        <w:rPr>
          <w:rFonts w:ascii="Arial" w:cs="Arial" w:eastAsia="Arial" w:hAnsi="Arial"/>
          <w:sz w:val="17"/>
          <w:szCs w:val="17"/>
          <w:color w:val="auto"/>
        </w:rPr>
        <w:t>Die Vergütung kann durch die Gesellschaft oder durch von ihr kontrollierte Unternehmen ausgerichtet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35" w:hanging="235"/>
        <w:spacing w:after="0" w:line="287" w:lineRule="auto"/>
        <w:tabs>
          <w:tab w:leader="none" w:pos="235" w:val="left"/>
        </w:tabs>
        <w:numPr>
          <w:ilvl w:val="0"/>
          <w:numId w:val="176"/>
        </w:numPr>
        <w:rPr>
          <w:rFonts w:ascii="Arial" w:cs="Arial" w:eastAsia="Arial" w:hAnsi="Arial"/>
          <w:sz w:val="13"/>
          <w:szCs w:val="13"/>
          <w:color w:val="auto"/>
        </w:rPr>
      </w:pPr>
      <w:r>
        <w:rPr>
          <w:rFonts w:ascii="Arial" w:cs="Arial" w:eastAsia="Arial" w:hAnsi="Arial"/>
          <w:sz w:val="17"/>
          <w:szCs w:val="17"/>
          <w:color w:val="auto"/>
        </w:rPr>
        <w:t>The board of directors or, to the extent delegated to it, the compensation committee shall determine the</w:t>
      </w:r>
    </w:p>
    <w:p>
      <w:pPr>
        <w:spacing w:after="0" w:line="1" w:lineRule="exact"/>
        <w:rPr>
          <w:rFonts w:ascii="Arial" w:cs="Arial" w:eastAsia="Arial" w:hAnsi="Arial"/>
          <w:sz w:val="13"/>
          <w:szCs w:val="13"/>
          <w:color w:val="auto"/>
        </w:rPr>
      </w:pPr>
    </w:p>
    <w:p>
      <w:pPr>
        <w:jc w:val="both"/>
        <w:ind w:left="235"/>
        <w:spacing w:after="0" w:line="304" w:lineRule="auto"/>
        <w:rPr>
          <w:rFonts w:ascii="Arial" w:cs="Arial" w:eastAsia="Arial" w:hAnsi="Arial"/>
          <w:sz w:val="13"/>
          <w:szCs w:val="13"/>
          <w:color w:val="auto"/>
        </w:rPr>
      </w:pPr>
      <w:r>
        <w:rPr>
          <w:rFonts w:ascii="Arial" w:cs="Arial" w:eastAsia="Arial" w:hAnsi="Arial"/>
          <w:sz w:val="17"/>
          <w:szCs w:val="17"/>
          <w:color w:val="auto"/>
        </w:rPr>
        <w:t>performance metrics and target levels of the short-and long-term variable compensation elements, as well as their achievement.</w:t>
      </w:r>
    </w:p>
    <w:p>
      <w:pPr>
        <w:spacing w:after="0" w:line="118" w:lineRule="exact"/>
        <w:rPr>
          <w:sz w:val="20"/>
          <w:szCs w:val="20"/>
          <w:color w:val="auto"/>
        </w:rPr>
      </w:pPr>
    </w:p>
    <w:p>
      <w:pPr>
        <w:jc w:val="both"/>
        <w:ind w:left="235" w:hanging="235"/>
        <w:spacing w:after="0" w:line="268" w:lineRule="auto"/>
        <w:tabs>
          <w:tab w:leader="none" w:pos="235" w:val="left"/>
        </w:tabs>
        <w:numPr>
          <w:ilvl w:val="0"/>
          <w:numId w:val="177"/>
        </w:numPr>
        <w:rPr>
          <w:rFonts w:ascii="Arial" w:cs="Arial" w:eastAsia="Arial" w:hAnsi="Arial"/>
          <w:sz w:val="13"/>
          <w:szCs w:val="13"/>
          <w:color w:val="auto"/>
        </w:rPr>
      </w:pPr>
      <w:r>
        <w:rPr>
          <w:rFonts w:ascii="Arial" w:cs="Arial" w:eastAsia="Arial" w:hAnsi="Arial"/>
          <w:sz w:val="17"/>
          <w:szCs w:val="17"/>
          <w:color w:val="auto"/>
        </w:rPr>
        <w:t>Compensation may be paid in the form of cash, shares, or in the form of other types of benefits benefits; for the executive management, compensation may in addition be paid in the form of share-based instruments or units. The board of directors or, to the extent delegated to it, the compensation committee shall determine grant, vesting,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5" w:hanging="235"/>
        <w:spacing w:after="0" w:line="313" w:lineRule="auto"/>
        <w:tabs>
          <w:tab w:leader="none" w:pos="235" w:val="left"/>
        </w:tabs>
        <w:numPr>
          <w:ilvl w:val="0"/>
          <w:numId w:val="178"/>
        </w:numPr>
        <w:rPr>
          <w:rFonts w:ascii="Arial" w:cs="Arial" w:eastAsia="Arial" w:hAnsi="Arial"/>
          <w:sz w:val="13"/>
          <w:szCs w:val="13"/>
          <w:color w:val="auto"/>
        </w:rPr>
      </w:pPr>
      <w:r>
        <w:rPr>
          <w:rFonts w:ascii="Arial" w:cs="Arial" w:eastAsia="Arial" w:hAnsi="Arial"/>
          <w:sz w:val="17"/>
          <w:szCs w:val="17"/>
          <w:color w:val="auto"/>
        </w:rPr>
        <w:t>Compensation may be paid by the Company or companies controlled by it.</w:t>
      </w:r>
    </w:p>
    <w:p>
      <w:pPr>
        <w:sectPr>
          <w:pgSz w:w="11900" w:h="16838" w:orient="portrait"/>
          <w:cols w:equalWidth="0" w:num="2">
            <w:col w:w="4548" w:space="720"/>
            <w:col w:w="4255"/>
          </w:cols>
          <w:pgMar w:left="1417" w:top="132" w:right="959" w:bottom="1440" w:gutter="0" w:footer="0" w:header="0"/>
          <w:type w:val="continuous"/>
        </w:sectPr>
      </w:pPr>
    </w:p>
    <w:bookmarkStart w:id="249" w:name="page250"/>
    <w:bookmarkEnd w:id="249"/>
    <w:p>
      <w:pPr>
        <w:ind w:left="5420"/>
        <w:spacing w:after="0"/>
        <w:rPr>
          <w:sz w:val="20"/>
          <w:szCs w:val="20"/>
          <w:color w:val="auto"/>
        </w:rPr>
      </w:pPr>
      <w:r>
        <w:rPr>
          <w:rFonts w:ascii="Arial" w:cs="Arial" w:eastAsia="Arial" w:hAnsi="Arial"/>
          <w:sz w:val="13"/>
          <w:szCs w:val="13"/>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2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7"/>
                <w:szCs w:val="17"/>
                <w:b w:val="1"/>
                <w:bCs w:val="1"/>
                <w:color w:val="auto"/>
              </w:rPr>
              <w:t>Artikel 28</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ind w:left="280"/>
              <w:spacing w:after="0"/>
              <w:rPr>
                <w:sz w:val="20"/>
                <w:szCs w:val="20"/>
                <w:color w:val="auto"/>
              </w:rPr>
            </w:pPr>
            <w:r>
              <w:rPr>
                <w:rFonts w:ascii="Arial" w:cs="Arial" w:eastAsia="Arial" w:hAnsi="Arial"/>
                <w:sz w:val="17"/>
                <w:szCs w:val="17"/>
                <w:b w:val="1"/>
                <w:bCs w:val="1"/>
                <w:color w:val="auto"/>
              </w:rPr>
              <w:t>Article 28</w:t>
            </w:r>
          </w:p>
        </w:tc>
      </w:tr>
      <w:tr>
        <w:trPr>
          <w:trHeight w:val="385"/>
        </w:trPr>
        <w:tc>
          <w:tcPr>
            <w:tcW w:w="1220" w:type="dxa"/>
            <w:vAlign w:val="bottom"/>
          </w:tcPr>
          <w:p>
            <w:pPr>
              <w:spacing w:after="0"/>
              <w:rPr>
                <w:sz w:val="20"/>
                <w:szCs w:val="20"/>
                <w:color w:val="auto"/>
              </w:rPr>
            </w:pPr>
            <w:r>
              <w:rPr>
                <w:rFonts w:ascii="Arial" w:cs="Arial" w:eastAsia="Arial" w:hAnsi="Arial"/>
                <w:sz w:val="13"/>
                <w:szCs w:val="13"/>
                <w:color w:val="auto"/>
              </w:rPr>
              <w:t>Genehmigung   1</w:t>
            </w:r>
          </w:p>
        </w:tc>
        <w:tc>
          <w:tcPr>
            <w:tcW w:w="400" w:type="dxa"/>
            <w:vAlign w:val="bottom"/>
          </w:tcPr>
          <w:p>
            <w:pPr>
              <w:ind w:left="80"/>
              <w:spacing w:after="0"/>
              <w:rPr>
                <w:sz w:val="20"/>
                <w:szCs w:val="20"/>
                <w:color w:val="auto"/>
              </w:rPr>
            </w:pPr>
            <w:r>
              <w:rPr>
                <w:rFonts w:ascii="Arial" w:cs="Arial" w:eastAsia="Arial" w:hAnsi="Arial"/>
                <w:sz w:val="17"/>
                <w:szCs w:val="17"/>
                <w:color w:val="auto"/>
              </w:rPr>
              <w:t>Die</w:t>
            </w:r>
          </w:p>
        </w:tc>
        <w:tc>
          <w:tcPr>
            <w:tcW w:w="2960" w:type="dxa"/>
            <w:vAlign w:val="bottom"/>
            <w:gridSpan w:val="6"/>
          </w:tcPr>
          <w:p>
            <w:pPr>
              <w:ind w:left="60"/>
              <w:spacing w:after="0"/>
              <w:rPr>
                <w:sz w:val="20"/>
                <w:szCs w:val="20"/>
                <w:color w:val="auto"/>
              </w:rPr>
            </w:pPr>
            <w:r>
              <w:rPr>
                <w:rFonts w:ascii="Arial" w:cs="Arial" w:eastAsia="Arial" w:hAnsi="Arial"/>
                <w:sz w:val="17"/>
                <w:szCs w:val="17"/>
                <w:color w:val="auto"/>
              </w:rPr>
              <w:t>Generalversammlung  genehmigt  die</w:t>
            </w:r>
          </w:p>
        </w:tc>
        <w:tc>
          <w:tcPr>
            <w:tcW w:w="760" w:type="dxa"/>
            <w:vAlign w:val="bottom"/>
            <w:gridSpan w:val="2"/>
          </w:tcPr>
          <w:p>
            <w:pPr>
              <w:jc w:val="right"/>
              <w:ind w:right="16"/>
              <w:spacing w:after="0"/>
              <w:rPr>
                <w:sz w:val="20"/>
                <w:szCs w:val="20"/>
                <w:color w:val="auto"/>
              </w:rPr>
            </w:pPr>
            <w:r>
              <w:rPr>
                <w:rFonts w:ascii="Arial" w:cs="Arial" w:eastAsia="Arial" w:hAnsi="Arial"/>
                <w:sz w:val="17"/>
                <w:szCs w:val="17"/>
                <w:color w:val="auto"/>
              </w:rPr>
              <w:t>Anträge</w:t>
            </w:r>
          </w:p>
        </w:tc>
        <w:tc>
          <w:tcPr>
            <w:tcW w:w="1000" w:type="dxa"/>
            <w:vAlign w:val="bottom"/>
          </w:tcPr>
          <w:p>
            <w:pPr>
              <w:ind w:left="80"/>
              <w:spacing w:after="0"/>
              <w:rPr>
                <w:sz w:val="20"/>
                <w:szCs w:val="20"/>
                <w:color w:val="auto"/>
              </w:rPr>
            </w:pPr>
            <w:r>
              <w:rPr>
                <w:rFonts w:ascii="Arial" w:cs="Arial" w:eastAsia="Arial" w:hAnsi="Arial"/>
                <w:sz w:val="13"/>
                <w:szCs w:val="13"/>
                <w:color w:val="auto"/>
              </w:rPr>
              <w:t>Approval of</w:t>
            </w:r>
          </w:p>
        </w:tc>
        <w:tc>
          <w:tcPr>
            <w:tcW w:w="4240" w:type="dxa"/>
            <w:vAlign w:val="bottom"/>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general meeting of shareholders shall approve</w:t>
            </w:r>
          </w:p>
        </w:tc>
      </w:tr>
      <w:tr>
        <w:trPr>
          <w:trHeight w:val="228"/>
        </w:trPr>
        <w:tc>
          <w:tcPr>
            <w:tcW w:w="1220" w:type="dxa"/>
            <w:vAlign w:val="bottom"/>
          </w:tcPr>
          <w:p>
            <w:pPr>
              <w:spacing w:after="0"/>
              <w:rPr>
                <w:sz w:val="20"/>
                <w:szCs w:val="20"/>
                <w:color w:val="auto"/>
              </w:rPr>
            </w:pPr>
            <w:r>
              <w:rPr>
                <w:rFonts w:ascii="Arial" w:cs="Arial" w:eastAsia="Arial" w:hAnsi="Arial"/>
                <w:sz w:val="13"/>
                <w:szCs w:val="13"/>
                <w:color w:val="auto"/>
              </w:rPr>
              <w:t>der Vergütungen</w:t>
            </w:r>
          </w:p>
        </w:tc>
        <w:tc>
          <w:tcPr>
            <w:tcW w:w="400" w:type="dxa"/>
            <w:vAlign w:val="bottom"/>
          </w:tcPr>
          <w:p>
            <w:pPr>
              <w:ind w:left="80"/>
              <w:spacing w:after="0"/>
              <w:rPr>
                <w:sz w:val="20"/>
                <w:szCs w:val="20"/>
                <w:color w:val="auto"/>
              </w:rPr>
            </w:pPr>
            <w:r>
              <w:rPr>
                <w:rFonts w:ascii="Arial" w:cs="Arial" w:eastAsia="Arial" w:hAnsi="Arial"/>
                <w:sz w:val="17"/>
                <w:szCs w:val="17"/>
                <w:color w:val="auto"/>
              </w:rPr>
              <w:t>des</w:t>
            </w:r>
          </w:p>
        </w:tc>
        <w:tc>
          <w:tcPr>
            <w:tcW w:w="1360" w:type="dxa"/>
            <w:vAlign w:val="bottom"/>
            <w:gridSpan w:val="3"/>
          </w:tcPr>
          <w:p>
            <w:pPr>
              <w:ind w:left="40"/>
              <w:spacing w:after="0"/>
              <w:rPr>
                <w:sz w:val="20"/>
                <w:szCs w:val="20"/>
                <w:color w:val="auto"/>
              </w:rPr>
            </w:pPr>
            <w:r>
              <w:rPr>
                <w:rFonts w:ascii="Arial" w:cs="Arial" w:eastAsia="Arial" w:hAnsi="Arial"/>
                <w:sz w:val="17"/>
                <w:szCs w:val="17"/>
                <w:color w:val="auto"/>
              </w:rPr>
              <w:t>Verwaltungsrats</w:t>
            </w:r>
          </w:p>
        </w:tc>
        <w:tc>
          <w:tcPr>
            <w:tcW w:w="160" w:type="dxa"/>
            <w:vAlign w:val="bottom"/>
          </w:tcPr>
          <w:p>
            <w:pPr>
              <w:spacing w:after="0"/>
              <w:rPr>
                <w:sz w:val="20"/>
                <w:szCs w:val="20"/>
                <w:color w:val="auto"/>
              </w:rPr>
            </w:pPr>
            <w:r>
              <w:rPr>
                <w:rFonts w:ascii="Arial" w:cs="Arial" w:eastAsia="Arial" w:hAnsi="Arial"/>
                <w:sz w:val="17"/>
                <w:szCs w:val="17"/>
                <w:color w:val="auto"/>
              </w:rPr>
              <w:t>in</w:t>
            </w:r>
          </w:p>
        </w:tc>
        <w:tc>
          <w:tcPr>
            <w:tcW w:w="580" w:type="dxa"/>
            <w:vAlign w:val="bottom"/>
          </w:tcPr>
          <w:p>
            <w:pPr>
              <w:ind w:left="60"/>
              <w:spacing w:after="0"/>
              <w:rPr>
                <w:sz w:val="20"/>
                <w:szCs w:val="20"/>
                <w:color w:val="auto"/>
              </w:rPr>
            </w:pPr>
            <w:r>
              <w:rPr>
                <w:rFonts w:ascii="Arial" w:cs="Arial" w:eastAsia="Arial" w:hAnsi="Arial"/>
                <w:sz w:val="17"/>
                <w:szCs w:val="17"/>
                <w:color w:val="auto"/>
              </w:rPr>
              <w:t>Bezug</w:t>
            </w:r>
          </w:p>
        </w:tc>
        <w:tc>
          <w:tcPr>
            <w:tcW w:w="1620" w:type="dxa"/>
            <w:vAlign w:val="bottom"/>
            <w:gridSpan w:val="3"/>
          </w:tcPr>
          <w:p>
            <w:pPr>
              <w:jc w:val="right"/>
              <w:spacing w:after="0"/>
              <w:rPr>
                <w:sz w:val="20"/>
                <w:szCs w:val="20"/>
                <w:color w:val="auto"/>
              </w:rPr>
            </w:pPr>
            <w:r>
              <w:rPr>
                <w:rFonts w:ascii="Arial" w:cs="Arial" w:eastAsia="Arial" w:hAnsi="Arial"/>
                <w:sz w:val="17"/>
                <w:szCs w:val="17"/>
                <w:color w:val="auto"/>
              </w:rPr>
              <w:t>auf die maximalen</w:t>
            </w:r>
          </w:p>
        </w:tc>
        <w:tc>
          <w:tcPr>
            <w:tcW w:w="100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4240" w:type="dxa"/>
            <w:vAlign w:val="bottom"/>
          </w:tcPr>
          <w:p>
            <w:pPr>
              <w:ind w:left="280"/>
              <w:spacing w:after="0"/>
              <w:rPr>
                <w:sz w:val="20"/>
                <w:szCs w:val="20"/>
                <w:color w:val="auto"/>
              </w:rPr>
            </w:pPr>
            <w:r>
              <w:rPr>
                <w:rFonts w:ascii="Arial" w:cs="Arial" w:eastAsia="Arial" w:hAnsi="Arial"/>
                <w:sz w:val="17"/>
                <w:szCs w:val="17"/>
                <w:color w:val="auto"/>
              </w:rPr>
              <w:t>the proposals of the board of directors in relation to</w:t>
            </w:r>
          </w:p>
        </w:tc>
      </w:tr>
      <w:tr>
        <w:trPr>
          <w:trHeight w:val="241"/>
        </w:trPr>
        <w:tc>
          <w:tcPr>
            <w:tcW w:w="1220" w:type="dxa"/>
            <w:vAlign w:val="bottom"/>
          </w:tcPr>
          <w:p>
            <w:pPr>
              <w:spacing w:after="0"/>
              <w:rPr>
                <w:sz w:val="20"/>
                <w:szCs w:val="20"/>
                <w:color w:val="auto"/>
              </w:rPr>
            </w:pPr>
          </w:p>
        </w:tc>
        <w:tc>
          <w:tcPr>
            <w:tcW w:w="1760" w:type="dxa"/>
            <w:vAlign w:val="bottom"/>
            <w:gridSpan w:val="4"/>
          </w:tcPr>
          <w:p>
            <w:pPr>
              <w:ind w:left="80"/>
              <w:spacing w:after="0"/>
              <w:rPr>
                <w:sz w:val="20"/>
                <w:szCs w:val="20"/>
                <w:color w:val="auto"/>
              </w:rPr>
            </w:pPr>
            <w:r>
              <w:rPr>
                <w:rFonts w:ascii="Arial" w:cs="Arial" w:eastAsia="Arial" w:hAnsi="Arial"/>
                <w:sz w:val="17"/>
                <w:szCs w:val="17"/>
                <w:color w:val="auto"/>
              </w:rPr>
              <w:t>Gesamtbeträge der</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ind w:left="280"/>
              <w:spacing w:after="0"/>
              <w:rPr>
                <w:sz w:val="20"/>
                <w:szCs w:val="20"/>
                <w:color w:val="auto"/>
              </w:rPr>
            </w:pPr>
            <w:r>
              <w:rPr>
                <w:rFonts w:ascii="Arial" w:cs="Arial" w:eastAsia="Arial" w:hAnsi="Arial"/>
                <w:sz w:val="17"/>
                <w:szCs w:val="17"/>
                <w:color w:val="auto"/>
              </w:rPr>
              <w:t>the maximum aggregate amounts of:</w:t>
            </w:r>
          </w:p>
        </w:tc>
      </w:tr>
      <w:tr>
        <w:trPr>
          <w:trHeight w:val="279"/>
        </w:trPr>
        <w:tc>
          <w:tcPr>
            <w:tcW w:w="12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7"/>
                <w:szCs w:val="17"/>
                <w:color w:val="auto"/>
              </w:rPr>
              <w:t>(a)</w:t>
            </w:r>
          </w:p>
        </w:tc>
        <w:tc>
          <w:tcPr>
            <w:tcW w:w="860" w:type="dxa"/>
            <w:vAlign w:val="bottom"/>
            <w:gridSpan w:val="2"/>
          </w:tcPr>
          <w:p>
            <w:pPr>
              <w:ind w:left="80"/>
              <w:spacing w:after="0"/>
              <w:rPr>
                <w:sz w:val="20"/>
                <w:szCs w:val="20"/>
                <w:color w:val="auto"/>
              </w:rPr>
            </w:pPr>
            <w:r>
              <w:rPr>
                <w:rFonts w:ascii="Arial" w:cs="Arial" w:eastAsia="Arial" w:hAnsi="Arial"/>
                <w:sz w:val="17"/>
                <w:szCs w:val="17"/>
                <w:color w:val="auto"/>
                <w:w w:val="96"/>
              </w:rPr>
              <w:t>Vergütung</w:t>
            </w:r>
          </w:p>
        </w:tc>
        <w:tc>
          <w:tcPr>
            <w:tcW w:w="500" w:type="dxa"/>
            <w:vAlign w:val="bottom"/>
          </w:tcPr>
          <w:p>
            <w:pPr>
              <w:ind w:left="220"/>
              <w:spacing w:after="0"/>
              <w:rPr>
                <w:sz w:val="20"/>
                <w:szCs w:val="20"/>
                <w:color w:val="auto"/>
              </w:rPr>
            </w:pPr>
            <w:r>
              <w:rPr>
                <w:rFonts w:ascii="Arial" w:cs="Arial" w:eastAsia="Arial" w:hAnsi="Arial"/>
                <w:sz w:val="17"/>
                <w:szCs w:val="17"/>
                <w:color w:val="auto"/>
                <w:w w:val="94"/>
              </w:rPr>
              <w:t>des</w:t>
            </w:r>
          </w:p>
        </w:tc>
        <w:tc>
          <w:tcPr>
            <w:tcW w:w="2360" w:type="dxa"/>
            <w:vAlign w:val="bottom"/>
            <w:gridSpan w:val="5"/>
          </w:tcPr>
          <w:p>
            <w:pPr>
              <w:jc w:val="right"/>
              <w:spacing w:after="0"/>
              <w:rPr>
                <w:sz w:val="20"/>
                <w:szCs w:val="20"/>
                <w:color w:val="auto"/>
              </w:rPr>
            </w:pPr>
            <w:r>
              <w:rPr>
                <w:rFonts w:ascii="Arial" w:cs="Arial" w:eastAsia="Arial" w:hAnsi="Arial"/>
                <w:sz w:val="17"/>
                <w:szCs w:val="17"/>
                <w:color w:val="auto"/>
              </w:rPr>
              <w:t>Verwaltungsrats   für   die</w:t>
            </w:r>
          </w:p>
        </w:tc>
        <w:tc>
          <w:tcPr>
            <w:tcW w:w="10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(a)  the compensation of the board of directors for</w:t>
            </w:r>
          </w:p>
        </w:tc>
      </w:tr>
      <w:tr>
        <w:trPr>
          <w:trHeight w:val="241"/>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gridSpan w:val="6"/>
          </w:tcPr>
          <w:p>
            <w:pPr>
              <w:ind w:left="100"/>
              <w:spacing w:after="0"/>
              <w:rPr>
                <w:sz w:val="20"/>
                <w:szCs w:val="20"/>
                <w:color w:val="auto"/>
              </w:rPr>
            </w:pPr>
            <w:r>
              <w:rPr>
                <w:rFonts w:ascii="Arial" w:cs="Arial" w:eastAsia="Arial" w:hAnsi="Arial"/>
                <w:sz w:val="17"/>
                <w:szCs w:val="17"/>
                <w:color w:val="auto"/>
              </w:rPr>
              <w:t>kommende Amtsdauer; und</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ind w:left="700"/>
              <w:spacing w:after="0"/>
              <w:rPr>
                <w:sz w:val="20"/>
                <w:szCs w:val="20"/>
                <w:color w:val="auto"/>
              </w:rPr>
            </w:pPr>
            <w:r>
              <w:rPr>
                <w:rFonts w:ascii="Arial" w:cs="Arial" w:eastAsia="Arial" w:hAnsi="Arial"/>
                <w:sz w:val="17"/>
                <w:szCs w:val="17"/>
                <w:color w:val="auto"/>
              </w:rPr>
              <w:t>the next term of office; and</w:t>
            </w:r>
          </w:p>
        </w:tc>
      </w:tr>
      <w:tr>
        <w:trPr>
          <w:trHeight w:val="279"/>
        </w:trPr>
        <w:tc>
          <w:tcPr>
            <w:tcW w:w="12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7"/>
                <w:szCs w:val="17"/>
                <w:color w:val="auto"/>
              </w:rPr>
              <w:t>(b)</w:t>
            </w:r>
          </w:p>
        </w:tc>
        <w:tc>
          <w:tcPr>
            <w:tcW w:w="380" w:type="dxa"/>
            <w:vAlign w:val="bottom"/>
          </w:tcPr>
          <w:p>
            <w:pPr>
              <w:ind w:left="80"/>
              <w:spacing w:after="0"/>
              <w:rPr>
                <w:sz w:val="20"/>
                <w:szCs w:val="20"/>
                <w:color w:val="auto"/>
              </w:rPr>
            </w:pPr>
            <w:r>
              <w:rPr>
                <w:rFonts w:ascii="Arial" w:cs="Arial" w:eastAsia="Arial" w:hAnsi="Arial"/>
                <w:sz w:val="17"/>
                <w:szCs w:val="17"/>
                <w:color w:val="auto"/>
              </w:rPr>
              <w:t>der</w:t>
            </w:r>
          </w:p>
        </w:tc>
        <w:tc>
          <w:tcPr>
            <w:tcW w:w="480" w:type="dxa"/>
            <w:vAlign w:val="bottom"/>
          </w:tcPr>
          <w:p>
            <w:pPr>
              <w:ind w:left="40"/>
              <w:spacing w:after="0"/>
              <w:rPr>
                <w:sz w:val="20"/>
                <w:szCs w:val="20"/>
                <w:color w:val="auto"/>
              </w:rPr>
            </w:pPr>
            <w:r>
              <w:rPr>
                <w:rFonts w:ascii="Arial" w:cs="Arial" w:eastAsia="Arial" w:hAnsi="Arial"/>
                <w:sz w:val="17"/>
                <w:szCs w:val="17"/>
                <w:color w:val="auto"/>
              </w:rPr>
              <w:t>fixen</w:t>
            </w:r>
          </w:p>
        </w:tc>
        <w:tc>
          <w:tcPr>
            <w:tcW w:w="2860" w:type="dxa"/>
            <w:vAlign w:val="bottom"/>
            <w:gridSpan w:val="6"/>
          </w:tcPr>
          <w:p>
            <w:pPr>
              <w:jc w:val="right"/>
              <w:spacing w:after="0"/>
              <w:rPr>
                <w:sz w:val="20"/>
                <w:szCs w:val="20"/>
                <w:color w:val="auto"/>
              </w:rPr>
            </w:pPr>
            <w:r>
              <w:rPr>
                <w:rFonts w:ascii="Arial" w:cs="Arial" w:eastAsia="Arial" w:hAnsi="Arial"/>
                <w:sz w:val="17"/>
                <w:szCs w:val="17"/>
                <w:color w:val="auto"/>
              </w:rPr>
              <w:t>Vergütung der Geschäftsleitung für</w:t>
            </w:r>
          </w:p>
        </w:tc>
        <w:tc>
          <w:tcPr>
            <w:tcW w:w="10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(b)  of the fixed compensation of the executive</w:t>
            </w:r>
          </w:p>
        </w:tc>
      </w:tr>
      <w:tr>
        <w:trPr>
          <w:trHeight w:val="241"/>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gridSpan w:val="8"/>
          </w:tcPr>
          <w:p>
            <w:pPr>
              <w:ind w:left="100"/>
              <w:spacing w:after="0"/>
              <w:rPr>
                <w:sz w:val="20"/>
                <w:szCs w:val="20"/>
                <w:color w:val="auto"/>
              </w:rPr>
            </w:pPr>
            <w:r>
              <w:rPr>
                <w:rFonts w:ascii="Arial" w:cs="Arial" w:eastAsia="Arial" w:hAnsi="Arial"/>
                <w:sz w:val="17"/>
                <w:szCs w:val="17"/>
                <w:color w:val="auto"/>
              </w:rPr>
              <w:t>die Periode vom 1. Juli des laufenden bis zum</w:t>
            </w:r>
          </w:p>
        </w:tc>
        <w:tc>
          <w:tcPr>
            <w:tcW w:w="100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management for the period of July 1 of the</w:t>
            </w:r>
          </w:p>
        </w:tc>
      </w:tr>
      <w:tr>
        <w:trPr>
          <w:trHeight w:val="228"/>
        </w:trPr>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60" w:type="dxa"/>
            <w:vAlign w:val="bottom"/>
            <w:gridSpan w:val="6"/>
          </w:tcPr>
          <w:p>
            <w:pPr>
              <w:ind w:left="100"/>
              <w:spacing w:after="0"/>
              <w:rPr>
                <w:sz w:val="20"/>
                <w:szCs w:val="20"/>
                <w:color w:val="auto"/>
              </w:rPr>
            </w:pPr>
            <w:r>
              <w:rPr>
                <w:rFonts w:ascii="Arial" w:cs="Arial" w:eastAsia="Arial" w:hAnsi="Arial"/>
                <w:sz w:val="17"/>
                <w:szCs w:val="17"/>
                <w:color w:val="auto"/>
              </w:rPr>
              <w:t>30. Juni des folgenden Jahres; und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current year until June 30 of the following year;</w:t>
            </w:r>
          </w:p>
        </w:tc>
      </w:tr>
      <w:tr>
        <w:trPr>
          <w:trHeight w:val="291"/>
        </w:trPr>
        <w:tc>
          <w:tcPr>
            <w:tcW w:w="12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7"/>
                <w:szCs w:val="17"/>
                <w:color w:val="auto"/>
              </w:rPr>
              <w:t>(c)</w:t>
            </w:r>
          </w:p>
        </w:tc>
        <w:tc>
          <w:tcPr>
            <w:tcW w:w="380" w:type="dxa"/>
            <w:vAlign w:val="bottom"/>
          </w:tcPr>
          <w:p>
            <w:pPr>
              <w:ind w:left="80"/>
              <w:spacing w:after="0"/>
              <w:rPr>
                <w:sz w:val="20"/>
                <w:szCs w:val="20"/>
                <w:color w:val="auto"/>
              </w:rPr>
            </w:pPr>
            <w:r>
              <w:rPr>
                <w:rFonts w:ascii="Arial" w:cs="Arial" w:eastAsia="Arial" w:hAnsi="Arial"/>
                <w:sz w:val="17"/>
                <w:szCs w:val="17"/>
                <w:color w:val="auto"/>
              </w:rPr>
              <w:t>der</w:t>
            </w:r>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variablen</w:t>
            </w:r>
          </w:p>
        </w:tc>
        <w:tc>
          <w:tcPr>
            <w:tcW w:w="16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Vergütungselemente</w:t>
            </w:r>
          </w:p>
        </w:tc>
        <w:tc>
          <w:tcPr>
            <w:tcW w:w="460" w:type="dxa"/>
            <w:vAlign w:val="bottom"/>
          </w:tcPr>
          <w:p>
            <w:pPr>
              <w:jc w:val="right"/>
              <w:spacing w:after="0"/>
              <w:rPr>
                <w:sz w:val="20"/>
                <w:szCs w:val="20"/>
                <w:color w:val="auto"/>
              </w:rPr>
            </w:pPr>
            <w:r>
              <w:rPr>
                <w:rFonts w:ascii="Arial" w:cs="Arial" w:eastAsia="Arial" w:hAnsi="Arial"/>
                <w:sz w:val="17"/>
                <w:szCs w:val="17"/>
                <w:color w:val="auto"/>
              </w:rPr>
              <w:t>der</w:t>
            </w:r>
          </w:p>
        </w:tc>
        <w:tc>
          <w:tcPr>
            <w:tcW w:w="1000" w:type="dxa"/>
            <w:vAlign w:val="bottom"/>
          </w:tcPr>
          <w:p>
            <w:pPr>
              <w:spacing w:after="0"/>
              <w:rPr>
                <w:sz w:val="24"/>
                <w:szCs w:val="24"/>
                <w:color w:val="auto"/>
              </w:rPr>
            </w:pPr>
          </w:p>
        </w:tc>
        <w:tc>
          <w:tcPr>
            <w:tcW w:w="4240" w:type="dxa"/>
            <w:vAlign w:val="bottom"/>
          </w:tcPr>
          <w:p>
            <w:pPr>
              <w:ind w:left="700"/>
              <w:spacing w:after="0"/>
              <w:rPr>
                <w:sz w:val="20"/>
                <w:szCs w:val="20"/>
                <w:color w:val="auto"/>
              </w:rPr>
            </w:pPr>
            <w:r>
              <w:rPr>
                <w:rFonts w:ascii="Arial" w:cs="Arial" w:eastAsia="Arial" w:hAnsi="Arial"/>
                <w:sz w:val="17"/>
                <w:szCs w:val="17"/>
                <w:color w:val="auto"/>
              </w:rPr>
              <w:t>and</w:t>
            </w:r>
          </w:p>
        </w:tc>
      </w:tr>
      <w:tr>
        <w:trPr>
          <w:trHeight w:val="228"/>
        </w:trPr>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ind w:left="100"/>
              <w:spacing w:after="0"/>
              <w:rPr>
                <w:sz w:val="20"/>
                <w:szCs w:val="20"/>
                <w:color w:val="auto"/>
              </w:rPr>
            </w:pPr>
            <w:r>
              <w:rPr>
                <w:rFonts w:ascii="Arial" w:cs="Arial" w:eastAsia="Arial" w:hAnsi="Arial"/>
                <w:sz w:val="17"/>
                <w:szCs w:val="17"/>
                <w:color w:val="auto"/>
                <w:w w:val="97"/>
              </w:rPr>
              <w:t>Geschäftsleitung</w:t>
            </w:r>
          </w:p>
        </w:tc>
        <w:tc>
          <w:tcPr>
            <w:tcW w:w="160" w:type="dxa"/>
            <w:vAlign w:val="bottom"/>
          </w:tcPr>
          <w:p>
            <w:pPr>
              <w:spacing w:after="0"/>
              <w:rPr>
                <w:sz w:val="19"/>
                <w:szCs w:val="19"/>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für</w:t>
            </w:r>
          </w:p>
        </w:tc>
        <w:tc>
          <w:tcPr>
            <w:tcW w:w="860" w:type="dxa"/>
            <w:vAlign w:val="bottom"/>
          </w:tcPr>
          <w:p>
            <w:pPr>
              <w:ind w:left="220"/>
              <w:spacing w:after="0"/>
              <w:rPr>
                <w:sz w:val="20"/>
                <w:szCs w:val="20"/>
                <w:color w:val="auto"/>
              </w:rPr>
            </w:pPr>
            <w:r>
              <w:rPr>
                <w:rFonts w:ascii="Arial" w:cs="Arial" w:eastAsia="Arial" w:hAnsi="Arial"/>
                <w:sz w:val="17"/>
                <w:szCs w:val="17"/>
                <w:color w:val="auto"/>
              </w:rPr>
              <w:t>das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laufende</w:t>
            </w:r>
          </w:p>
        </w:tc>
        <w:tc>
          <w:tcPr>
            <w:tcW w:w="100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(c)   of the variable compensation elements of the</w:t>
            </w:r>
          </w:p>
        </w:tc>
      </w:tr>
      <w:tr>
        <w:trPr>
          <w:trHeight w:val="241"/>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7"/>
                <w:szCs w:val="17"/>
                <w:color w:val="auto"/>
              </w:rPr>
              <w:t>Geschäftsjahr.</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executive management for the current financial</w:t>
            </w:r>
          </w:p>
        </w:tc>
      </w:tr>
      <w:tr>
        <w:trPr>
          <w:trHeight w:val="241"/>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tcPr>
          <w:p>
            <w:pPr>
              <w:ind w:left="700"/>
              <w:spacing w:after="0"/>
              <w:rPr>
                <w:sz w:val="20"/>
                <w:szCs w:val="20"/>
                <w:color w:val="auto"/>
              </w:rPr>
            </w:pPr>
            <w:r>
              <w:rPr>
                <w:rFonts w:ascii="Arial" w:cs="Arial" w:eastAsia="Arial" w:hAnsi="Arial"/>
                <w:sz w:val="17"/>
                <w:szCs w:val="17"/>
                <w:color w:val="auto"/>
              </w:rPr>
              <w:t>year.</w:t>
            </w:r>
          </w:p>
        </w:tc>
      </w:tr>
    </w:tbl>
    <w:p>
      <w:pPr>
        <w:spacing w:after="0" w:line="157" w:lineRule="exact"/>
        <w:rPr>
          <w:sz w:val="20"/>
          <w:szCs w:val="20"/>
          <w:color w:val="auto"/>
        </w:rPr>
      </w:pPr>
    </w:p>
    <w:p>
      <w:pPr>
        <w:sectPr>
          <w:pgSz w:w="11900" w:h="16838" w:orient="portrait"/>
          <w:cols w:equalWidth="0" w:num="1">
            <w:col w:w="10580"/>
          </w:cols>
          <w:pgMar w:left="360" w:top="132" w:right="959" w:bottom="1440" w:gutter="0" w:footer="0" w:header="0"/>
        </w:sectPr>
      </w:pPr>
    </w:p>
    <w:p>
      <w:pPr>
        <w:jc w:val="both"/>
        <w:ind w:left="1300" w:right="396" w:hanging="243"/>
        <w:spacing w:after="0" w:line="287" w:lineRule="auto"/>
        <w:tabs>
          <w:tab w:leader="none" w:pos="1300" w:val="left"/>
        </w:tabs>
        <w:numPr>
          <w:ilvl w:val="0"/>
          <w:numId w:val="179"/>
        </w:numPr>
        <w:rPr>
          <w:rFonts w:ascii="Arial" w:cs="Arial" w:eastAsia="Arial" w:hAnsi="Arial"/>
          <w:sz w:val="13"/>
          <w:szCs w:val="13"/>
          <w:color w:val="auto"/>
        </w:rPr>
      </w:pPr>
      <w:r>
        <w:rPr>
          <w:rFonts w:ascii="Arial" w:cs="Arial" w:eastAsia="Arial" w:hAnsi="Arial"/>
          <w:sz w:val="17"/>
          <w:szCs w:val="17"/>
          <w:color w:val="auto"/>
        </w:rPr>
        <w:t>Der Verwaltungsrat kann der Generalversammlung abweichende, zusätzliche oder bedingte Anträge in</w:t>
      </w:r>
    </w:p>
    <w:p>
      <w:pPr>
        <w:spacing w:after="0" w:line="1" w:lineRule="exact"/>
        <w:rPr>
          <w:rFonts w:ascii="Arial" w:cs="Arial" w:eastAsia="Arial" w:hAnsi="Arial"/>
          <w:sz w:val="13"/>
          <w:szCs w:val="13"/>
          <w:color w:val="auto"/>
        </w:rPr>
      </w:pPr>
    </w:p>
    <w:p>
      <w:pPr>
        <w:jc w:val="both"/>
        <w:ind w:left="1300" w:right="396"/>
        <w:spacing w:after="0" w:line="287" w:lineRule="auto"/>
        <w:rPr>
          <w:rFonts w:ascii="Arial" w:cs="Arial" w:eastAsia="Arial" w:hAnsi="Arial"/>
          <w:sz w:val="13"/>
          <w:szCs w:val="13"/>
          <w:color w:val="auto"/>
        </w:rPr>
      </w:pPr>
      <w:r>
        <w:rPr>
          <w:rFonts w:ascii="Arial" w:cs="Arial" w:eastAsia="Arial" w:hAnsi="Arial"/>
          <w:sz w:val="17"/>
          <w:szCs w:val="17"/>
          <w:color w:val="auto"/>
        </w:rPr>
        <w:t>Bezug auf die maximalen Gesamtbeträge, mehrere maximale Teilbeträge für die gleichen oder andere</w:t>
      </w:r>
    </w:p>
    <w:p>
      <w:pPr>
        <w:spacing w:after="0" w:line="1" w:lineRule="exact"/>
        <w:rPr>
          <w:rFonts w:ascii="Arial" w:cs="Arial" w:eastAsia="Arial" w:hAnsi="Arial"/>
          <w:sz w:val="13"/>
          <w:szCs w:val="13"/>
          <w:color w:val="auto"/>
        </w:rPr>
      </w:pPr>
    </w:p>
    <w:p>
      <w:pPr>
        <w:jc w:val="both"/>
        <w:ind w:left="1300" w:right="396"/>
        <w:spacing w:after="0" w:line="304" w:lineRule="auto"/>
        <w:rPr>
          <w:rFonts w:ascii="Arial" w:cs="Arial" w:eastAsia="Arial" w:hAnsi="Arial"/>
          <w:sz w:val="13"/>
          <w:szCs w:val="13"/>
          <w:color w:val="auto"/>
        </w:rPr>
      </w:pPr>
      <w:r>
        <w:rPr>
          <w:rFonts w:ascii="Arial" w:cs="Arial" w:eastAsia="Arial" w:hAnsi="Arial"/>
          <w:sz w:val="17"/>
          <w:szCs w:val="17"/>
          <w:color w:val="auto"/>
        </w:rPr>
        <w:t>Zeitperioden und/oder einzelne Vergütungselemente und/oder in Bezug auf Zusatzbeträge für besondere Vergütungselemente zur Genehmigung vorlegen.</w:t>
      </w:r>
    </w:p>
    <w:p>
      <w:pPr>
        <w:spacing w:after="0" w:line="346" w:lineRule="exact"/>
        <w:rPr>
          <w:sz w:val="20"/>
          <w:szCs w:val="20"/>
          <w:color w:val="auto"/>
        </w:rPr>
      </w:pPr>
    </w:p>
    <w:p>
      <w:pPr>
        <w:jc w:val="both"/>
        <w:ind w:left="1300" w:right="396" w:hanging="243"/>
        <w:spacing w:after="0" w:line="304" w:lineRule="auto"/>
        <w:tabs>
          <w:tab w:leader="none" w:pos="1300" w:val="left"/>
        </w:tabs>
        <w:numPr>
          <w:ilvl w:val="0"/>
          <w:numId w:val="180"/>
        </w:numPr>
        <w:rPr>
          <w:rFonts w:ascii="Arial" w:cs="Arial" w:eastAsia="Arial" w:hAnsi="Arial"/>
          <w:sz w:val="13"/>
          <w:szCs w:val="13"/>
          <w:color w:val="auto"/>
        </w:rPr>
      </w:pPr>
      <w:r>
        <w:rPr>
          <w:rFonts w:ascii="Arial" w:cs="Arial" w:eastAsia="Arial" w:hAnsi="Arial"/>
          <w:sz w:val="17"/>
          <w:szCs w:val="17"/>
          <w:color w:val="auto"/>
        </w:rPr>
        <w:t>Die Vergütung kann vor der Genehmigung durch die Generalversammlung unter Vorbehalt der nachträglichen Genehmigung ausgerichtet werden.</w:t>
      </w:r>
    </w:p>
    <w:p>
      <w:pPr>
        <w:spacing w:after="0" w:line="118" w:lineRule="exact"/>
        <w:rPr>
          <w:sz w:val="20"/>
          <w:szCs w:val="20"/>
          <w:color w:val="auto"/>
        </w:rPr>
      </w:pPr>
    </w:p>
    <w:p>
      <w:pPr>
        <w:jc w:val="both"/>
        <w:ind w:left="1300" w:right="396" w:hanging="243"/>
        <w:spacing w:after="0" w:line="287" w:lineRule="auto"/>
        <w:tabs>
          <w:tab w:leader="none" w:pos="1300" w:val="left"/>
        </w:tabs>
        <w:numPr>
          <w:ilvl w:val="0"/>
          <w:numId w:val="181"/>
        </w:numPr>
        <w:rPr>
          <w:rFonts w:ascii="Arial" w:cs="Arial" w:eastAsia="Arial" w:hAnsi="Arial"/>
          <w:sz w:val="13"/>
          <w:szCs w:val="13"/>
          <w:color w:val="auto"/>
        </w:rPr>
      </w:pPr>
      <w:r>
        <w:rPr>
          <w:rFonts w:ascii="Arial" w:cs="Arial" w:eastAsia="Arial" w:hAnsi="Arial"/>
          <w:sz w:val="17"/>
          <w:szCs w:val="17"/>
          <w:color w:val="auto"/>
        </w:rPr>
        <w:t>Genehmigt die Generalversammlung einen Antrag des Verwaltungsrats nicht, setzt der Verwaltungsrat</w:t>
      </w:r>
    </w:p>
    <w:p>
      <w:pPr>
        <w:spacing w:after="0" w:line="1" w:lineRule="exact"/>
        <w:rPr>
          <w:rFonts w:ascii="Arial" w:cs="Arial" w:eastAsia="Arial" w:hAnsi="Arial"/>
          <w:sz w:val="13"/>
          <w:szCs w:val="13"/>
          <w:color w:val="auto"/>
        </w:rPr>
      </w:pPr>
    </w:p>
    <w:p>
      <w:pPr>
        <w:jc w:val="both"/>
        <w:ind w:left="1300" w:right="396"/>
        <w:spacing w:after="0" w:line="287" w:lineRule="auto"/>
        <w:rPr>
          <w:rFonts w:ascii="Arial" w:cs="Arial" w:eastAsia="Arial" w:hAnsi="Arial"/>
          <w:sz w:val="13"/>
          <w:szCs w:val="13"/>
          <w:color w:val="auto"/>
        </w:rPr>
      </w:pPr>
      <w:r>
        <w:rPr>
          <w:rFonts w:ascii="Arial" w:cs="Arial" w:eastAsia="Arial" w:hAnsi="Arial"/>
          <w:sz w:val="17"/>
          <w:szCs w:val="17"/>
          <w:color w:val="auto"/>
        </w:rPr>
        <w:t>den entsprechenden (maximalen) Gesamtbetrag oder (maximale) Teilbeträge unter Berücksichtigung</w:t>
      </w:r>
    </w:p>
    <w:p>
      <w:pPr>
        <w:spacing w:after="0" w:line="1" w:lineRule="exact"/>
        <w:rPr>
          <w:rFonts w:ascii="Arial" w:cs="Arial" w:eastAsia="Arial" w:hAnsi="Arial"/>
          <w:sz w:val="13"/>
          <w:szCs w:val="13"/>
          <w:color w:val="auto"/>
        </w:rPr>
      </w:pPr>
    </w:p>
    <w:p>
      <w:pPr>
        <w:jc w:val="both"/>
        <w:ind w:left="1300" w:right="396"/>
        <w:spacing w:after="0" w:line="287" w:lineRule="auto"/>
        <w:rPr>
          <w:rFonts w:ascii="Arial" w:cs="Arial" w:eastAsia="Arial" w:hAnsi="Arial"/>
          <w:sz w:val="13"/>
          <w:szCs w:val="13"/>
          <w:color w:val="auto"/>
        </w:rPr>
      </w:pPr>
      <w:r>
        <w:rPr>
          <w:rFonts w:ascii="Arial" w:cs="Arial" w:eastAsia="Arial" w:hAnsi="Arial"/>
          <w:sz w:val="17"/>
          <w:szCs w:val="17"/>
          <w:color w:val="auto"/>
        </w:rPr>
        <w:t>aller relevanten Faktoren neu fest und unterbreitet den oder die so festgesetzten Beträge der gleichen</w:t>
      </w:r>
    </w:p>
    <w:p>
      <w:pPr>
        <w:spacing w:after="0" w:line="1" w:lineRule="exact"/>
        <w:rPr>
          <w:rFonts w:ascii="Arial" w:cs="Arial" w:eastAsia="Arial" w:hAnsi="Arial"/>
          <w:sz w:val="13"/>
          <w:szCs w:val="13"/>
          <w:color w:val="auto"/>
        </w:rPr>
      </w:pPr>
    </w:p>
    <w:p>
      <w:pPr>
        <w:jc w:val="both"/>
        <w:ind w:left="1300" w:right="396"/>
        <w:spacing w:after="0" w:line="287" w:lineRule="auto"/>
        <w:rPr>
          <w:rFonts w:ascii="Arial" w:cs="Arial" w:eastAsia="Arial" w:hAnsi="Arial"/>
          <w:sz w:val="13"/>
          <w:szCs w:val="13"/>
          <w:color w:val="auto"/>
        </w:rPr>
      </w:pPr>
      <w:r>
        <w:rPr>
          <w:rFonts w:ascii="Arial" w:cs="Arial" w:eastAsia="Arial" w:hAnsi="Arial"/>
          <w:sz w:val="17"/>
          <w:szCs w:val="17"/>
          <w:color w:val="auto"/>
        </w:rPr>
        <w:t>Generalversammlung, einer ausserordentlichen Generalversammlung oder der nächsten</w:t>
      </w:r>
    </w:p>
    <w:p>
      <w:pPr>
        <w:spacing w:after="0" w:line="1" w:lineRule="exact"/>
        <w:rPr>
          <w:rFonts w:ascii="Arial" w:cs="Arial" w:eastAsia="Arial" w:hAnsi="Arial"/>
          <w:sz w:val="13"/>
          <w:szCs w:val="13"/>
          <w:color w:val="auto"/>
        </w:rPr>
      </w:pPr>
    </w:p>
    <w:p>
      <w:pPr>
        <w:ind w:left="1300" w:right="416"/>
        <w:spacing w:after="0" w:line="313" w:lineRule="auto"/>
        <w:rPr>
          <w:rFonts w:ascii="Arial" w:cs="Arial" w:eastAsia="Arial" w:hAnsi="Arial"/>
          <w:sz w:val="13"/>
          <w:szCs w:val="13"/>
          <w:color w:val="auto"/>
        </w:rPr>
      </w:pPr>
      <w:r>
        <w:rPr>
          <w:rFonts w:ascii="Arial" w:cs="Arial" w:eastAsia="Arial" w:hAnsi="Arial"/>
          <w:sz w:val="17"/>
          <w:szCs w:val="17"/>
          <w:color w:val="auto"/>
        </w:rPr>
        <w:t>ordentlichen Generalversammlung zur Genehmigung.</w:t>
      </w:r>
    </w:p>
    <w:p>
      <w:pPr>
        <w:spacing w:after="0" w:line="111" w:lineRule="exact"/>
        <w:rPr>
          <w:sz w:val="20"/>
          <w:szCs w:val="20"/>
          <w:color w:val="auto"/>
        </w:rPr>
      </w:pPr>
    </w:p>
    <w:p>
      <w:pPr>
        <w:jc w:val="both"/>
        <w:ind w:left="1300" w:right="396" w:hanging="243"/>
        <w:spacing w:after="0" w:line="305" w:lineRule="auto"/>
        <w:tabs>
          <w:tab w:leader="none" w:pos="1300" w:val="left"/>
        </w:tabs>
        <w:numPr>
          <w:ilvl w:val="0"/>
          <w:numId w:val="182"/>
        </w:numPr>
        <w:rPr>
          <w:rFonts w:ascii="Arial" w:cs="Arial" w:eastAsia="Arial" w:hAnsi="Arial"/>
          <w:sz w:val="13"/>
          <w:szCs w:val="13"/>
          <w:color w:val="auto"/>
        </w:rPr>
      </w:pPr>
      <w:r>
        <w:rPr>
          <w:rFonts w:ascii="Arial" w:cs="Arial" w:eastAsia="Arial" w:hAnsi="Arial"/>
          <w:sz w:val="16"/>
          <w:szCs w:val="16"/>
          <w:color w:val="auto"/>
        </w:rPr>
        <w:t>Werden variable Vergütungen prospektiv genehmigt, legt der Verwaltungsrat der Generalversammlung</w:t>
      </w:r>
    </w:p>
    <w:p>
      <w:pPr>
        <w:ind w:left="1300" w:right="396"/>
        <w:spacing w:after="0" w:line="313" w:lineRule="auto"/>
        <w:rPr>
          <w:rFonts w:ascii="Arial" w:cs="Arial" w:eastAsia="Arial" w:hAnsi="Arial"/>
          <w:sz w:val="13"/>
          <w:szCs w:val="13"/>
          <w:color w:val="auto"/>
        </w:rPr>
      </w:pPr>
      <w:r>
        <w:rPr>
          <w:rFonts w:ascii="Arial" w:cs="Arial" w:eastAsia="Arial" w:hAnsi="Arial"/>
          <w:sz w:val="17"/>
          <w:szCs w:val="17"/>
          <w:color w:val="auto"/>
        </w:rPr>
        <w:t>den Vergütungsbericht zur Konsultativabstimmung vor.</w:t>
      </w:r>
    </w:p>
    <w:p>
      <w:pPr>
        <w:spacing w:after="0" w:line="20" w:lineRule="exact"/>
        <w:rPr>
          <w:sz w:val="20"/>
          <w:szCs w:val="20"/>
          <w:color w:val="auto"/>
        </w:rPr>
      </w:pPr>
      <w:r>
        <w:rPr>
          <w:sz w:val="20"/>
          <w:szCs w:val="20"/>
          <w:color w:val="auto"/>
        </w:rPr>
        <w:br w:type="column"/>
      </w:r>
    </w:p>
    <w:p>
      <w:pPr>
        <w:jc w:val="both"/>
        <w:ind w:left="244" w:right="20" w:hanging="244"/>
        <w:spacing w:after="0" w:line="287" w:lineRule="auto"/>
        <w:tabs>
          <w:tab w:leader="none" w:pos="244" w:val="left"/>
        </w:tabs>
        <w:numPr>
          <w:ilvl w:val="0"/>
          <w:numId w:val="183"/>
        </w:numPr>
        <w:rPr>
          <w:rFonts w:ascii="Arial" w:cs="Arial" w:eastAsia="Arial" w:hAnsi="Arial"/>
          <w:sz w:val="13"/>
          <w:szCs w:val="13"/>
          <w:color w:val="auto"/>
        </w:rPr>
      </w:pPr>
      <w:r>
        <w:rPr>
          <w:rFonts w:ascii="Arial" w:cs="Arial" w:eastAsia="Arial" w:hAnsi="Arial"/>
          <w:sz w:val="17"/>
          <w:szCs w:val="17"/>
          <w:color w:val="auto"/>
        </w:rPr>
        <w:t>The board of directors may submit for approval by the general meeting of shareholders deviating,</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additional or conditional proposals relating to the maximum aggregate amount or maximum partial</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amounts for the same or different periods and/or specific compensation components and/or in relation</w:t>
      </w:r>
    </w:p>
    <w:p>
      <w:pPr>
        <w:spacing w:after="0" w:line="1" w:lineRule="exact"/>
        <w:rPr>
          <w:rFonts w:ascii="Arial" w:cs="Arial" w:eastAsia="Arial" w:hAnsi="Arial"/>
          <w:sz w:val="13"/>
          <w:szCs w:val="13"/>
          <w:color w:val="auto"/>
        </w:rPr>
      </w:pPr>
    </w:p>
    <w:p>
      <w:pPr>
        <w:ind w:left="244"/>
        <w:spacing w:after="0" w:line="313" w:lineRule="auto"/>
        <w:rPr>
          <w:rFonts w:ascii="Arial" w:cs="Arial" w:eastAsia="Arial" w:hAnsi="Arial"/>
          <w:sz w:val="13"/>
          <w:szCs w:val="13"/>
          <w:color w:val="auto"/>
        </w:rPr>
      </w:pPr>
      <w:r>
        <w:rPr>
          <w:rFonts w:ascii="Arial" w:cs="Arial" w:eastAsia="Arial" w:hAnsi="Arial"/>
          <w:sz w:val="17"/>
          <w:szCs w:val="17"/>
          <w:color w:val="auto"/>
        </w:rPr>
        <w:t>to additional amounts for specific compensation components.</w:t>
      </w:r>
    </w:p>
    <w:p>
      <w:pPr>
        <w:spacing w:after="0" w:line="111" w:lineRule="exact"/>
        <w:rPr>
          <w:sz w:val="20"/>
          <w:szCs w:val="20"/>
          <w:color w:val="auto"/>
        </w:rPr>
      </w:pPr>
    </w:p>
    <w:p>
      <w:pPr>
        <w:jc w:val="both"/>
        <w:ind w:left="244" w:hanging="244"/>
        <w:spacing w:after="0" w:line="304" w:lineRule="auto"/>
        <w:tabs>
          <w:tab w:leader="none" w:pos="244" w:val="left"/>
        </w:tabs>
        <w:numPr>
          <w:ilvl w:val="0"/>
          <w:numId w:val="184"/>
        </w:numPr>
        <w:rPr>
          <w:rFonts w:ascii="Arial" w:cs="Arial" w:eastAsia="Arial" w:hAnsi="Arial"/>
          <w:sz w:val="13"/>
          <w:szCs w:val="13"/>
          <w:color w:val="auto"/>
        </w:rPr>
      </w:pPr>
      <w:r>
        <w:rPr>
          <w:rFonts w:ascii="Arial" w:cs="Arial" w:eastAsia="Arial" w:hAnsi="Arial"/>
          <w:sz w:val="17"/>
          <w:szCs w:val="17"/>
          <w:color w:val="auto"/>
        </w:rPr>
        <w:t>Compensation may be paid out prior to approval by the general meeting of shareholders subject to subsequent approval.</w:t>
      </w:r>
    </w:p>
    <w:p>
      <w:pPr>
        <w:spacing w:after="0" w:line="118" w:lineRule="exact"/>
        <w:rPr>
          <w:sz w:val="20"/>
          <w:szCs w:val="20"/>
          <w:color w:val="auto"/>
        </w:rPr>
      </w:pPr>
    </w:p>
    <w:p>
      <w:pPr>
        <w:jc w:val="both"/>
        <w:ind w:left="244" w:hanging="244"/>
        <w:spacing w:after="0" w:line="287" w:lineRule="auto"/>
        <w:tabs>
          <w:tab w:leader="none" w:pos="244" w:val="left"/>
        </w:tabs>
        <w:numPr>
          <w:ilvl w:val="0"/>
          <w:numId w:val="185"/>
        </w:numPr>
        <w:rPr>
          <w:rFonts w:ascii="Arial" w:cs="Arial" w:eastAsia="Arial" w:hAnsi="Arial"/>
          <w:sz w:val="13"/>
          <w:szCs w:val="13"/>
          <w:color w:val="auto"/>
        </w:rPr>
      </w:pPr>
      <w:r>
        <w:rPr>
          <w:rFonts w:ascii="Arial" w:cs="Arial" w:eastAsia="Arial" w:hAnsi="Arial"/>
          <w:sz w:val="17"/>
          <w:szCs w:val="17"/>
          <w:color w:val="auto"/>
        </w:rPr>
        <w:t>If the general meeting of shareholders does not approve a proposal of the board of directors, the</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board of directors newly determines the maximum aggregate amount or maximum partial amounts</w:t>
      </w:r>
    </w:p>
    <w:p>
      <w:pPr>
        <w:spacing w:after="0" w:line="1" w:lineRule="exact"/>
        <w:rPr>
          <w:rFonts w:ascii="Arial" w:cs="Arial" w:eastAsia="Arial" w:hAnsi="Arial"/>
          <w:sz w:val="13"/>
          <w:szCs w:val="13"/>
          <w:color w:val="auto"/>
        </w:rPr>
      </w:pPr>
    </w:p>
    <w:p>
      <w:pPr>
        <w:jc w:val="both"/>
        <w:ind w:left="244"/>
        <w:spacing w:after="0" w:line="287" w:lineRule="auto"/>
        <w:rPr>
          <w:rFonts w:ascii="Arial" w:cs="Arial" w:eastAsia="Arial" w:hAnsi="Arial"/>
          <w:sz w:val="13"/>
          <w:szCs w:val="13"/>
          <w:color w:val="auto"/>
        </w:rPr>
      </w:pPr>
      <w:r>
        <w:rPr>
          <w:rFonts w:ascii="Arial" w:cs="Arial" w:eastAsia="Arial" w:hAnsi="Arial"/>
          <w:sz w:val="17"/>
          <w:szCs w:val="17"/>
          <w:color w:val="auto"/>
        </w:rPr>
        <w:t>taking into account all relevant factors and submits such amounts for approval to the same general</w:t>
      </w:r>
    </w:p>
    <w:p>
      <w:pPr>
        <w:spacing w:after="0" w:line="1" w:lineRule="exact"/>
        <w:rPr>
          <w:rFonts w:ascii="Arial" w:cs="Arial" w:eastAsia="Arial" w:hAnsi="Arial"/>
          <w:sz w:val="13"/>
          <w:szCs w:val="13"/>
          <w:color w:val="auto"/>
        </w:rPr>
      </w:pPr>
    </w:p>
    <w:p>
      <w:pPr>
        <w:jc w:val="both"/>
        <w:ind w:left="244"/>
        <w:spacing w:after="0" w:line="304" w:lineRule="auto"/>
        <w:rPr>
          <w:rFonts w:ascii="Arial" w:cs="Arial" w:eastAsia="Arial" w:hAnsi="Arial"/>
          <w:sz w:val="13"/>
          <w:szCs w:val="13"/>
          <w:color w:val="auto"/>
        </w:rPr>
      </w:pPr>
      <w:r>
        <w:rPr>
          <w:rFonts w:ascii="Arial" w:cs="Arial" w:eastAsia="Arial" w:hAnsi="Arial"/>
          <w:sz w:val="17"/>
          <w:szCs w:val="17"/>
          <w:color w:val="auto"/>
        </w:rPr>
        <w:t>meeting of shareholders, to an extraordinary general meeting of shareholders or to the next ordinary general meeting of shareholders.</w:t>
      </w:r>
    </w:p>
    <w:p>
      <w:pPr>
        <w:spacing w:after="0" w:line="346" w:lineRule="exact"/>
        <w:rPr>
          <w:sz w:val="20"/>
          <w:szCs w:val="20"/>
          <w:color w:val="auto"/>
        </w:rPr>
      </w:pPr>
    </w:p>
    <w:p>
      <w:pPr>
        <w:jc w:val="both"/>
        <w:ind w:left="244" w:hanging="244"/>
        <w:spacing w:after="0" w:line="287" w:lineRule="auto"/>
        <w:tabs>
          <w:tab w:leader="none" w:pos="244" w:val="left"/>
        </w:tabs>
        <w:numPr>
          <w:ilvl w:val="0"/>
          <w:numId w:val="186"/>
        </w:numPr>
        <w:rPr>
          <w:rFonts w:ascii="Arial" w:cs="Arial" w:eastAsia="Arial" w:hAnsi="Arial"/>
          <w:sz w:val="13"/>
          <w:szCs w:val="13"/>
          <w:color w:val="auto"/>
        </w:rPr>
      </w:pPr>
      <w:r>
        <w:rPr>
          <w:rFonts w:ascii="Arial" w:cs="Arial" w:eastAsia="Arial" w:hAnsi="Arial"/>
          <w:sz w:val="17"/>
          <w:szCs w:val="17"/>
          <w:color w:val="auto"/>
        </w:rPr>
        <w:t>If variable compensation is approved prospectively, the board of directors shall submit the compensation</w:t>
      </w:r>
    </w:p>
    <w:p>
      <w:pPr>
        <w:spacing w:after="0" w:line="1" w:lineRule="exact"/>
        <w:rPr>
          <w:rFonts w:ascii="Arial" w:cs="Arial" w:eastAsia="Arial" w:hAnsi="Arial"/>
          <w:sz w:val="13"/>
          <w:szCs w:val="13"/>
          <w:color w:val="auto"/>
        </w:rPr>
      </w:pPr>
    </w:p>
    <w:p>
      <w:pPr>
        <w:ind w:left="244" w:right="20"/>
        <w:spacing w:after="0" w:line="313" w:lineRule="auto"/>
        <w:rPr>
          <w:rFonts w:ascii="Arial" w:cs="Arial" w:eastAsia="Arial" w:hAnsi="Arial"/>
          <w:sz w:val="13"/>
          <w:szCs w:val="13"/>
          <w:color w:val="auto"/>
        </w:rPr>
      </w:pPr>
      <w:r>
        <w:rPr>
          <w:rFonts w:ascii="Arial" w:cs="Arial" w:eastAsia="Arial" w:hAnsi="Arial"/>
          <w:sz w:val="17"/>
          <w:szCs w:val="17"/>
          <w:color w:val="auto"/>
        </w:rPr>
        <w:t>report to the general meeting of shareholders for a consultative vote.</w:t>
      </w:r>
    </w:p>
    <w:p>
      <w:pPr>
        <w:sectPr>
          <w:pgSz w:w="11900" w:h="16838" w:orient="portrait"/>
          <w:cols w:equalWidth="0" w:num="2">
            <w:col w:w="5656" w:space="720"/>
            <w:col w:w="4204"/>
          </w:cols>
          <w:pgMar w:left="360" w:top="132" w:right="959" w:bottom="1440" w:gutter="0" w:footer="0" w:header="0"/>
          <w:type w:val="continuous"/>
        </w:sectPr>
      </w:pPr>
    </w:p>
    <w:bookmarkStart w:id="250" w:name="page251"/>
    <w:bookmarkEnd w:id="250"/>
    <w:p>
      <w:pPr>
        <w:ind w:left="5420"/>
        <w:spacing w:after="0"/>
        <w:rPr>
          <w:sz w:val="20"/>
          <w:szCs w:val="20"/>
          <w:color w:val="auto"/>
        </w:rPr>
      </w:pPr>
      <w:r>
        <w:rPr>
          <w:rFonts w:ascii="Arial" w:cs="Arial" w:eastAsia="Arial" w:hAnsi="Arial"/>
          <w:sz w:val="13"/>
          <w:szCs w:val="13"/>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Arial" w:cs="Arial" w:eastAsia="Arial" w:hAnsi="Arial"/>
                <w:sz w:val="17"/>
                <w:szCs w:val="17"/>
                <w:b w:val="1"/>
                <w:bCs w:val="1"/>
                <w:color w:val="auto"/>
              </w:rPr>
              <w:t>Artikel 29</w:t>
            </w:r>
          </w:p>
        </w:tc>
        <w:tc>
          <w:tcPr>
            <w:tcW w:w="4040" w:type="dxa"/>
            <w:vAlign w:val="bottom"/>
          </w:tcPr>
          <w:p>
            <w:pPr>
              <w:ind w:left="80"/>
              <w:spacing w:after="0"/>
              <w:rPr>
                <w:sz w:val="20"/>
                <w:szCs w:val="20"/>
                <w:color w:val="auto"/>
              </w:rPr>
            </w:pPr>
            <w:r>
              <w:rPr>
                <w:rFonts w:ascii="Arial" w:cs="Arial" w:eastAsia="Arial" w:hAnsi="Arial"/>
                <w:sz w:val="17"/>
                <w:szCs w:val="17"/>
                <w:b w:val="1"/>
                <w:bCs w:val="1"/>
                <w:color w:val="auto"/>
              </w:rPr>
              <w:t>Article 29</w:t>
            </w:r>
          </w:p>
        </w:tc>
      </w:tr>
      <w:tr>
        <w:trPr>
          <w:trHeight w:val="385"/>
        </w:trPr>
        <w:tc>
          <w:tcPr>
            <w:tcW w:w="920" w:type="dxa"/>
            <w:vAlign w:val="bottom"/>
          </w:tcPr>
          <w:p>
            <w:pPr>
              <w:spacing w:after="0"/>
              <w:rPr>
                <w:sz w:val="20"/>
                <w:szCs w:val="20"/>
                <w:color w:val="auto"/>
              </w:rPr>
            </w:pPr>
            <w:r>
              <w:rPr>
                <w:rFonts w:ascii="Arial" w:cs="Arial" w:eastAsia="Arial" w:hAnsi="Arial"/>
                <w:sz w:val="13"/>
                <w:szCs w:val="13"/>
                <w:color w:val="auto"/>
              </w:rPr>
              <w:t>Zusatzbetrag</w:t>
            </w:r>
          </w:p>
        </w:tc>
        <w:tc>
          <w:tcPr>
            <w:tcW w:w="5620" w:type="dxa"/>
            <w:vAlign w:val="bottom"/>
          </w:tcPr>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Gesellschaft   oder   von   ihr   kontrollierte</w:t>
            </w:r>
            <w:r>
              <w:rPr>
                <w:rFonts w:ascii="Arial" w:cs="Arial" w:eastAsia="Arial" w:hAnsi="Arial"/>
                <w:sz w:val="13"/>
                <w:szCs w:val="13"/>
                <w:color w:val="auto"/>
              </w:rPr>
              <w:t xml:space="preserve">  Supplementary 1</w:t>
            </w:r>
          </w:p>
        </w:tc>
        <w:tc>
          <w:tcPr>
            <w:tcW w:w="4040" w:type="dxa"/>
            <w:vAlign w:val="bottom"/>
          </w:tcPr>
          <w:p>
            <w:pPr>
              <w:ind w:left="80"/>
              <w:spacing w:after="0"/>
              <w:rPr>
                <w:sz w:val="20"/>
                <w:szCs w:val="20"/>
                <w:color w:val="auto"/>
              </w:rPr>
            </w:pPr>
            <w:r>
              <w:rPr>
                <w:rFonts w:ascii="Arial" w:cs="Arial" w:eastAsia="Arial" w:hAnsi="Arial"/>
                <w:sz w:val="17"/>
                <w:szCs w:val="17"/>
                <w:color w:val="auto"/>
              </w:rPr>
              <w:t>The Company or companies under its control shall</w:t>
            </w:r>
          </w:p>
        </w:tc>
      </w:tr>
      <w:tr>
        <w:trPr>
          <w:trHeight w:val="228"/>
        </w:trPr>
        <w:tc>
          <w:tcPr>
            <w:tcW w:w="9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 xml:space="preserve">Gesellschaften  sind  ermächtigt,  Mitgliedern  der  </w:t>
            </w:r>
            <w:r>
              <w:rPr>
                <w:rFonts w:ascii="Arial" w:cs="Arial" w:eastAsia="Arial" w:hAnsi="Arial"/>
                <w:sz w:val="13"/>
                <w:szCs w:val="13"/>
                <w:color w:val="auto"/>
              </w:rPr>
              <w:t>Amount</w:t>
            </w:r>
          </w:p>
        </w:tc>
        <w:tc>
          <w:tcPr>
            <w:tcW w:w="4040" w:type="dxa"/>
            <w:vAlign w:val="bottom"/>
          </w:tcPr>
          <w:p>
            <w:pPr>
              <w:ind w:left="80"/>
              <w:spacing w:after="0"/>
              <w:rPr>
                <w:sz w:val="20"/>
                <w:szCs w:val="20"/>
                <w:color w:val="auto"/>
              </w:rPr>
            </w:pPr>
            <w:r>
              <w:rPr>
                <w:rFonts w:ascii="Arial" w:cs="Arial" w:eastAsia="Arial" w:hAnsi="Arial"/>
                <w:sz w:val="17"/>
                <w:szCs w:val="17"/>
                <w:color w:val="auto"/>
              </w:rPr>
              <w:t>be authorized to pay a supplementary amount of</w:t>
            </w:r>
          </w:p>
        </w:tc>
      </w:tr>
      <w:tr>
        <w:trPr>
          <w:trHeight w:val="241"/>
        </w:trPr>
        <w:tc>
          <w:tcPr>
            <w:tcW w:w="92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Geschäftsleitung, die während einer Periode, für</w:t>
            </w:r>
          </w:p>
        </w:tc>
        <w:tc>
          <w:tcPr>
            <w:tcW w:w="4040" w:type="dxa"/>
            <w:vAlign w:val="bottom"/>
          </w:tcPr>
          <w:p>
            <w:pPr>
              <w:ind w:left="80"/>
              <w:spacing w:after="0"/>
              <w:rPr>
                <w:sz w:val="20"/>
                <w:szCs w:val="20"/>
                <w:color w:val="auto"/>
              </w:rPr>
            </w:pPr>
            <w:r>
              <w:rPr>
                <w:rFonts w:ascii="Arial" w:cs="Arial" w:eastAsia="Arial" w:hAnsi="Arial"/>
                <w:sz w:val="17"/>
                <w:szCs w:val="17"/>
                <w:color w:val="auto"/>
              </w:rPr>
              <w:t>compensation  ratified  by  the  shareholders  at  a</w:t>
            </w:r>
          </w:p>
        </w:tc>
      </w:tr>
      <w:tr>
        <w:trPr>
          <w:trHeight w:val="228"/>
        </w:trPr>
        <w:tc>
          <w:tcPr>
            <w:tcW w:w="9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welche die Vergütung der Geschäftsleitung bereits</w:t>
            </w:r>
          </w:p>
        </w:tc>
        <w:tc>
          <w:tcPr>
            <w:tcW w:w="4040" w:type="dxa"/>
            <w:vAlign w:val="bottom"/>
          </w:tcPr>
          <w:p>
            <w:pPr>
              <w:ind w:left="80"/>
              <w:spacing w:after="0"/>
              <w:rPr>
                <w:sz w:val="20"/>
                <w:szCs w:val="20"/>
                <w:color w:val="auto"/>
              </w:rPr>
            </w:pPr>
            <w:r>
              <w:rPr>
                <w:rFonts w:ascii="Arial" w:cs="Arial" w:eastAsia="Arial" w:hAnsi="Arial"/>
                <w:sz w:val="17"/>
                <w:szCs w:val="17"/>
                <w:color w:val="auto"/>
              </w:rPr>
              <w:t>general meeting of shareholders to members of the</w:t>
            </w:r>
          </w:p>
        </w:tc>
      </w:tr>
      <w:tr>
        <w:trPr>
          <w:trHeight w:val="241"/>
        </w:trPr>
        <w:tc>
          <w:tcPr>
            <w:tcW w:w="92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genehmigt ist, in die Geschäftsleitung eintreten oder</w:t>
            </w:r>
          </w:p>
        </w:tc>
        <w:tc>
          <w:tcPr>
            <w:tcW w:w="4040" w:type="dxa"/>
            <w:vAlign w:val="bottom"/>
          </w:tcPr>
          <w:p>
            <w:pPr>
              <w:ind w:left="80"/>
              <w:spacing w:after="0"/>
              <w:rPr>
                <w:sz w:val="20"/>
                <w:szCs w:val="20"/>
                <w:color w:val="auto"/>
              </w:rPr>
            </w:pPr>
            <w:r>
              <w:rPr>
                <w:rFonts w:ascii="Arial" w:cs="Arial" w:eastAsia="Arial" w:hAnsi="Arial"/>
                <w:sz w:val="17"/>
                <w:szCs w:val="17"/>
                <w:color w:val="auto"/>
              </w:rPr>
              <w:t>executive  management  who  joined  or  were</w:t>
            </w:r>
          </w:p>
        </w:tc>
      </w:tr>
      <w:tr>
        <w:trPr>
          <w:trHeight w:val="228"/>
        </w:trPr>
        <w:tc>
          <w:tcPr>
            <w:tcW w:w="9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befördert werden, einen Zusatzbetrag auszurichten,</w:t>
            </w:r>
          </w:p>
        </w:tc>
        <w:tc>
          <w:tcPr>
            <w:tcW w:w="4040" w:type="dxa"/>
            <w:vAlign w:val="bottom"/>
          </w:tcPr>
          <w:p>
            <w:pPr>
              <w:ind w:left="80"/>
              <w:spacing w:after="0"/>
              <w:rPr>
                <w:sz w:val="20"/>
                <w:szCs w:val="20"/>
                <w:color w:val="auto"/>
              </w:rPr>
            </w:pPr>
            <w:r>
              <w:rPr>
                <w:rFonts w:ascii="Arial" w:cs="Arial" w:eastAsia="Arial" w:hAnsi="Arial"/>
                <w:sz w:val="17"/>
                <w:szCs w:val="17"/>
                <w:color w:val="auto"/>
              </w:rPr>
              <w:t>promoted during a compensation period for which</w:t>
            </w:r>
          </w:p>
        </w:tc>
      </w:tr>
      <w:tr>
        <w:trPr>
          <w:trHeight w:val="241"/>
        </w:trPr>
        <w:tc>
          <w:tcPr>
            <w:tcW w:w="92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sofern  der  für  die  betreffende  Periode  bereits</w:t>
            </w:r>
          </w:p>
        </w:tc>
        <w:tc>
          <w:tcPr>
            <w:tcW w:w="4040" w:type="dxa"/>
            <w:vAlign w:val="bottom"/>
          </w:tcPr>
          <w:p>
            <w:pPr>
              <w:ind w:left="80"/>
              <w:spacing w:after="0"/>
              <w:rPr>
                <w:sz w:val="20"/>
                <w:szCs w:val="20"/>
                <w:color w:val="auto"/>
              </w:rPr>
            </w:pPr>
            <w:r>
              <w:rPr>
                <w:rFonts w:ascii="Arial" w:cs="Arial" w:eastAsia="Arial" w:hAnsi="Arial"/>
                <w:sz w:val="17"/>
                <w:szCs w:val="17"/>
                <w:color w:val="auto"/>
              </w:rPr>
              <w:t>the maximum aggregate amount of compensation</w:t>
            </w:r>
          </w:p>
        </w:tc>
      </w:tr>
      <w:tr>
        <w:trPr>
          <w:trHeight w:val="228"/>
        </w:trPr>
        <w:tc>
          <w:tcPr>
            <w:tcW w:w="920" w:type="dxa"/>
            <w:vAlign w:val="bottom"/>
          </w:tcPr>
          <w:p>
            <w:pPr>
              <w:spacing w:after="0"/>
              <w:rPr>
                <w:sz w:val="19"/>
                <w:szCs w:val="19"/>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genehmigte Gesamtbetrag für deren Vergütung nicht</w:t>
            </w:r>
          </w:p>
        </w:tc>
        <w:tc>
          <w:tcPr>
            <w:tcW w:w="4040" w:type="dxa"/>
            <w:vAlign w:val="bottom"/>
          </w:tcPr>
          <w:p>
            <w:pPr>
              <w:ind w:left="80"/>
              <w:spacing w:after="0"/>
              <w:rPr>
                <w:sz w:val="20"/>
                <w:szCs w:val="20"/>
                <w:color w:val="auto"/>
              </w:rPr>
            </w:pPr>
            <w:r>
              <w:rPr>
                <w:rFonts w:ascii="Arial" w:cs="Arial" w:eastAsia="Arial" w:hAnsi="Arial"/>
                <w:sz w:val="17"/>
                <w:szCs w:val="17"/>
                <w:color w:val="auto"/>
              </w:rPr>
              <w:t>has already been approved, but is insufficient to</w:t>
            </w:r>
          </w:p>
        </w:tc>
      </w:tr>
      <w:tr>
        <w:trPr>
          <w:trHeight w:val="241"/>
        </w:trPr>
        <w:tc>
          <w:tcPr>
            <w:tcW w:w="920" w:type="dxa"/>
            <w:vAlign w:val="bottom"/>
          </w:tcPr>
          <w:p>
            <w:pPr>
              <w:spacing w:after="0"/>
              <w:rPr>
                <w:sz w:val="20"/>
                <w:szCs w:val="20"/>
                <w:color w:val="auto"/>
              </w:rPr>
            </w:pPr>
          </w:p>
        </w:tc>
        <w:tc>
          <w:tcPr>
            <w:tcW w:w="5620" w:type="dxa"/>
            <w:vAlign w:val="bottom"/>
          </w:tcPr>
          <w:p>
            <w:pPr>
              <w:ind w:left="380"/>
              <w:spacing w:after="0"/>
              <w:rPr>
                <w:sz w:val="20"/>
                <w:szCs w:val="20"/>
                <w:color w:val="auto"/>
              </w:rPr>
            </w:pPr>
            <w:r>
              <w:rPr>
                <w:rFonts w:ascii="Arial" w:cs="Arial" w:eastAsia="Arial" w:hAnsi="Arial"/>
                <w:sz w:val="17"/>
                <w:szCs w:val="17"/>
                <w:color w:val="auto"/>
              </w:rPr>
              <w:t>ausreicht.</w:t>
            </w:r>
          </w:p>
        </w:tc>
        <w:tc>
          <w:tcPr>
            <w:tcW w:w="4040" w:type="dxa"/>
            <w:vAlign w:val="bottom"/>
          </w:tcPr>
          <w:p>
            <w:pPr>
              <w:ind w:left="80"/>
              <w:spacing w:after="0"/>
              <w:rPr>
                <w:sz w:val="20"/>
                <w:szCs w:val="20"/>
                <w:color w:val="auto"/>
              </w:rPr>
            </w:pPr>
            <w:r>
              <w:rPr>
                <w:rFonts w:ascii="Arial" w:cs="Arial" w:eastAsia="Arial" w:hAnsi="Arial"/>
                <w:sz w:val="17"/>
                <w:szCs w:val="17"/>
                <w:color w:val="auto"/>
              </w:rPr>
              <w:t>cover  compensation  of  such  members  of  the</w:t>
            </w:r>
          </w:p>
        </w:tc>
      </w:tr>
      <w:tr>
        <w:trPr>
          <w:trHeight w:val="228"/>
        </w:trPr>
        <w:tc>
          <w:tcPr>
            <w:tcW w:w="9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executive management.</w:t>
            </w:r>
          </w:p>
        </w:tc>
      </w:tr>
    </w:tbl>
    <w:p>
      <w:pPr>
        <w:spacing w:after="0" w:line="170" w:lineRule="exact"/>
        <w:rPr>
          <w:sz w:val="20"/>
          <w:szCs w:val="20"/>
          <w:color w:val="auto"/>
        </w:rPr>
      </w:pPr>
    </w:p>
    <w:p>
      <w:pPr>
        <w:sectPr>
          <w:pgSz w:w="11900" w:h="16838" w:orient="portrait"/>
          <w:cols w:equalWidth="0" w:num="1">
            <w:col w:w="10580"/>
          </w:cols>
          <w:pgMar w:left="360" w:top="132" w:right="959" w:bottom="1440" w:gutter="0" w:footer="0" w:header="0"/>
        </w:sectPr>
      </w:pPr>
    </w:p>
    <w:p>
      <w:pPr>
        <w:jc w:val="both"/>
        <w:ind w:left="1300" w:right="660" w:hanging="219"/>
        <w:spacing w:after="0" w:line="296" w:lineRule="auto"/>
        <w:tabs>
          <w:tab w:leader="none" w:pos="12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Der Zusatzbetrag darf je Vergütungsperiode je Mitglied 50% des letzten genehmigten maximalen Gesamtbetrags der Vergütung der Geschäftsleitung nicht übersteigen.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242570</wp:posOffset>
            </wp:positionV>
            <wp:extent cx="254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Abschnitt 5:</w:t>
      </w:r>
    </w:p>
    <w:p>
      <w:pPr>
        <w:spacing w:after="0" w:line="35" w:lineRule="exact"/>
        <w:rPr>
          <w:sz w:val="20"/>
          <w:szCs w:val="20"/>
          <w:color w:val="auto"/>
        </w:rPr>
      </w:pPr>
    </w:p>
    <w:p>
      <w:pPr>
        <w:ind w:left="1300" w:right="920"/>
        <w:spacing w:after="0" w:line="325" w:lineRule="auto"/>
        <w:rPr>
          <w:sz w:val="20"/>
          <w:szCs w:val="20"/>
          <w:color w:val="auto"/>
        </w:rPr>
      </w:pPr>
      <w:r>
        <w:rPr>
          <w:rFonts w:ascii="Arial" w:cs="Arial" w:eastAsia="Arial" w:hAnsi="Arial"/>
          <w:sz w:val="17"/>
          <w:szCs w:val="17"/>
          <w:i w:val="1"/>
          <w:iCs w:val="1"/>
          <w:color w:val="auto"/>
        </w:rPr>
        <w:t>Verträge mit Mitgliedern des Verwaltungsrats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163195</wp:posOffset>
            </wp:positionV>
            <wp:extent cx="254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Artikel 30</w:t>
      </w:r>
    </w:p>
    <w:p>
      <w:pPr>
        <w:spacing w:after="0" w:line="20" w:lineRule="exact"/>
        <w:rPr>
          <w:sz w:val="20"/>
          <w:szCs w:val="20"/>
          <w:color w:val="auto"/>
        </w:rPr>
      </w:pPr>
      <w:r>
        <w:rPr>
          <w:sz w:val="20"/>
          <w:szCs w:val="20"/>
          <w:color w:val="auto"/>
        </w:rPr>
        <w:br w:type="column"/>
      </w:r>
    </w:p>
    <w:p>
      <w:pPr>
        <w:jc w:val="both"/>
        <w:ind w:hanging="239"/>
        <w:spacing w:after="0" w:line="296" w:lineRule="auto"/>
        <w:rPr>
          <w:sz w:val="20"/>
          <w:szCs w:val="20"/>
          <w:color w:val="auto"/>
        </w:rPr>
      </w:pPr>
      <w:r>
        <w:rPr>
          <w:rFonts w:ascii="Arial" w:cs="Arial" w:eastAsia="Arial" w:hAnsi="Arial"/>
          <w:sz w:val="13"/>
          <w:szCs w:val="13"/>
          <w:color w:val="auto"/>
        </w:rPr>
        <w:t>2</w:t>
      </w:r>
      <w:r>
        <w:rPr>
          <w:sz w:val="20"/>
          <w:szCs w:val="20"/>
          <w:color w:val="auto"/>
        </w:rPr>
        <w:t xml:space="preserve"> </w:t>
      </w:r>
      <w:r>
        <w:rPr>
          <w:rFonts w:ascii="Arial" w:cs="Arial" w:eastAsia="Arial" w:hAnsi="Arial"/>
          <w:sz w:val="17"/>
          <w:szCs w:val="17"/>
          <w:color w:val="auto"/>
        </w:rPr>
        <w:t>The supplementary amount per compensation period per member shall not exceed 50% of the maximum aggregate amount of compensation of the executive management last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242570</wp:posOffset>
            </wp:positionV>
            <wp:extent cx="254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w:t>
      </w:r>
    </w:p>
    <w:p>
      <w:pPr>
        <w:spacing w:after="0" w:line="35"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i w:val="1"/>
          <w:iCs w:val="1"/>
          <w:color w:val="auto"/>
        </w:rPr>
        <w:t>Agreements regarding Compensation with Members of the Board of Directors and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31115</wp:posOffset>
            </wp:positionV>
            <wp:extent cx="254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254889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30</w:t>
      </w:r>
    </w:p>
    <w:p>
      <w:pPr>
        <w:spacing w:after="0" w:line="197" w:lineRule="exact"/>
        <w:rPr>
          <w:sz w:val="20"/>
          <w:szCs w:val="20"/>
          <w:color w:val="auto"/>
        </w:rPr>
      </w:pPr>
    </w:p>
    <w:p>
      <w:pPr>
        <w:sectPr>
          <w:pgSz w:w="11900" w:h="16838" w:orient="portrait"/>
          <w:cols w:equalWidth="0" w:num="2">
            <w:col w:w="5900" w:space="720"/>
            <w:col w:w="3960"/>
          </w:cols>
          <w:pgMar w:left="360" w:top="132" w:right="9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20"/>
                <w:szCs w:val="20"/>
                <w:color w:val="auto"/>
              </w:rPr>
            </w:pPr>
            <w:r>
              <w:rPr>
                <w:rFonts w:ascii="Arial" w:cs="Arial" w:eastAsia="Arial" w:hAnsi="Arial"/>
                <w:sz w:val="13"/>
                <w:szCs w:val="13"/>
                <w:color w:val="auto"/>
              </w:rPr>
              <w:t>Verträge mit</w:t>
            </w: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Die   Gesellschaft   oder   von   ihr   kontrollierte</w:t>
            </w:r>
          </w:p>
        </w:tc>
        <w:tc>
          <w:tcPr>
            <w:tcW w:w="1020" w:type="dxa"/>
            <w:vAlign w:val="bottom"/>
          </w:tcPr>
          <w:p>
            <w:pPr>
              <w:ind w:left="80"/>
              <w:spacing w:after="0"/>
              <w:rPr>
                <w:sz w:val="20"/>
                <w:szCs w:val="20"/>
                <w:color w:val="auto"/>
              </w:rPr>
            </w:pPr>
            <w:r>
              <w:rPr>
                <w:rFonts w:ascii="Arial" w:cs="Arial" w:eastAsia="Arial" w:hAnsi="Arial"/>
                <w:sz w:val="13"/>
                <w:szCs w:val="13"/>
                <w:color w:val="auto"/>
              </w:rPr>
              <w:t>Agreements</w:t>
            </w:r>
          </w:p>
        </w:tc>
        <w:tc>
          <w:tcPr>
            <w:tcW w:w="4240" w:type="dxa"/>
            <w:vAlign w:val="bottom"/>
          </w:tcPr>
          <w:p>
            <w:pPr>
              <w:jc w:val="right"/>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The Company or companies under its control may</w:t>
            </w:r>
          </w:p>
        </w:tc>
      </w:tr>
      <w:tr>
        <w:trPr>
          <w:trHeight w:val="228"/>
        </w:trPr>
        <w:tc>
          <w:tcPr>
            <w:tcW w:w="1040" w:type="dxa"/>
            <w:vAlign w:val="bottom"/>
          </w:tcPr>
          <w:p>
            <w:pPr>
              <w:spacing w:after="0"/>
              <w:rPr>
                <w:sz w:val="20"/>
                <w:szCs w:val="20"/>
                <w:color w:val="auto"/>
              </w:rPr>
            </w:pPr>
            <w:r>
              <w:rPr>
                <w:rFonts w:ascii="Arial" w:cs="Arial" w:eastAsia="Arial" w:hAnsi="Arial"/>
                <w:sz w:val="13"/>
                <w:szCs w:val="13"/>
                <w:color w:val="auto"/>
              </w:rPr>
              <w:t>Mitgliedern des</w:t>
            </w: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Gesellschaften   können   mit   Mitgliedern   des</w:t>
            </w:r>
          </w:p>
        </w:tc>
        <w:tc>
          <w:tcPr>
            <w:tcW w:w="1020" w:type="dxa"/>
            <w:vAlign w:val="bottom"/>
          </w:tcPr>
          <w:p>
            <w:pPr>
              <w:ind w:left="80"/>
              <w:spacing w:after="0"/>
              <w:rPr>
                <w:sz w:val="20"/>
                <w:szCs w:val="20"/>
                <w:color w:val="auto"/>
              </w:rPr>
            </w:pPr>
            <w:r>
              <w:rPr>
                <w:rFonts w:ascii="Arial" w:cs="Arial" w:eastAsia="Arial" w:hAnsi="Arial"/>
                <w:sz w:val="13"/>
                <w:szCs w:val="13"/>
                <w:color w:val="auto"/>
              </w:rPr>
              <w:t>with Members</w:t>
            </w:r>
          </w:p>
        </w:tc>
        <w:tc>
          <w:tcPr>
            <w:tcW w:w="4240" w:type="dxa"/>
            <w:vAlign w:val="bottom"/>
          </w:tcPr>
          <w:p>
            <w:pPr>
              <w:jc w:val="right"/>
              <w:spacing w:after="0"/>
              <w:rPr>
                <w:sz w:val="20"/>
                <w:szCs w:val="20"/>
                <w:color w:val="auto"/>
              </w:rPr>
            </w:pPr>
            <w:r>
              <w:rPr>
                <w:rFonts w:ascii="Arial" w:cs="Arial" w:eastAsia="Arial" w:hAnsi="Arial"/>
                <w:sz w:val="17"/>
                <w:szCs w:val="17"/>
                <w:color w:val="auto"/>
              </w:rPr>
              <w:t>enter into mandate or other agreements with the</w:t>
            </w:r>
          </w:p>
        </w:tc>
      </w:tr>
      <w:tr>
        <w:trPr>
          <w:trHeight w:val="241"/>
        </w:trPr>
        <w:tc>
          <w:tcPr>
            <w:tcW w:w="1040" w:type="dxa"/>
            <w:vAlign w:val="bottom"/>
          </w:tcPr>
          <w:p>
            <w:pPr>
              <w:spacing w:after="0"/>
              <w:rPr>
                <w:sz w:val="20"/>
                <w:szCs w:val="20"/>
                <w:color w:val="auto"/>
              </w:rPr>
            </w:pPr>
            <w:r>
              <w:rPr>
                <w:rFonts w:ascii="Arial" w:cs="Arial" w:eastAsia="Arial" w:hAnsi="Arial"/>
                <w:sz w:val="13"/>
                <w:szCs w:val="13"/>
                <w:color w:val="auto"/>
              </w:rPr>
              <w:t>Verwaltungsrats</w:t>
            </w: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Verwaltungsrats befristete oder unbefristete Verträge</w:t>
            </w:r>
          </w:p>
        </w:tc>
        <w:tc>
          <w:tcPr>
            <w:tcW w:w="1020" w:type="dxa"/>
            <w:vAlign w:val="bottom"/>
          </w:tcPr>
          <w:p>
            <w:pPr>
              <w:ind w:left="80"/>
              <w:spacing w:after="0"/>
              <w:rPr>
                <w:sz w:val="20"/>
                <w:szCs w:val="20"/>
                <w:color w:val="auto"/>
              </w:rPr>
            </w:pPr>
            <w:r>
              <w:rPr>
                <w:rFonts w:ascii="Arial" w:cs="Arial" w:eastAsia="Arial" w:hAnsi="Arial"/>
                <w:sz w:val="13"/>
                <w:szCs w:val="13"/>
                <w:color w:val="auto"/>
              </w:rPr>
              <w:t>of the Board of</w:t>
            </w:r>
          </w:p>
        </w:tc>
        <w:tc>
          <w:tcPr>
            <w:tcW w:w="4240" w:type="dxa"/>
            <w:vAlign w:val="bottom"/>
          </w:tcPr>
          <w:p>
            <w:pPr>
              <w:jc w:val="right"/>
              <w:spacing w:after="0"/>
              <w:rPr>
                <w:sz w:val="20"/>
                <w:szCs w:val="20"/>
                <w:color w:val="auto"/>
              </w:rPr>
            </w:pPr>
            <w:r>
              <w:rPr>
                <w:rFonts w:ascii="Arial" w:cs="Arial" w:eastAsia="Arial" w:hAnsi="Arial"/>
                <w:sz w:val="17"/>
                <w:szCs w:val="17"/>
                <w:color w:val="auto"/>
              </w:rPr>
              <w:t>members of the board of directors regarding their</w:t>
            </w:r>
          </w:p>
        </w:tc>
      </w:tr>
      <w:tr>
        <w:trPr>
          <w:trHeight w:val="228"/>
        </w:trPr>
        <w:tc>
          <w:tcPr>
            <w:tcW w:w="1040" w:type="dxa"/>
            <w:vAlign w:val="bottom"/>
          </w:tcPr>
          <w:p>
            <w:pPr>
              <w:spacing w:after="0"/>
              <w:rPr>
                <w:sz w:val="20"/>
                <w:szCs w:val="20"/>
                <w:color w:val="auto"/>
              </w:rPr>
            </w:pPr>
            <w:r>
              <w:rPr>
                <w:rFonts w:ascii="Arial" w:cs="Arial" w:eastAsia="Arial" w:hAnsi="Arial"/>
                <w:sz w:val="13"/>
                <w:szCs w:val="13"/>
                <w:color w:val="auto"/>
              </w:rPr>
              <w:t>und der</w:t>
            </w: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über deren Mandat und Vergütung abschliessen.</w:t>
            </w:r>
          </w:p>
        </w:tc>
        <w:tc>
          <w:tcPr>
            <w:tcW w:w="1020" w:type="dxa"/>
            <w:vAlign w:val="bottom"/>
          </w:tcPr>
          <w:p>
            <w:pPr>
              <w:ind w:left="80"/>
              <w:spacing w:after="0"/>
              <w:rPr>
                <w:sz w:val="20"/>
                <w:szCs w:val="20"/>
                <w:color w:val="auto"/>
              </w:rPr>
            </w:pPr>
            <w:r>
              <w:rPr>
                <w:rFonts w:ascii="Arial" w:cs="Arial" w:eastAsia="Arial" w:hAnsi="Arial"/>
                <w:sz w:val="13"/>
                <w:szCs w:val="13"/>
                <w:color w:val="auto"/>
              </w:rPr>
              <w:t>Directors and</w:t>
            </w:r>
          </w:p>
        </w:tc>
        <w:tc>
          <w:tcPr>
            <w:tcW w:w="4240" w:type="dxa"/>
            <w:vAlign w:val="bottom"/>
          </w:tcPr>
          <w:p>
            <w:pPr>
              <w:jc w:val="right"/>
              <w:spacing w:after="0"/>
              <w:rPr>
                <w:sz w:val="20"/>
                <w:szCs w:val="20"/>
                <w:color w:val="auto"/>
              </w:rPr>
            </w:pPr>
            <w:r>
              <w:rPr>
                <w:rFonts w:ascii="Arial" w:cs="Arial" w:eastAsia="Arial" w:hAnsi="Arial"/>
                <w:sz w:val="17"/>
                <w:szCs w:val="17"/>
                <w:color w:val="auto"/>
              </w:rPr>
              <w:t>compensation as directors for a fixed term or for an</w:t>
            </w:r>
          </w:p>
        </w:tc>
      </w:tr>
      <w:tr>
        <w:trPr>
          <w:trHeight w:val="241"/>
        </w:trPr>
        <w:tc>
          <w:tcPr>
            <w:tcW w:w="1040" w:type="dxa"/>
            <w:vAlign w:val="bottom"/>
          </w:tcPr>
          <w:p>
            <w:pPr>
              <w:spacing w:after="0"/>
              <w:rPr>
                <w:sz w:val="20"/>
                <w:szCs w:val="20"/>
                <w:color w:val="auto"/>
              </w:rPr>
            </w:pPr>
            <w:r>
              <w:rPr>
                <w:rFonts w:ascii="Arial" w:cs="Arial" w:eastAsia="Arial" w:hAnsi="Arial"/>
                <w:sz w:val="13"/>
                <w:szCs w:val="13"/>
                <w:color w:val="auto"/>
              </w:rPr>
              <w:t>Geschäftsleitung</w:t>
            </w: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Dauer und Beendigung richten sich nach Amtsdauer</w:t>
            </w:r>
          </w:p>
        </w:tc>
        <w:tc>
          <w:tcPr>
            <w:tcW w:w="1020" w:type="dxa"/>
            <w:vAlign w:val="bottom"/>
          </w:tcPr>
          <w:p>
            <w:pPr>
              <w:ind w:left="80"/>
              <w:spacing w:after="0"/>
              <w:rPr>
                <w:sz w:val="20"/>
                <w:szCs w:val="20"/>
                <w:color w:val="auto"/>
              </w:rPr>
            </w:pPr>
            <w:r>
              <w:rPr>
                <w:rFonts w:ascii="Arial" w:cs="Arial" w:eastAsia="Arial" w:hAnsi="Arial"/>
                <w:sz w:val="13"/>
                <w:szCs w:val="13"/>
                <w:color w:val="auto"/>
              </w:rPr>
              <w:t>the Executive</w:t>
            </w:r>
          </w:p>
        </w:tc>
        <w:tc>
          <w:tcPr>
            <w:tcW w:w="4240" w:type="dxa"/>
            <w:vAlign w:val="bottom"/>
          </w:tcPr>
          <w:p>
            <w:pPr>
              <w:jc w:val="right"/>
              <w:spacing w:after="0"/>
              <w:rPr>
                <w:sz w:val="20"/>
                <w:szCs w:val="20"/>
                <w:color w:val="auto"/>
              </w:rPr>
            </w:pPr>
            <w:r>
              <w:rPr>
                <w:rFonts w:ascii="Arial" w:cs="Arial" w:eastAsia="Arial" w:hAnsi="Arial"/>
                <w:sz w:val="17"/>
                <w:szCs w:val="17"/>
                <w:color w:val="auto"/>
              </w:rPr>
              <w:t>indefinite term. The duration and termination are</w:t>
            </w:r>
          </w:p>
        </w:tc>
      </w:tr>
      <w:tr>
        <w:trPr>
          <w:trHeight w:val="228"/>
        </w:trPr>
        <w:tc>
          <w:tcPr>
            <w:tcW w:w="1040" w:type="dxa"/>
            <w:vAlign w:val="bottom"/>
          </w:tcPr>
          <w:p>
            <w:pPr>
              <w:spacing w:after="0"/>
              <w:rPr>
                <w:sz w:val="19"/>
                <w:szCs w:val="19"/>
                <w:color w:val="auto"/>
              </w:rPr>
            </w:pPr>
          </w:p>
        </w:tc>
        <w:tc>
          <w:tcPr>
            <w:tcW w:w="1640" w:type="dxa"/>
            <w:vAlign w:val="bottom"/>
          </w:tcPr>
          <w:p>
            <w:pPr>
              <w:ind w:left="260"/>
              <w:spacing w:after="0"/>
              <w:rPr>
                <w:sz w:val="20"/>
                <w:szCs w:val="20"/>
                <w:color w:val="auto"/>
              </w:rPr>
            </w:pPr>
            <w:r>
              <w:rPr>
                <w:rFonts w:ascii="Arial" w:cs="Arial" w:eastAsia="Arial" w:hAnsi="Arial"/>
                <w:sz w:val="17"/>
                <w:szCs w:val="17"/>
                <w:color w:val="auto"/>
              </w:rPr>
              <w:t>und Gesetz.</w:t>
            </w: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3"/>
                <w:szCs w:val="13"/>
                <w:color w:val="auto"/>
              </w:rPr>
              <w:t>Management</w:t>
            </w:r>
          </w:p>
        </w:tc>
        <w:tc>
          <w:tcPr>
            <w:tcW w:w="4240" w:type="dxa"/>
            <w:vAlign w:val="bottom"/>
          </w:tcPr>
          <w:p>
            <w:pPr>
              <w:ind w:left="280"/>
              <w:spacing w:after="0"/>
              <w:rPr>
                <w:sz w:val="20"/>
                <w:szCs w:val="20"/>
                <w:color w:val="auto"/>
              </w:rPr>
            </w:pPr>
            <w:r>
              <w:rPr>
                <w:rFonts w:ascii="Arial" w:cs="Arial" w:eastAsia="Arial" w:hAnsi="Arial"/>
                <w:sz w:val="17"/>
                <w:szCs w:val="17"/>
                <w:color w:val="auto"/>
              </w:rPr>
              <w:t>subject to term of office and the law.</w:t>
            </w:r>
          </w:p>
        </w:tc>
      </w:tr>
      <w:tr>
        <w:trPr>
          <w:trHeight w:val="393"/>
        </w:trPr>
        <w:tc>
          <w:tcPr>
            <w:tcW w:w="1040" w:type="dxa"/>
            <w:vAlign w:val="bottom"/>
          </w:tcPr>
          <w:p>
            <w:pPr>
              <w:spacing w:after="0"/>
              <w:rPr>
                <w:sz w:val="24"/>
                <w:szCs w:val="24"/>
                <w:color w:val="auto"/>
              </w:rPr>
            </w:pPr>
          </w:p>
        </w:tc>
        <w:tc>
          <w:tcPr>
            <w:tcW w:w="4280" w:type="dxa"/>
            <w:vAlign w:val="bottom"/>
            <w:gridSpan w:val="3"/>
          </w:tcPr>
          <w:p>
            <w:pPr>
              <w:jc w:val="right"/>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Die   Gesellschaft   oder   von   ihr   kontrollierte</w:t>
            </w:r>
          </w:p>
        </w:tc>
        <w:tc>
          <w:tcPr>
            <w:tcW w:w="102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6"/>
                <w:szCs w:val="16"/>
                <w:color w:val="auto"/>
              </w:rPr>
              <w:t>The Company or companies under its control may</w:t>
            </w:r>
          </w:p>
        </w:tc>
      </w:tr>
      <w:tr>
        <w:trPr>
          <w:trHeight w:val="228"/>
        </w:trPr>
        <w:tc>
          <w:tcPr>
            <w:tcW w:w="1040" w:type="dxa"/>
            <w:vAlign w:val="bottom"/>
          </w:tcPr>
          <w:p>
            <w:pPr>
              <w:spacing w:after="0"/>
              <w:rPr>
                <w:sz w:val="19"/>
                <w:szCs w:val="19"/>
                <w:color w:val="auto"/>
              </w:rPr>
            </w:pP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Gesellschaften   können   mit   Mitgliedern   der</w:t>
            </w:r>
          </w:p>
        </w:tc>
        <w:tc>
          <w:tcPr>
            <w:tcW w:w="102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enter  into  employment  agreements  with  the</w:t>
            </w:r>
          </w:p>
        </w:tc>
      </w:tr>
      <w:tr>
        <w:trPr>
          <w:trHeight w:val="241"/>
        </w:trPr>
        <w:tc>
          <w:tcPr>
            <w:tcW w:w="1040" w:type="dxa"/>
            <w:vAlign w:val="bottom"/>
          </w:tcPr>
          <w:p>
            <w:pPr>
              <w:spacing w:after="0"/>
              <w:rPr>
                <w:sz w:val="20"/>
                <w:szCs w:val="20"/>
                <w:color w:val="auto"/>
              </w:rPr>
            </w:pPr>
          </w:p>
        </w:tc>
        <w:tc>
          <w:tcPr>
            <w:tcW w:w="1640" w:type="dxa"/>
            <w:vAlign w:val="bottom"/>
          </w:tcPr>
          <w:p>
            <w:pPr>
              <w:ind w:left="260"/>
              <w:spacing w:after="0"/>
              <w:rPr>
                <w:sz w:val="20"/>
                <w:szCs w:val="20"/>
                <w:color w:val="auto"/>
              </w:rPr>
            </w:pPr>
            <w:r>
              <w:rPr>
                <w:rFonts w:ascii="Arial" w:cs="Arial" w:eastAsia="Arial" w:hAnsi="Arial"/>
                <w:sz w:val="17"/>
                <w:szCs w:val="17"/>
                <w:color w:val="auto"/>
              </w:rPr>
              <w:t>Geschäftsleitung</w:t>
            </w:r>
          </w:p>
        </w:tc>
        <w:tc>
          <w:tcPr>
            <w:tcW w:w="1560" w:type="dxa"/>
            <w:vAlign w:val="bottom"/>
          </w:tcPr>
          <w:p>
            <w:pPr>
              <w:ind w:left="140"/>
              <w:spacing w:after="0"/>
              <w:rPr>
                <w:sz w:val="20"/>
                <w:szCs w:val="20"/>
                <w:color w:val="auto"/>
              </w:rPr>
            </w:pPr>
            <w:r>
              <w:rPr>
                <w:rFonts w:ascii="Arial" w:cs="Arial" w:eastAsia="Arial" w:hAnsi="Arial"/>
                <w:sz w:val="17"/>
                <w:szCs w:val="17"/>
                <w:color w:val="auto"/>
              </w:rPr>
              <w:t>befristete   oder</w:t>
            </w:r>
          </w:p>
        </w:tc>
        <w:tc>
          <w:tcPr>
            <w:tcW w:w="1080" w:type="dxa"/>
            <w:vAlign w:val="bottom"/>
          </w:tcPr>
          <w:p>
            <w:pPr>
              <w:jc w:val="right"/>
              <w:spacing w:after="0"/>
              <w:rPr>
                <w:sz w:val="20"/>
                <w:szCs w:val="20"/>
                <w:color w:val="auto"/>
              </w:rPr>
            </w:pPr>
            <w:r>
              <w:rPr>
                <w:rFonts w:ascii="Arial" w:cs="Arial" w:eastAsia="Arial" w:hAnsi="Arial"/>
                <w:sz w:val="17"/>
                <w:szCs w:val="17"/>
                <w:color w:val="auto"/>
              </w:rPr>
              <w:t>unbefristete</w:t>
            </w:r>
          </w:p>
        </w:tc>
        <w:tc>
          <w:tcPr>
            <w:tcW w:w="102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members of the executive management for a fixed</w:t>
            </w:r>
          </w:p>
        </w:tc>
      </w:tr>
      <w:tr>
        <w:trPr>
          <w:trHeight w:val="228"/>
        </w:trPr>
        <w:tc>
          <w:tcPr>
            <w:tcW w:w="1040" w:type="dxa"/>
            <w:vAlign w:val="bottom"/>
          </w:tcPr>
          <w:p>
            <w:pPr>
              <w:spacing w:after="0"/>
              <w:rPr>
                <w:sz w:val="19"/>
                <w:szCs w:val="19"/>
                <w:color w:val="auto"/>
              </w:rPr>
            </w:pPr>
          </w:p>
        </w:tc>
        <w:tc>
          <w:tcPr>
            <w:tcW w:w="1640" w:type="dxa"/>
            <w:vAlign w:val="bottom"/>
          </w:tcPr>
          <w:p>
            <w:pPr>
              <w:ind w:left="260"/>
              <w:spacing w:after="0"/>
              <w:rPr>
                <w:sz w:val="20"/>
                <w:szCs w:val="20"/>
                <w:color w:val="auto"/>
              </w:rPr>
            </w:pPr>
            <w:r>
              <w:rPr>
                <w:rFonts w:ascii="Arial" w:cs="Arial" w:eastAsia="Arial" w:hAnsi="Arial"/>
                <w:sz w:val="17"/>
                <w:szCs w:val="17"/>
                <w:color w:val="auto"/>
              </w:rPr>
              <w:t>Arbeitsverträge</w:t>
            </w:r>
          </w:p>
        </w:tc>
        <w:tc>
          <w:tcPr>
            <w:tcW w:w="1560" w:type="dxa"/>
            <w:vAlign w:val="bottom"/>
          </w:tcPr>
          <w:p>
            <w:pPr>
              <w:ind w:left="300"/>
              <w:spacing w:after="0"/>
              <w:rPr>
                <w:sz w:val="20"/>
                <w:szCs w:val="20"/>
                <w:color w:val="auto"/>
              </w:rPr>
            </w:pPr>
            <w:r>
              <w:rPr>
                <w:rFonts w:ascii="Arial" w:cs="Arial" w:eastAsia="Arial" w:hAnsi="Arial"/>
                <w:sz w:val="17"/>
                <w:szCs w:val="17"/>
                <w:color w:val="auto"/>
              </w:rPr>
              <w:t>abschliessen.</w:t>
            </w:r>
          </w:p>
        </w:tc>
        <w:tc>
          <w:tcPr>
            <w:tcW w:w="1080" w:type="dxa"/>
            <w:vAlign w:val="bottom"/>
          </w:tcPr>
          <w:p>
            <w:pPr>
              <w:jc w:val="right"/>
              <w:spacing w:after="0"/>
              <w:rPr>
                <w:sz w:val="20"/>
                <w:szCs w:val="20"/>
                <w:color w:val="auto"/>
              </w:rPr>
            </w:pPr>
            <w:r>
              <w:rPr>
                <w:rFonts w:ascii="Arial" w:cs="Arial" w:eastAsia="Arial" w:hAnsi="Arial"/>
                <w:sz w:val="17"/>
                <w:szCs w:val="17"/>
                <w:color w:val="auto"/>
              </w:rPr>
              <w:t>Befristete</w:t>
            </w:r>
          </w:p>
        </w:tc>
        <w:tc>
          <w:tcPr>
            <w:tcW w:w="102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term or for an indefinite term. The duration of fixed</w:t>
            </w:r>
          </w:p>
        </w:tc>
      </w:tr>
      <w:tr>
        <w:trPr>
          <w:trHeight w:val="241"/>
        </w:trPr>
        <w:tc>
          <w:tcPr>
            <w:tcW w:w="1040" w:type="dxa"/>
            <w:vAlign w:val="bottom"/>
          </w:tcPr>
          <w:p>
            <w:pPr>
              <w:spacing w:after="0"/>
              <w:rPr>
                <w:sz w:val="20"/>
                <w:szCs w:val="20"/>
                <w:color w:val="auto"/>
              </w:rPr>
            </w:pP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Arbeitsverträge haben eine Höchstdauer von einem</w:t>
            </w:r>
          </w:p>
        </w:tc>
        <w:tc>
          <w:tcPr>
            <w:tcW w:w="102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term  agreements  may  not  exceed  one  year.  A</w:t>
            </w:r>
          </w:p>
        </w:tc>
      </w:tr>
      <w:tr>
        <w:trPr>
          <w:trHeight w:val="228"/>
        </w:trPr>
        <w:tc>
          <w:tcPr>
            <w:tcW w:w="1040" w:type="dxa"/>
            <w:vAlign w:val="bottom"/>
          </w:tcPr>
          <w:p>
            <w:pPr>
              <w:spacing w:after="0"/>
              <w:rPr>
                <w:sz w:val="19"/>
                <w:szCs w:val="19"/>
                <w:color w:val="auto"/>
              </w:rPr>
            </w:pP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Jahr.  Eine  Erneuerung  ist  zulässig.  Unbefristete</w:t>
            </w:r>
          </w:p>
        </w:tc>
        <w:tc>
          <w:tcPr>
            <w:tcW w:w="102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renewal of a fixed term agreement is permissible.</w:t>
            </w:r>
          </w:p>
        </w:tc>
      </w:tr>
      <w:tr>
        <w:trPr>
          <w:trHeight w:val="241"/>
        </w:trPr>
        <w:tc>
          <w:tcPr>
            <w:tcW w:w="1040" w:type="dxa"/>
            <w:vAlign w:val="bottom"/>
          </w:tcPr>
          <w:p>
            <w:pPr>
              <w:spacing w:after="0"/>
              <w:rPr>
                <w:sz w:val="20"/>
                <w:szCs w:val="20"/>
                <w:color w:val="auto"/>
              </w:rPr>
            </w:pPr>
          </w:p>
        </w:tc>
        <w:tc>
          <w:tcPr>
            <w:tcW w:w="4280" w:type="dxa"/>
            <w:vAlign w:val="bottom"/>
            <w:gridSpan w:val="3"/>
          </w:tcPr>
          <w:p>
            <w:pPr>
              <w:ind w:left="260"/>
              <w:spacing w:after="0"/>
              <w:rPr>
                <w:sz w:val="20"/>
                <w:szCs w:val="20"/>
                <w:color w:val="auto"/>
              </w:rPr>
            </w:pPr>
            <w:r>
              <w:rPr>
                <w:rFonts w:ascii="Arial" w:cs="Arial" w:eastAsia="Arial" w:hAnsi="Arial"/>
                <w:sz w:val="17"/>
                <w:szCs w:val="17"/>
                <w:color w:val="auto"/>
              </w:rPr>
              <w:t>Verträge haben eine Kündigungsfrist von maximal</w:t>
            </w:r>
          </w:p>
        </w:tc>
        <w:tc>
          <w:tcPr>
            <w:tcW w:w="1020" w:type="dxa"/>
            <w:vAlign w:val="bottom"/>
          </w:tcPr>
          <w:p>
            <w:pPr>
              <w:spacing w:after="0"/>
              <w:rPr>
                <w:sz w:val="20"/>
                <w:szCs w:val="20"/>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Agreements  for  an  indefinite  term  may  have  a</w:t>
            </w:r>
          </w:p>
        </w:tc>
      </w:tr>
      <w:tr>
        <w:trPr>
          <w:trHeight w:val="228"/>
        </w:trPr>
        <w:tc>
          <w:tcPr>
            <w:tcW w:w="1040" w:type="dxa"/>
            <w:vAlign w:val="bottom"/>
          </w:tcPr>
          <w:p>
            <w:pPr>
              <w:spacing w:after="0"/>
              <w:rPr>
                <w:sz w:val="19"/>
                <w:szCs w:val="19"/>
                <w:color w:val="auto"/>
              </w:rPr>
            </w:pPr>
          </w:p>
        </w:tc>
        <w:tc>
          <w:tcPr>
            <w:tcW w:w="1640" w:type="dxa"/>
            <w:vAlign w:val="bottom"/>
          </w:tcPr>
          <w:p>
            <w:pPr>
              <w:ind w:left="260"/>
              <w:spacing w:after="0"/>
              <w:rPr>
                <w:sz w:val="20"/>
                <w:szCs w:val="20"/>
                <w:color w:val="auto"/>
              </w:rPr>
            </w:pPr>
            <w:r>
              <w:rPr>
                <w:rFonts w:ascii="Arial" w:cs="Arial" w:eastAsia="Arial" w:hAnsi="Arial"/>
                <w:sz w:val="17"/>
                <w:szCs w:val="17"/>
                <w:color w:val="auto"/>
              </w:rPr>
              <w:t>einem Jahr.</w:t>
            </w: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40" w:type="dxa"/>
            <w:vAlign w:val="bottom"/>
          </w:tcPr>
          <w:p>
            <w:pPr>
              <w:ind w:left="280"/>
              <w:spacing w:after="0"/>
              <w:rPr>
                <w:sz w:val="20"/>
                <w:szCs w:val="20"/>
                <w:color w:val="auto"/>
              </w:rPr>
            </w:pPr>
            <w:r>
              <w:rPr>
                <w:rFonts w:ascii="Arial" w:cs="Arial" w:eastAsia="Arial" w:hAnsi="Arial"/>
                <w:sz w:val="17"/>
                <w:szCs w:val="17"/>
                <w:color w:val="auto"/>
              </w:rPr>
              <w:t>termination notice period of a maximum of one year.</w:t>
            </w:r>
          </w:p>
        </w:tc>
      </w:tr>
    </w:tbl>
    <w:p>
      <w:pPr>
        <w:sectPr>
          <w:pgSz w:w="11900" w:h="16838" w:orient="portrait"/>
          <w:cols w:equalWidth="0" w:num="1">
            <w:col w:w="10580"/>
          </w:cols>
          <w:pgMar w:left="360" w:top="132" w:right="959" w:bottom="1440" w:gutter="0" w:footer="0" w:header="0"/>
          <w:type w:val="continuous"/>
        </w:sectPr>
      </w:pPr>
    </w:p>
    <w:bookmarkStart w:id="251" w:name="page252"/>
    <w:bookmarkEnd w:id="251"/>
    <w:p>
      <w:pPr>
        <w:ind w:left="5420"/>
        <w:spacing w:after="0"/>
        <w:rPr>
          <w:sz w:val="20"/>
          <w:szCs w:val="20"/>
          <w:color w:val="auto"/>
        </w:rPr>
      </w:pPr>
      <w:r>
        <w:rPr>
          <w:rFonts w:ascii="Arial" w:cs="Arial" w:eastAsia="Arial" w:hAnsi="Arial"/>
          <w:sz w:val="13"/>
          <w:szCs w:val="13"/>
          <w:color w:val="auto"/>
        </w:rPr>
        <w:t>- 30 -</w:t>
      </w:r>
    </w:p>
    <w:p>
      <w:pPr>
        <w:sectPr>
          <w:pgSz w:w="11900" w:h="16838" w:orient="portrait"/>
          <w:cols w:equalWidth="0" w:num="1">
            <w:col w:w="10580"/>
          </w:cols>
          <w:pgMar w:left="36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00" w:right="305" w:hanging="239"/>
        <w:spacing w:after="0" w:line="310" w:lineRule="auto"/>
        <w:tabs>
          <w:tab w:leader="none" w:pos="12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6"/>
          <w:szCs w:val="16"/>
          <w:color w:val="auto"/>
        </w:rPr>
        <w:t>Die Gesellschaft oder von ihr kontrollierte Gesellschaften können mit Mitgliedern der Geschäftsleitung Konkurrenzverbote für die Zeit nach Beendigung des Arbeitsverhältnisses vereinbaren. Deren Dauer soll zwei Jahre nicht übersteigen. Zur Abgeltung eines solchen Konkurrenzverbots darf eine Entschädigung pro Jahr ausgerichtet werden, deren Höhe die letzte Gesamtjahresvergütung des betreffenden Mitglieds der Geschäftsleitung und in keinem Fall den Durchschnitt der Vergütungen der letzten drei Geschäftsjahre übersteigen.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385445</wp:posOffset>
            </wp:positionV>
            <wp:extent cx="25812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Abschnitt 6:</w:t>
      </w:r>
    </w:p>
    <w:p>
      <w:pPr>
        <w:spacing w:after="0" w:line="35" w:lineRule="exact"/>
        <w:rPr>
          <w:sz w:val="20"/>
          <w:szCs w:val="20"/>
          <w:color w:val="auto"/>
        </w:rPr>
      </w:pPr>
    </w:p>
    <w:p>
      <w:pPr>
        <w:ind w:left="1300" w:right="665"/>
        <w:spacing w:after="0" w:line="302" w:lineRule="auto"/>
        <w:rPr>
          <w:sz w:val="20"/>
          <w:szCs w:val="20"/>
          <w:color w:val="auto"/>
        </w:rPr>
      </w:pPr>
      <w:r>
        <w:rPr>
          <w:rFonts w:ascii="Arial" w:cs="Arial" w:eastAsia="Arial" w:hAnsi="Arial"/>
          <w:sz w:val="17"/>
          <w:szCs w:val="17"/>
          <w:i w:val="1"/>
          <w:iCs w:val="1"/>
          <w:color w:val="auto"/>
        </w:rPr>
        <w:t>Darlehen, Kredite und Vorsorgeleistungen an die Mitglieder des Verwaltungsrats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31115</wp:posOffset>
            </wp:positionV>
            <wp:extent cx="25812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Artikel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35" w:hanging="235"/>
        <w:spacing w:after="0" w:line="287" w:lineRule="auto"/>
        <w:tabs>
          <w:tab w:leader="none" w:pos="235" w:val="left"/>
        </w:tabs>
        <w:numPr>
          <w:ilvl w:val="0"/>
          <w:numId w:val="187"/>
        </w:numPr>
        <w:rPr>
          <w:rFonts w:ascii="Arial" w:cs="Arial" w:eastAsia="Arial" w:hAnsi="Arial"/>
          <w:sz w:val="13"/>
          <w:szCs w:val="13"/>
          <w:color w:val="auto"/>
        </w:rPr>
      </w:pPr>
      <w:r>
        <w:rPr>
          <w:rFonts w:ascii="Arial" w:cs="Arial" w:eastAsia="Arial" w:hAnsi="Arial"/>
          <w:sz w:val="17"/>
          <w:szCs w:val="17"/>
          <w:color w:val="auto"/>
        </w:rPr>
        <w:t>The Company or companies under its control may enter into non-competition agreements with members</w:t>
      </w:r>
    </w:p>
    <w:p>
      <w:pPr>
        <w:spacing w:after="0" w:line="1" w:lineRule="exact"/>
        <w:rPr>
          <w:rFonts w:ascii="Arial" w:cs="Arial" w:eastAsia="Arial" w:hAnsi="Arial"/>
          <w:sz w:val="13"/>
          <w:szCs w:val="13"/>
          <w:color w:val="auto"/>
        </w:rPr>
      </w:pPr>
    </w:p>
    <w:p>
      <w:pPr>
        <w:jc w:val="both"/>
        <w:ind w:left="235"/>
        <w:spacing w:after="0" w:line="287" w:lineRule="auto"/>
        <w:rPr>
          <w:rFonts w:ascii="Arial" w:cs="Arial" w:eastAsia="Arial" w:hAnsi="Arial"/>
          <w:sz w:val="13"/>
          <w:szCs w:val="13"/>
          <w:color w:val="auto"/>
        </w:rPr>
      </w:pPr>
      <w:r>
        <w:rPr>
          <w:rFonts w:ascii="Arial" w:cs="Arial" w:eastAsia="Arial" w:hAnsi="Arial"/>
          <w:sz w:val="17"/>
          <w:szCs w:val="17"/>
          <w:color w:val="auto"/>
        </w:rPr>
        <w:t>of the executive management for the period after the termination of the employment agreement. The</w:t>
      </w:r>
    </w:p>
    <w:p>
      <w:pPr>
        <w:spacing w:after="0" w:line="1" w:lineRule="exact"/>
        <w:rPr>
          <w:rFonts w:ascii="Arial" w:cs="Arial" w:eastAsia="Arial" w:hAnsi="Arial"/>
          <w:sz w:val="13"/>
          <w:szCs w:val="13"/>
          <w:color w:val="auto"/>
        </w:rPr>
      </w:pPr>
    </w:p>
    <w:p>
      <w:pPr>
        <w:jc w:val="both"/>
        <w:ind w:left="235"/>
        <w:spacing w:after="0" w:line="287" w:lineRule="auto"/>
        <w:rPr>
          <w:rFonts w:ascii="Arial" w:cs="Arial" w:eastAsia="Arial" w:hAnsi="Arial"/>
          <w:sz w:val="13"/>
          <w:szCs w:val="13"/>
          <w:color w:val="auto"/>
        </w:rPr>
      </w:pPr>
      <w:r>
        <w:rPr>
          <w:rFonts w:ascii="Arial" w:cs="Arial" w:eastAsia="Arial" w:hAnsi="Arial"/>
          <w:sz w:val="17"/>
          <w:szCs w:val="17"/>
          <w:color w:val="auto"/>
        </w:rPr>
        <w:t>duration of any such non-competition undertaking by a member of the executive management shall not</w:t>
      </w:r>
    </w:p>
    <w:p>
      <w:pPr>
        <w:spacing w:after="0" w:line="1" w:lineRule="exact"/>
        <w:rPr>
          <w:rFonts w:ascii="Arial" w:cs="Arial" w:eastAsia="Arial" w:hAnsi="Arial"/>
          <w:sz w:val="13"/>
          <w:szCs w:val="13"/>
          <w:color w:val="auto"/>
        </w:rPr>
      </w:pPr>
    </w:p>
    <w:p>
      <w:pPr>
        <w:jc w:val="both"/>
        <w:ind w:left="235"/>
        <w:spacing w:after="0" w:line="287" w:lineRule="auto"/>
        <w:rPr>
          <w:rFonts w:ascii="Arial" w:cs="Arial" w:eastAsia="Arial" w:hAnsi="Arial"/>
          <w:sz w:val="13"/>
          <w:szCs w:val="13"/>
          <w:color w:val="auto"/>
        </w:rPr>
      </w:pPr>
      <w:r>
        <w:rPr>
          <w:rFonts w:ascii="Arial" w:cs="Arial" w:eastAsia="Arial" w:hAnsi="Arial"/>
          <w:sz w:val="17"/>
          <w:szCs w:val="17"/>
          <w:color w:val="auto"/>
        </w:rPr>
        <w:t>exceed two years, and the consideration paid for a non-competition undertaking shall not exceed the</w:t>
      </w:r>
    </w:p>
    <w:p>
      <w:pPr>
        <w:spacing w:after="0" w:line="1" w:lineRule="exact"/>
        <w:rPr>
          <w:rFonts w:ascii="Arial" w:cs="Arial" w:eastAsia="Arial" w:hAnsi="Arial"/>
          <w:sz w:val="13"/>
          <w:szCs w:val="13"/>
          <w:color w:val="auto"/>
        </w:rPr>
      </w:pPr>
    </w:p>
    <w:p>
      <w:pPr>
        <w:jc w:val="both"/>
        <w:ind w:left="235"/>
        <w:spacing w:after="0" w:line="301" w:lineRule="auto"/>
        <w:rPr>
          <w:rFonts w:ascii="Arial" w:cs="Arial" w:eastAsia="Arial" w:hAnsi="Arial"/>
          <w:sz w:val="13"/>
          <w:szCs w:val="13"/>
          <w:color w:val="auto"/>
        </w:rPr>
      </w:pPr>
      <w:r>
        <w:rPr>
          <w:rFonts w:ascii="Arial" w:cs="Arial" w:eastAsia="Arial" w:hAnsi="Arial"/>
          <w:sz w:val="17"/>
          <w:szCs w:val="17"/>
          <w:color w:val="auto"/>
        </w:rPr>
        <w:t>sum of the total annual compensation of the respective member of the executive management last paid and in no event exceed the average of the compensation of the last three financial years.</w:t>
      </w:r>
    </w:p>
    <w:p>
      <w:pPr>
        <w:spacing w:after="0" w:line="200" w:lineRule="exact"/>
        <w:rPr>
          <w:rFonts w:ascii="Arial" w:cs="Arial" w:eastAsia="Arial" w:hAnsi="Arial"/>
          <w:sz w:val="13"/>
          <w:szCs w:val="13"/>
          <w:color w:val="auto"/>
        </w:rPr>
      </w:pPr>
    </w:p>
    <w:p>
      <w:pPr>
        <w:spacing w:after="0" w:line="250" w:lineRule="exact"/>
        <w:rPr>
          <w:rFonts w:ascii="Arial" w:cs="Arial" w:eastAsia="Arial" w:hAnsi="Arial"/>
          <w:sz w:val="13"/>
          <w:szCs w:val="13"/>
          <w:color w:val="auto"/>
        </w:rPr>
      </w:pPr>
    </w:p>
    <w:p>
      <w:pPr>
        <w:ind w:left="235"/>
        <w:spacing w:after="0"/>
        <w:rPr>
          <w:rFonts w:ascii="Arial" w:cs="Arial" w:eastAsia="Arial" w:hAnsi="Arial"/>
          <w:sz w:val="13"/>
          <w:szCs w:val="13"/>
          <w:color w:val="auto"/>
        </w:rPr>
      </w:pPr>
      <w:r>
        <w:rPr>
          <w:rFonts w:ascii="Arial" w:cs="Arial" w:eastAsia="Arial" w:hAnsi="Arial"/>
          <w:sz w:val="17"/>
          <w:szCs w:val="17"/>
          <w:b w:val="1"/>
          <w:bCs w:val="1"/>
          <w:color w:val="auto"/>
        </w:rPr>
        <w:t>Section 6:</w:t>
      </w:r>
    </w:p>
    <w:p>
      <w:pPr>
        <w:spacing w:after="0" w:line="35" w:lineRule="exact"/>
        <w:rPr>
          <w:rFonts w:ascii="Arial" w:cs="Arial" w:eastAsia="Arial" w:hAnsi="Arial"/>
          <w:sz w:val="13"/>
          <w:szCs w:val="13"/>
          <w:color w:val="auto"/>
        </w:rPr>
      </w:pPr>
    </w:p>
    <w:p>
      <w:pPr>
        <w:ind w:left="235"/>
        <w:spacing w:after="0"/>
        <w:rPr>
          <w:rFonts w:ascii="Arial" w:cs="Arial" w:eastAsia="Arial" w:hAnsi="Arial"/>
          <w:sz w:val="13"/>
          <w:szCs w:val="13"/>
          <w:color w:val="auto"/>
        </w:rPr>
      </w:pPr>
      <w:r>
        <w:rPr>
          <w:rFonts w:ascii="Arial" w:cs="Arial" w:eastAsia="Arial" w:hAnsi="Arial"/>
          <w:sz w:val="16"/>
          <w:szCs w:val="16"/>
          <w:i w:val="1"/>
          <w:iCs w:val="1"/>
          <w:color w:val="auto"/>
        </w:rPr>
        <w:t>Loans, Credits, Post-Retirement Benefits to members</w:t>
      </w:r>
    </w:p>
    <w:p>
      <w:pPr>
        <w:spacing w:after="0" w:line="55" w:lineRule="exact"/>
        <w:rPr>
          <w:rFonts w:ascii="Arial" w:cs="Arial" w:eastAsia="Arial" w:hAnsi="Arial"/>
          <w:sz w:val="13"/>
          <w:szCs w:val="13"/>
          <w:color w:val="auto"/>
        </w:rPr>
      </w:pPr>
    </w:p>
    <w:p>
      <w:pPr>
        <w:ind w:left="235" w:right="800"/>
        <w:spacing w:after="0" w:line="310" w:lineRule="auto"/>
        <w:rPr>
          <w:rFonts w:ascii="Arial" w:cs="Arial" w:eastAsia="Arial" w:hAnsi="Arial"/>
          <w:sz w:val="13"/>
          <w:szCs w:val="13"/>
          <w:color w:val="auto"/>
        </w:rPr>
      </w:pPr>
      <w:r>
        <w:rPr>
          <w:rFonts w:ascii="Arial" w:cs="Arial" w:eastAsia="Arial" w:hAnsi="Arial"/>
          <w:sz w:val="17"/>
          <w:szCs w:val="17"/>
          <w:i w:val="1"/>
          <w:iCs w:val="1"/>
          <w:color w:val="auto"/>
        </w:rPr>
        <w:t>of the Board of Directors and the Executive Management</w:t>
      </w:r>
    </w:p>
    <w:p>
      <w:pPr>
        <w:spacing w:after="0" w:line="200" w:lineRule="exact"/>
        <w:rPr>
          <w:rFonts w:ascii="Arial" w:cs="Arial" w:eastAsia="Arial" w:hAnsi="Arial"/>
          <w:sz w:val="13"/>
          <w:szCs w:val="13"/>
          <w:color w:val="auto"/>
        </w:rPr>
      </w:pPr>
    </w:p>
    <w:p>
      <w:pPr>
        <w:spacing w:after="0" w:line="255" w:lineRule="exact"/>
        <w:rPr>
          <w:rFonts w:ascii="Arial" w:cs="Arial" w:eastAsia="Arial" w:hAnsi="Arial"/>
          <w:sz w:val="13"/>
          <w:szCs w:val="13"/>
          <w:color w:val="auto"/>
        </w:rPr>
      </w:pPr>
    </w:p>
    <w:p>
      <w:pPr>
        <w:ind w:left="235"/>
        <w:spacing w:after="0"/>
        <w:rPr>
          <w:rFonts w:ascii="Arial" w:cs="Arial" w:eastAsia="Arial" w:hAnsi="Arial"/>
          <w:sz w:val="13"/>
          <w:szCs w:val="13"/>
          <w:color w:val="auto"/>
        </w:rPr>
      </w:pPr>
      <w:r>
        <w:rPr>
          <w:rFonts w:ascii="Arial" w:cs="Arial" w:eastAsia="Arial" w:hAnsi="Arial"/>
          <w:sz w:val="17"/>
          <w:szCs w:val="17"/>
          <w:b w:val="1"/>
          <w:bCs w:val="1"/>
          <w:color w:val="auto"/>
        </w:rPr>
        <w:t>Article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-386080</wp:posOffset>
            </wp:positionV>
            <wp:extent cx="25895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258953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-1085850</wp:posOffset>
            </wp:positionV>
            <wp:extent cx="25895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605" w:space="720"/>
            <w:col w:w="4255"/>
          </w:cols>
          <w:pgMar w:left="360" w:top="132" w:right="9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20"/>
                <w:szCs w:val="20"/>
                <w:color w:val="auto"/>
              </w:rPr>
            </w:pPr>
            <w:r>
              <w:rPr>
                <w:rFonts w:ascii="Arial" w:cs="Arial" w:eastAsia="Arial" w:hAnsi="Arial"/>
                <w:sz w:val="13"/>
                <w:szCs w:val="13"/>
                <w:color w:val="auto"/>
              </w:rPr>
              <w:t>Darlehen und</w:t>
            </w: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Kredite an Mitglieder des Verwaltungsrats und der</w:t>
            </w:r>
          </w:p>
        </w:tc>
        <w:tc>
          <w:tcPr>
            <w:tcW w:w="940" w:type="dxa"/>
            <w:vAlign w:val="bottom"/>
          </w:tcPr>
          <w:p>
            <w:pPr>
              <w:ind w:left="80"/>
              <w:spacing w:after="0"/>
              <w:rPr>
                <w:sz w:val="20"/>
                <w:szCs w:val="20"/>
                <w:color w:val="auto"/>
              </w:rPr>
            </w:pPr>
            <w:r>
              <w:rPr>
                <w:rFonts w:ascii="Arial" w:cs="Arial" w:eastAsia="Arial" w:hAnsi="Arial"/>
                <w:sz w:val="13"/>
                <w:szCs w:val="13"/>
                <w:color w:val="auto"/>
              </w:rPr>
              <w:t>Loans and</w:t>
            </w:r>
          </w:p>
        </w:tc>
        <w:tc>
          <w:tcPr>
            <w:tcW w:w="4260" w:type="dxa"/>
            <w:vAlign w:val="bottom"/>
          </w:tcPr>
          <w:p>
            <w:pPr>
              <w:ind w:left="240"/>
              <w:spacing w:after="0"/>
              <w:rPr>
                <w:sz w:val="20"/>
                <w:szCs w:val="20"/>
                <w:color w:val="auto"/>
              </w:rPr>
            </w:pPr>
            <w:r>
              <w:rPr>
                <w:rFonts w:ascii="Arial" w:cs="Arial" w:eastAsia="Arial" w:hAnsi="Arial"/>
                <w:sz w:val="17"/>
                <w:szCs w:val="17"/>
                <w:color w:val="auto"/>
              </w:rPr>
              <w:t>Credits to members of the board of directors and the</w:t>
            </w:r>
          </w:p>
        </w:tc>
      </w:tr>
      <w:tr>
        <w:trPr>
          <w:trHeight w:val="228"/>
        </w:trPr>
        <w:tc>
          <w:tcPr>
            <w:tcW w:w="1060" w:type="dxa"/>
            <w:vAlign w:val="bottom"/>
          </w:tcPr>
          <w:p>
            <w:pPr>
              <w:spacing w:after="0"/>
              <w:rPr>
                <w:sz w:val="20"/>
                <w:szCs w:val="20"/>
                <w:color w:val="auto"/>
              </w:rPr>
            </w:pPr>
            <w:r>
              <w:rPr>
                <w:rFonts w:ascii="Arial" w:cs="Arial" w:eastAsia="Arial" w:hAnsi="Arial"/>
                <w:sz w:val="13"/>
                <w:szCs w:val="13"/>
                <w:color w:val="auto"/>
              </w:rPr>
              <w:t>Kredite</w:t>
            </w: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Geschäftsleitung dürfen von der Gesellschaft oder</w:t>
            </w:r>
          </w:p>
        </w:tc>
        <w:tc>
          <w:tcPr>
            <w:tcW w:w="940" w:type="dxa"/>
            <w:vAlign w:val="bottom"/>
          </w:tcPr>
          <w:p>
            <w:pPr>
              <w:ind w:left="80"/>
              <w:spacing w:after="0"/>
              <w:rPr>
                <w:sz w:val="20"/>
                <w:szCs w:val="20"/>
                <w:color w:val="auto"/>
              </w:rPr>
            </w:pPr>
            <w:r>
              <w:rPr>
                <w:rFonts w:ascii="Arial" w:cs="Arial" w:eastAsia="Arial" w:hAnsi="Arial"/>
                <w:sz w:val="13"/>
                <w:szCs w:val="13"/>
                <w:color w:val="auto"/>
              </w:rPr>
              <w:t>Credits</w:t>
            </w:r>
          </w:p>
        </w:tc>
        <w:tc>
          <w:tcPr>
            <w:tcW w:w="4260" w:type="dxa"/>
            <w:vAlign w:val="bottom"/>
          </w:tcPr>
          <w:p>
            <w:pPr>
              <w:ind w:left="240"/>
              <w:spacing w:after="0"/>
              <w:rPr>
                <w:sz w:val="20"/>
                <w:szCs w:val="20"/>
                <w:color w:val="auto"/>
              </w:rPr>
            </w:pPr>
            <w:r>
              <w:rPr>
                <w:rFonts w:ascii="Arial" w:cs="Arial" w:eastAsia="Arial" w:hAnsi="Arial"/>
                <w:sz w:val="17"/>
                <w:szCs w:val="17"/>
                <w:color w:val="auto"/>
              </w:rPr>
              <w:t>executive  management  can  solely  be  granted  at</w:t>
            </w:r>
          </w:p>
        </w:tc>
      </w:tr>
      <w:tr>
        <w:trPr>
          <w:trHeight w:val="241"/>
        </w:trPr>
        <w:tc>
          <w:tcPr>
            <w:tcW w:w="1060" w:type="dxa"/>
            <w:vAlign w:val="bottom"/>
          </w:tcPr>
          <w:p>
            <w:pPr>
              <w:spacing w:after="0"/>
              <w:rPr>
                <w:sz w:val="20"/>
                <w:szCs w:val="20"/>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von   ihr   kontrollierten   Gesellschaften   nur   zu</w:t>
            </w:r>
          </w:p>
        </w:tc>
        <w:tc>
          <w:tcPr>
            <w:tcW w:w="940" w:type="dxa"/>
            <w:vAlign w:val="bottom"/>
          </w:tcPr>
          <w:p>
            <w:pPr>
              <w:spacing w:after="0"/>
              <w:rPr>
                <w:sz w:val="20"/>
                <w:szCs w:val="20"/>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standard market rates and the aggregate amount of</w:t>
            </w:r>
          </w:p>
        </w:tc>
      </w:tr>
      <w:tr>
        <w:trPr>
          <w:trHeight w:val="228"/>
        </w:trPr>
        <w:tc>
          <w:tcPr>
            <w:tcW w:w="1060" w:type="dxa"/>
            <w:vAlign w:val="bottom"/>
          </w:tcPr>
          <w:p>
            <w:pPr>
              <w:spacing w:after="0"/>
              <w:rPr>
                <w:sz w:val="19"/>
                <w:szCs w:val="19"/>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Marktbedingungen  und  nur  solange  ausgerichtet</w:t>
            </w:r>
          </w:p>
        </w:tc>
        <w:tc>
          <w:tcPr>
            <w:tcW w:w="94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credit to the member of the board of directors or</w:t>
            </w:r>
          </w:p>
        </w:tc>
      </w:tr>
      <w:tr>
        <w:trPr>
          <w:trHeight w:val="241"/>
        </w:trPr>
        <w:tc>
          <w:tcPr>
            <w:tcW w:w="1060" w:type="dxa"/>
            <w:vAlign w:val="bottom"/>
          </w:tcPr>
          <w:p>
            <w:pPr>
              <w:spacing w:after="0"/>
              <w:rPr>
                <w:sz w:val="20"/>
                <w:szCs w:val="20"/>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werden,  als  die  Gesamtsumme  der  insgesamt</w:t>
            </w:r>
          </w:p>
        </w:tc>
        <w:tc>
          <w:tcPr>
            <w:tcW w:w="940" w:type="dxa"/>
            <w:vAlign w:val="bottom"/>
          </w:tcPr>
          <w:p>
            <w:pPr>
              <w:spacing w:after="0"/>
              <w:rPr>
                <w:sz w:val="20"/>
                <w:szCs w:val="20"/>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executive management may not exceed double the</w:t>
            </w:r>
          </w:p>
        </w:tc>
      </w:tr>
      <w:tr>
        <w:trPr>
          <w:trHeight w:val="228"/>
        </w:trPr>
        <w:tc>
          <w:tcPr>
            <w:tcW w:w="1060" w:type="dxa"/>
            <w:vAlign w:val="bottom"/>
          </w:tcPr>
          <w:p>
            <w:pPr>
              <w:spacing w:after="0"/>
              <w:rPr>
                <w:sz w:val="19"/>
                <w:szCs w:val="19"/>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ausstehenden  Kredite  an  dieses  Mitglied  des</w:t>
            </w:r>
          </w:p>
        </w:tc>
        <w:tc>
          <w:tcPr>
            <w:tcW w:w="94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total annual compensation of the respective member</w:t>
            </w:r>
          </w:p>
        </w:tc>
      </w:tr>
      <w:tr>
        <w:trPr>
          <w:trHeight w:val="241"/>
        </w:trPr>
        <w:tc>
          <w:tcPr>
            <w:tcW w:w="1060" w:type="dxa"/>
            <w:vAlign w:val="bottom"/>
          </w:tcPr>
          <w:p>
            <w:pPr>
              <w:spacing w:after="0"/>
              <w:rPr>
                <w:sz w:val="20"/>
                <w:szCs w:val="20"/>
                <w:color w:val="auto"/>
              </w:rPr>
            </w:pPr>
          </w:p>
        </w:tc>
        <w:tc>
          <w:tcPr>
            <w:tcW w:w="1600" w:type="dxa"/>
            <w:vAlign w:val="bottom"/>
          </w:tcPr>
          <w:p>
            <w:pPr>
              <w:ind w:left="240"/>
              <w:spacing w:after="0"/>
              <w:rPr>
                <w:sz w:val="20"/>
                <w:szCs w:val="20"/>
                <w:color w:val="auto"/>
              </w:rPr>
            </w:pPr>
            <w:r>
              <w:rPr>
                <w:rFonts w:ascii="Arial" w:cs="Arial" w:eastAsia="Arial" w:hAnsi="Arial"/>
                <w:sz w:val="17"/>
                <w:szCs w:val="17"/>
                <w:color w:val="auto"/>
              </w:rPr>
              <w:t>Verwaltungsrats</w:t>
            </w:r>
          </w:p>
        </w:tc>
        <w:tc>
          <w:tcPr>
            <w:tcW w:w="660" w:type="dxa"/>
            <w:vAlign w:val="bottom"/>
          </w:tcPr>
          <w:p>
            <w:pPr>
              <w:ind w:left="160"/>
              <w:spacing w:after="0"/>
              <w:rPr>
                <w:sz w:val="20"/>
                <w:szCs w:val="20"/>
                <w:color w:val="auto"/>
              </w:rPr>
            </w:pPr>
            <w:r>
              <w:rPr>
                <w:rFonts w:ascii="Arial" w:cs="Arial" w:eastAsia="Arial" w:hAnsi="Arial"/>
                <w:sz w:val="17"/>
                <w:szCs w:val="17"/>
                <w:color w:val="auto"/>
              </w:rPr>
              <w:t>oder</w:t>
            </w:r>
          </w:p>
        </w:tc>
        <w:tc>
          <w:tcPr>
            <w:tcW w:w="560" w:type="dxa"/>
            <w:vAlign w:val="bottom"/>
          </w:tcPr>
          <w:p>
            <w:pPr>
              <w:ind w:left="160"/>
              <w:spacing w:after="0"/>
              <w:rPr>
                <w:sz w:val="20"/>
                <w:szCs w:val="20"/>
                <w:color w:val="auto"/>
              </w:rPr>
            </w:pPr>
            <w:r>
              <w:rPr>
                <w:rFonts w:ascii="Arial" w:cs="Arial" w:eastAsia="Arial" w:hAnsi="Arial"/>
                <w:sz w:val="17"/>
                <w:szCs w:val="17"/>
                <w:color w:val="auto"/>
              </w:rPr>
              <w:t>der</w:t>
            </w:r>
          </w:p>
        </w:tc>
        <w:tc>
          <w:tcPr>
            <w:tcW w:w="1500" w:type="dxa"/>
            <w:vAlign w:val="bottom"/>
          </w:tcPr>
          <w:p>
            <w:pPr>
              <w:ind w:left="160"/>
              <w:spacing w:after="0"/>
              <w:rPr>
                <w:sz w:val="20"/>
                <w:szCs w:val="20"/>
                <w:color w:val="auto"/>
              </w:rPr>
            </w:pPr>
            <w:r>
              <w:rPr>
                <w:rFonts w:ascii="Arial" w:cs="Arial" w:eastAsia="Arial" w:hAnsi="Arial"/>
                <w:sz w:val="17"/>
                <w:szCs w:val="17"/>
                <w:color w:val="auto"/>
              </w:rPr>
              <w:t>Geschäftsleitung</w:t>
            </w:r>
          </w:p>
        </w:tc>
        <w:tc>
          <w:tcPr>
            <w:tcW w:w="940" w:type="dxa"/>
            <w:vAlign w:val="bottom"/>
          </w:tcPr>
          <w:p>
            <w:pPr>
              <w:spacing w:after="0"/>
              <w:rPr>
                <w:sz w:val="20"/>
                <w:szCs w:val="20"/>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of the executive management last paid or payable for</w:t>
            </w:r>
          </w:p>
        </w:tc>
      </w:tr>
      <w:tr>
        <w:trPr>
          <w:trHeight w:val="228"/>
        </w:trPr>
        <w:tc>
          <w:tcPr>
            <w:tcW w:w="1060" w:type="dxa"/>
            <w:vAlign w:val="bottom"/>
          </w:tcPr>
          <w:p>
            <w:pPr>
              <w:spacing w:after="0"/>
              <w:rPr>
                <w:sz w:val="19"/>
                <w:szCs w:val="19"/>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einschliesslich  der  zu  gewährenden  Kredite  das</w:t>
            </w:r>
          </w:p>
        </w:tc>
        <w:tc>
          <w:tcPr>
            <w:tcW w:w="94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7"/>
                <w:szCs w:val="17"/>
                <w:color w:val="auto"/>
              </w:rPr>
              <w:t>the first time.</w:t>
            </w:r>
          </w:p>
        </w:tc>
      </w:tr>
      <w:tr>
        <w:trPr>
          <w:trHeight w:val="241"/>
        </w:trPr>
        <w:tc>
          <w:tcPr>
            <w:tcW w:w="1060" w:type="dxa"/>
            <w:vAlign w:val="bottom"/>
          </w:tcPr>
          <w:p>
            <w:pPr>
              <w:spacing w:after="0"/>
              <w:rPr>
                <w:sz w:val="20"/>
                <w:szCs w:val="20"/>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Zweifache der letztmalig an dieses Mitglied bezahlten</w:t>
            </w:r>
          </w:p>
        </w:tc>
        <w:tc>
          <w:tcPr>
            <w:tcW w:w="9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28"/>
        </w:trPr>
        <w:tc>
          <w:tcPr>
            <w:tcW w:w="1060" w:type="dxa"/>
            <w:vAlign w:val="bottom"/>
          </w:tcPr>
          <w:p>
            <w:pPr>
              <w:spacing w:after="0"/>
              <w:rPr>
                <w:sz w:val="19"/>
                <w:szCs w:val="19"/>
                <w:color w:val="auto"/>
              </w:rPr>
            </w:pPr>
          </w:p>
        </w:tc>
        <w:tc>
          <w:tcPr>
            <w:tcW w:w="4320" w:type="dxa"/>
            <w:vAlign w:val="bottom"/>
            <w:gridSpan w:val="4"/>
          </w:tcPr>
          <w:p>
            <w:pPr>
              <w:ind w:left="240"/>
              <w:spacing w:after="0"/>
              <w:rPr>
                <w:sz w:val="20"/>
                <w:szCs w:val="20"/>
                <w:color w:val="auto"/>
              </w:rPr>
            </w:pPr>
            <w:r>
              <w:rPr>
                <w:rFonts w:ascii="Arial" w:cs="Arial" w:eastAsia="Arial" w:hAnsi="Arial"/>
                <w:sz w:val="17"/>
                <w:szCs w:val="17"/>
                <w:color w:val="auto"/>
              </w:rPr>
              <w:t>oder erstmaligen Jahresvergütung nicht übersteigt.</w:t>
            </w:r>
          </w:p>
        </w:tc>
        <w:tc>
          <w:tcPr>
            <w:tcW w:w="9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730"/>
        </w:trPr>
        <w:tc>
          <w:tcPr>
            <w:tcW w:w="1060" w:type="dxa"/>
            <w:vAlign w:val="bottom"/>
          </w:tcPr>
          <w:p>
            <w:pPr>
              <w:spacing w:after="0"/>
              <w:rPr>
                <w:sz w:val="24"/>
                <w:szCs w:val="24"/>
                <w:color w:val="auto"/>
              </w:rPr>
            </w:pPr>
          </w:p>
        </w:tc>
        <w:tc>
          <w:tcPr>
            <w:tcW w:w="1600" w:type="dxa"/>
            <w:vAlign w:val="bottom"/>
          </w:tcPr>
          <w:p>
            <w:pPr>
              <w:ind w:left="240"/>
              <w:spacing w:after="0"/>
              <w:rPr>
                <w:sz w:val="20"/>
                <w:szCs w:val="20"/>
                <w:color w:val="auto"/>
              </w:rPr>
            </w:pPr>
            <w:r>
              <w:rPr>
                <w:rFonts w:ascii="Arial" w:cs="Arial" w:eastAsia="Arial" w:hAnsi="Arial"/>
                <w:sz w:val="17"/>
                <w:szCs w:val="17"/>
                <w:b w:val="1"/>
                <w:bCs w:val="1"/>
                <w:color w:val="auto"/>
              </w:rPr>
              <w:t>Artikel 32</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60" w:type="dxa"/>
            <w:vAlign w:val="bottom"/>
          </w:tcPr>
          <w:p>
            <w:pPr>
              <w:ind w:left="240"/>
              <w:spacing w:after="0"/>
              <w:rPr>
                <w:sz w:val="20"/>
                <w:szCs w:val="20"/>
                <w:color w:val="auto"/>
              </w:rPr>
            </w:pPr>
            <w:r>
              <w:rPr>
                <w:rFonts w:ascii="Arial" w:cs="Arial" w:eastAsia="Arial" w:hAnsi="Arial"/>
                <w:sz w:val="17"/>
                <w:szCs w:val="17"/>
                <w:b w:val="1"/>
                <w:bCs w:val="1"/>
                <w:color w:val="auto"/>
              </w:rPr>
              <w:t>Article 32</w:t>
            </w:r>
          </w:p>
        </w:tc>
      </w:tr>
    </w:tbl>
    <w:p>
      <w:pPr>
        <w:sectPr>
          <w:pgSz w:w="11900" w:h="16838" w:orient="portrait"/>
          <w:cols w:equalWidth="0" w:num="1">
            <w:col w:w="10580"/>
          </w:cols>
          <w:pgMar w:left="360" w:top="132" w:right="959" w:bottom="1440" w:gutter="0" w:footer="0" w:header="0"/>
          <w:type w:val="continuous"/>
        </w:sectPr>
      </w:pPr>
    </w:p>
    <w:bookmarkStart w:id="252" w:name="page253"/>
    <w:bookmarkEnd w:id="252"/>
    <w:p>
      <w:pPr>
        <w:ind w:left="5420"/>
        <w:spacing w:after="0"/>
        <w:rPr>
          <w:sz w:val="20"/>
          <w:szCs w:val="20"/>
          <w:color w:val="auto"/>
        </w:rPr>
      </w:pPr>
      <w:r>
        <w:rPr>
          <w:rFonts w:ascii="Arial" w:cs="Arial" w:eastAsia="Arial" w:hAnsi="Arial"/>
          <w:sz w:val="13"/>
          <w:szCs w:val="13"/>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Arial" w:cs="Arial" w:eastAsia="Arial" w:hAnsi="Arial"/>
                <w:sz w:val="13"/>
                <w:szCs w:val="13"/>
                <w:color w:val="auto"/>
              </w:rPr>
              <w:t>Vorsorgeleistungen</w:t>
            </w: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Vorbehältlich   der   Genehmigung   durch   die</w:t>
            </w:r>
          </w:p>
        </w:tc>
        <w:tc>
          <w:tcPr>
            <w:tcW w:w="960" w:type="dxa"/>
            <w:vAlign w:val="bottom"/>
          </w:tcPr>
          <w:p>
            <w:pPr>
              <w:ind w:left="120"/>
              <w:spacing w:after="0"/>
              <w:rPr>
                <w:sz w:val="20"/>
                <w:szCs w:val="20"/>
                <w:color w:val="auto"/>
              </w:rPr>
            </w:pPr>
            <w:r>
              <w:rPr>
                <w:rFonts w:ascii="Arial" w:cs="Arial" w:eastAsia="Arial" w:hAnsi="Arial"/>
                <w:sz w:val="13"/>
                <w:szCs w:val="13"/>
                <w:color w:val="auto"/>
              </w:rPr>
              <w:t>Post-</w:t>
            </w: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Subject  to  the  approval  by  the  meeting  of</w:t>
            </w:r>
          </w:p>
        </w:tc>
      </w:tr>
      <w:tr>
        <w:trPr>
          <w:trHeight w:val="228"/>
        </w:trPr>
        <w:tc>
          <w:tcPr>
            <w:tcW w:w="1180" w:type="dxa"/>
            <w:vAlign w:val="bottom"/>
          </w:tcPr>
          <w:p>
            <w:pPr>
              <w:spacing w:after="0"/>
              <w:rPr>
                <w:sz w:val="20"/>
                <w:szCs w:val="20"/>
                <w:color w:val="auto"/>
              </w:rPr>
            </w:pPr>
            <w:r>
              <w:rPr>
                <w:rFonts w:ascii="Arial" w:cs="Arial" w:eastAsia="Arial" w:hAnsi="Arial"/>
                <w:sz w:val="13"/>
                <w:szCs w:val="13"/>
                <w:color w:val="auto"/>
              </w:rPr>
              <w:t>ausserhalb der</w:t>
            </w: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Generalversammlung  gemäss  Artikel  28  dieser</w:t>
            </w:r>
          </w:p>
        </w:tc>
        <w:tc>
          <w:tcPr>
            <w:tcW w:w="960" w:type="dxa"/>
            <w:vAlign w:val="bottom"/>
          </w:tcPr>
          <w:p>
            <w:pPr>
              <w:ind w:left="120"/>
              <w:spacing w:after="0"/>
              <w:rPr>
                <w:sz w:val="20"/>
                <w:szCs w:val="20"/>
                <w:color w:val="auto"/>
              </w:rPr>
            </w:pPr>
            <w:r>
              <w:rPr>
                <w:rFonts w:ascii="Arial" w:cs="Arial" w:eastAsia="Arial" w:hAnsi="Arial"/>
                <w:sz w:val="13"/>
                <w:szCs w:val="13"/>
                <w:color w:val="auto"/>
              </w:rPr>
              <w:t>Retirement</w:t>
            </w: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shareholders pursuant to Article 28 of these Articles</w:t>
            </w:r>
          </w:p>
        </w:tc>
      </w:tr>
      <w:tr>
        <w:trPr>
          <w:trHeight w:val="241"/>
        </w:trPr>
        <w:tc>
          <w:tcPr>
            <w:tcW w:w="1180" w:type="dxa"/>
            <w:vAlign w:val="bottom"/>
          </w:tcPr>
          <w:p>
            <w:pPr>
              <w:spacing w:after="0"/>
              <w:rPr>
                <w:sz w:val="20"/>
                <w:szCs w:val="20"/>
                <w:color w:val="auto"/>
              </w:rPr>
            </w:pPr>
            <w:r>
              <w:rPr>
                <w:rFonts w:ascii="Arial" w:cs="Arial" w:eastAsia="Arial" w:hAnsi="Arial"/>
                <w:sz w:val="13"/>
                <w:szCs w:val="13"/>
                <w:color w:val="auto"/>
              </w:rPr>
              <w:t>beruflichen</w:t>
            </w:r>
          </w:p>
        </w:tc>
        <w:tc>
          <w:tcPr>
            <w:tcW w:w="240" w:type="dxa"/>
            <w:vAlign w:val="bottom"/>
          </w:tcPr>
          <w:p>
            <w:pPr>
              <w:spacing w:after="0"/>
              <w:rPr>
                <w:sz w:val="20"/>
                <w:szCs w:val="20"/>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Statuten  können  die  Gesellschaft  oder  von  ihr</w:t>
            </w:r>
          </w:p>
        </w:tc>
        <w:tc>
          <w:tcPr>
            <w:tcW w:w="960" w:type="dxa"/>
            <w:vAlign w:val="bottom"/>
          </w:tcPr>
          <w:p>
            <w:pPr>
              <w:ind w:left="120"/>
              <w:spacing w:after="0"/>
              <w:rPr>
                <w:sz w:val="20"/>
                <w:szCs w:val="20"/>
                <w:color w:val="auto"/>
              </w:rPr>
            </w:pPr>
            <w:r>
              <w:rPr>
                <w:rFonts w:ascii="Arial" w:cs="Arial" w:eastAsia="Arial" w:hAnsi="Arial"/>
                <w:sz w:val="13"/>
                <w:szCs w:val="13"/>
                <w:color w:val="auto"/>
              </w:rPr>
              <w:t>Benefits</w:t>
            </w: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of Incorporation, the Company or companies under</w:t>
            </w:r>
          </w:p>
        </w:tc>
      </w:tr>
      <w:tr>
        <w:trPr>
          <w:trHeight w:val="228"/>
        </w:trPr>
        <w:tc>
          <w:tcPr>
            <w:tcW w:w="1180" w:type="dxa"/>
            <w:vAlign w:val="bottom"/>
          </w:tcPr>
          <w:p>
            <w:pPr>
              <w:spacing w:after="0"/>
              <w:rPr>
                <w:sz w:val="20"/>
                <w:szCs w:val="20"/>
                <w:color w:val="auto"/>
              </w:rPr>
            </w:pPr>
            <w:r>
              <w:rPr>
                <w:rFonts w:ascii="Arial" w:cs="Arial" w:eastAsia="Arial" w:hAnsi="Arial"/>
                <w:sz w:val="13"/>
                <w:szCs w:val="13"/>
                <w:color w:val="auto"/>
              </w:rPr>
              <w:t>Vorsorge</w:t>
            </w: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kontrollierte  Gesellschaften  an  Mitglieder  des</w:t>
            </w:r>
          </w:p>
        </w:tc>
        <w:tc>
          <w:tcPr>
            <w:tcW w:w="960" w:type="dxa"/>
            <w:vAlign w:val="bottom"/>
          </w:tcPr>
          <w:p>
            <w:pPr>
              <w:ind w:left="120"/>
              <w:spacing w:after="0"/>
              <w:rPr>
                <w:sz w:val="20"/>
                <w:szCs w:val="20"/>
                <w:color w:val="auto"/>
              </w:rPr>
            </w:pPr>
            <w:r>
              <w:rPr>
                <w:rFonts w:ascii="Arial" w:cs="Arial" w:eastAsia="Arial" w:hAnsi="Arial"/>
                <w:sz w:val="13"/>
                <w:szCs w:val="13"/>
                <w:color w:val="auto"/>
              </w:rPr>
              <w:t>beyond</w:t>
            </w: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its control may grant to members of the board of</w:t>
            </w:r>
          </w:p>
        </w:tc>
      </w:tr>
      <w:tr>
        <w:trPr>
          <w:trHeight w:val="241"/>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7"/>
                <w:szCs w:val="17"/>
                <w:color w:val="auto"/>
              </w:rPr>
              <w:t>Verwaltungsrates</w:t>
            </w:r>
          </w:p>
        </w:tc>
        <w:tc>
          <w:tcPr>
            <w:tcW w:w="420" w:type="dxa"/>
            <w:vAlign w:val="bottom"/>
          </w:tcPr>
          <w:p>
            <w:pPr>
              <w:ind w:left="60"/>
              <w:spacing w:after="0"/>
              <w:rPr>
                <w:sz w:val="20"/>
                <w:szCs w:val="20"/>
                <w:color w:val="auto"/>
              </w:rPr>
            </w:pPr>
            <w:r>
              <w:rPr>
                <w:rFonts w:ascii="Arial" w:cs="Arial" w:eastAsia="Arial" w:hAnsi="Arial"/>
                <w:sz w:val="17"/>
                <w:szCs w:val="17"/>
                <w:color w:val="auto"/>
              </w:rPr>
              <w:t>und</w:t>
            </w:r>
          </w:p>
        </w:tc>
        <w:tc>
          <w:tcPr>
            <w:tcW w:w="540" w:type="dxa"/>
            <w:vAlign w:val="bottom"/>
          </w:tcPr>
          <w:p>
            <w:pPr>
              <w:ind w:left="220"/>
              <w:spacing w:after="0"/>
              <w:rPr>
                <w:sz w:val="20"/>
                <w:szCs w:val="20"/>
                <w:color w:val="auto"/>
              </w:rPr>
            </w:pPr>
            <w:r>
              <w:rPr>
                <w:rFonts w:ascii="Arial" w:cs="Arial" w:eastAsia="Arial" w:hAnsi="Arial"/>
                <w:sz w:val="17"/>
                <w:szCs w:val="17"/>
                <w:color w:val="auto"/>
              </w:rPr>
              <w:t>der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Geschäftsleitung</w:t>
            </w:r>
          </w:p>
        </w:tc>
        <w:tc>
          <w:tcPr>
            <w:tcW w:w="960" w:type="dxa"/>
            <w:vAlign w:val="bottom"/>
          </w:tcPr>
          <w:p>
            <w:pPr>
              <w:ind w:left="120"/>
              <w:spacing w:after="0"/>
              <w:rPr>
                <w:sz w:val="20"/>
                <w:szCs w:val="20"/>
                <w:color w:val="auto"/>
              </w:rPr>
            </w:pPr>
            <w:r>
              <w:rPr>
                <w:rFonts w:ascii="Arial" w:cs="Arial" w:eastAsia="Arial" w:hAnsi="Arial"/>
                <w:sz w:val="13"/>
                <w:szCs w:val="13"/>
                <w:color w:val="auto"/>
              </w:rPr>
              <w:t>Occupational</w:t>
            </w: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directors  or  the  executive  management  post-</w:t>
            </w:r>
          </w:p>
        </w:tc>
      </w:tr>
      <w:tr>
        <w:trPr>
          <w:trHeight w:val="228"/>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7"/>
                <w:szCs w:val="17"/>
                <w:color w:val="auto"/>
              </w:rPr>
              <w:t>Vorsorgeleistungen</w:t>
            </w:r>
          </w:p>
        </w:tc>
        <w:tc>
          <w:tcPr>
            <w:tcW w:w="960" w:type="dxa"/>
            <w:vAlign w:val="bottom"/>
            <w:gridSpan w:val="2"/>
          </w:tcPr>
          <w:p>
            <w:pPr>
              <w:ind w:left="140"/>
              <w:spacing w:after="0"/>
              <w:rPr>
                <w:sz w:val="20"/>
                <w:szCs w:val="20"/>
                <w:color w:val="auto"/>
              </w:rPr>
            </w:pPr>
            <w:r>
              <w:rPr>
                <w:rFonts w:ascii="Arial" w:cs="Arial" w:eastAsia="Arial" w:hAnsi="Arial"/>
                <w:sz w:val="17"/>
                <w:szCs w:val="17"/>
                <w:color w:val="auto"/>
                <w:w w:val="96"/>
              </w:rPr>
              <w:t>ausserhalb</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der  beruflichen</w:t>
            </w:r>
          </w:p>
        </w:tc>
        <w:tc>
          <w:tcPr>
            <w:tcW w:w="960" w:type="dxa"/>
            <w:vAlign w:val="bottom"/>
          </w:tcPr>
          <w:p>
            <w:pPr>
              <w:ind w:left="120"/>
              <w:spacing w:after="0"/>
              <w:rPr>
                <w:sz w:val="20"/>
                <w:szCs w:val="20"/>
                <w:color w:val="auto"/>
              </w:rPr>
            </w:pPr>
            <w:r>
              <w:rPr>
                <w:rFonts w:ascii="Arial" w:cs="Arial" w:eastAsia="Arial" w:hAnsi="Arial"/>
                <w:sz w:val="13"/>
                <w:szCs w:val="13"/>
                <w:color w:val="auto"/>
              </w:rPr>
              <w:t>Benefit</w:t>
            </w: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retirement benefits beyond the occupational benefit</w:t>
            </w:r>
          </w:p>
        </w:tc>
      </w:tr>
      <w:tr>
        <w:trPr>
          <w:trHeight w:val="241"/>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Vorsorge</w:t>
            </w:r>
          </w:p>
        </w:tc>
        <w:tc>
          <w:tcPr>
            <w:tcW w:w="1680" w:type="dxa"/>
            <w:vAlign w:val="bottom"/>
            <w:gridSpan w:val="3"/>
          </w:tcPr>
          <w:p>
            <w:pPr>
              <w:ind w:left="380"/>
              <w:spacing w:after="0"/>
              <w:rPr>
                <w:sz w:val="20"/>
                <w:szCs w:val="20"/>
                <w:color w:val="auto"/>
              </w:rPr>
            </w:pPr>
            <w:r>
              <w:rPr>
                <w:rFonts w:ascii="Arial" w:cs="Arial" w:eastAsia="Arial" w:hAnsi="Arial"/>
                <w:sz w:val="17"/>
                <w:szCs w:val="17"/>
                <w:color w:val="auto"/>
              </w:rPr>
              <w:t>ausrichten,</w:t>
            </w:r>
          </w:p>
        </w:tc>
        <w:tc>
          <w:tcPr>
            <w:tcW w:w="900" w:type="dxa"/>
            <w:vAlign w:val="bottom"/>
          </w:tcPr>
          <w:p>
            <w:pPr>
              <w:spacing w:after="0"/>
              <w:rPr>
                <w:sz w:val="20"/>
                <w:szCs w:val="20"/>
                <w:color w:val="auto"/>
              </w:rPr>
            </w:pPr>
            <w:r>
              <w:rPr>
                <w:rFonts w:ascii="Arial" w:cs="Arial" w:eastAsia="Arial" w:hAnsi="Arial"/>
                <w:sz w:val="17"/>
                <w:szCs w:val="17"/>
                <w:color w:val="auto"/>
              </w:rPr>
              <w:t>soweit</w:t>
            </w:r>
          </w:p>
        </w:tc>
        <w:tc>
          <w:tcPr>
            <w:tcW w:w="600" w:type="dxa"/>
            <w:vAlign w:val="bottom"/>
          </w:tcPr>
          <w:p>
            <w:pPr>
              <w:jc w:val="right"/>
              <w:spacing w:after="0"/>
              <w:rPr>
                <w:sz w:val="20"/>
                <w:szCs w:val="20"/>
                <w:color w:val="auto"/>
              </w:rPr>
            </w:pPr>
            <w:r>
              <w:rPr>
                <w:rFonts w:ascii="Arial" w:cs="Arial" w:eastAsia="Arial" w:hAnsi="Arial"/>
                <w:sz w:val="17"/>
                <w:szCs w:val="17"/>
                <w:color w:val="auto"/>
              </w:rPr>
              <w:t>solche</w:t>
            </w:r>
          </w:p>
        </w:tc>
        <w:tc>
          <w:tcPr>
            <w:tcW w:w="960" w:type="dxa"/>
            <w:vAlign w:val="bottom"/>
          </w:tcPr>
          <w:p>
            <w:pPr>
              <w:ind w:left="120"/>
              <w:spacing w:after="0"/>
              <w:rPr>
                <w:sz w:val="20"/>
                <w:szCs w:val="20"/>
                <w:color w:val="auto"/>
              </w:rPr>
            </w:pPr>
            <w:r>
              <w:rPr>
                <w:rFonts w:ascii="Arial" w:cs="Arial" w:eastAsia="Arial" w:hAnsi="Arial"/>
                <w:sz w:val="13"/>
                <w:szCs w:val="13"/>
                <w:color w:val="auto"/>
              </w:rPr>
              <w:t>Scheme</w:t>
            </w: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scheme,  if  such  post-retirement  benefits  do  not</w:t>
            </w:r>
          </w:p>
        </w:tc>
      </w:tr>
      <w:tr>
        <w:trPr>
          <w:trHeight w:val="228"/>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Vorsorgeleistungen 100% der letztmalig an dieses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exceed 100% of the total annual compensation of</w:t>
            </w:r>
          </w:p>
        </w:tc>
      </w:tr>
      <w:tr>
        <w:trPr>
          <w:trHeight w:val="241"/>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Mitglied</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bezahlten</w:t>
            </w:r>
          </w:p>
        </w:tc>
        <w:tc>
          <w:tcPr>
            <w:tcW w:w="1440" w:type="dxa"/>
            <w:vAlign w:val="bottom"/>
            <w:gridSpan w:val="2"/>
          </w:tcPr>
          <w:p>
            <w:pPr>
              <w:ind w:left="60"/>
              <w:spacing w:after="0"/>
              <w:rPr>
                <w:sz w:val="20"/>
                <w:szCs w:val="20"/>
                <w:color w:val="auto"/>
              </w:rPr>
            </w:pPr>
            <w:r>
              <w:rPr>
                <w:rFonts w:ascii="Arial" w:cs="Arial" w:eastAsia="Arial" w:hAnsi="Arial"/>
                <w:sz w:val="17"/>
                <w:szCs w:val="17"/>
                <w:color w:val="auto"/>
              </w:rPr>
              <w:t>Jahresvergütung</w:t>
            </w:r>
          </w:p>
        </w:tc>
        <w:tc>
          <w:tcPr>
            <w:tcW w:w="600" w:type="dxa"/>
            <w:vAlign w:val="bottom"/>
          </w:tcPr>
          <w:p>
            <w:pPr>
              <w:jc w:val="right"/>
              <w:spacing w:after="0"/>
              <w:rPr>
                <w:sz w:val="20"/>
                <w:szCs w:val="20"/>
                <w:color w:val="auto"/>
              </w:rPr>
            </w:pPr>
            <w:r>
              <w:rPr>
                <w:rFonts w:ascii="Arial" w:cs="Arial" w:eastAsia="Arial" w:hAnsi="Arial"/>
                <w:sz w:val="17"/>
                <w:szCs w:val="17"/>
                <w:color w:val="auto"/>
              </w:rPr>
              <w:t>nicht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the respective member last paid. In case of capital</w:t>
            </w:r>
          </w:p>
        </w:tc>
      </w:tr>
      <w:tr>
        <w:trPr>
          <w:trHeight w:val="228"/>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übersteigen. Im Fall von Kapitalabfindungen wird</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settlements, the value is determined by recognized</w:t>
            </w:r>
          </w:p>
        </w:tc>
      </w:tr>
      <w:tr>
        <w:trPr>
          <w:trHeight w:val="241"/>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7"/>
                <w:szCs w:val="17"/>
                <w:color w:val="auto"/>
              </w:rPr>
              <w:t>der</w:t>
            </w:r>
          </w:p>
        </w:tc>
        <w:tc>
          <w:tcPr>
            <w:tcW w:w="720" w:type="dxa"/>
            <w:vAlign w:val="bottom"/>
          </w:tcPr>
          <w:p>
            <w:pPr>
              <w:ind w:left="40"/>
              <w:spacing w:after="0"/>
              <w:rPr>
                <w:sz w:val="20"/>
                <w:szCs w:val="20"/>
                <w:color w:val="auto"/>
              </w:rPr>
            </w:pPr>
            <w:r>
              <w:rPr>
                <w:rFonts w:ascii="Arial" w:cs="Arial" w:eastAsia="Arial" w:hAnsi="Arial"/>
                <w:sz w:val="17"/>
                <w:szCs w:val="17"/>
                <w:color w:val="auto"/>
              </w:rPr>
              <w:t>Wert</w:t>
            </w:r>
          </w:p>
        </w:tc>
        <w:tc>
          <w:tcPr>
            <w:tcW w:w="960" w:type="dxa"/>
            <w:vAlign w:val="bottom"/>
            <w:gridSpan w:val="2"/>
          </w:tcPr>
          <w:p>
            <w:pPr>
              <w:ind w:left="260"/>
              <w:spacing w:after="0"/>
              <w:rPr>
                <w:sz w:val="20"/>
                <w:szCs w:val="20"/>
                <w:color w:val="auto"/>
              </w:rPr>
            </w:pPr>
            <w:r>
              <w:rPr>
                <w:rFonts w:ascii="Arial" w:cs="Arial" w:eastAsia="Arial" w:hAnsi="Arial"/>
                <w:sz w:val="17"/>
                <w:szCs w:val="17"/>
                <w:color w:val="auto"/>
              </w:rPr>
              <w:t>aufgrund</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anerkannter</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actuary methods.</w:t>
            </w:r>
          </w:p>
        </w:tc>
      </w:tr>
      <w:tr>
        <w:trPr>
          <w:trHeight w:val="241"/>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versicherungsmathematischer Methoden ermittelt.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5"/>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9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7"/>
                <w:szCs w:val="17"/>
                <w:b w:val="1"/>
                <w:bCs w:val="1"/>
                <w:color w:val="auto"/>
              </w:rPr>
              <w:t>Abschnitt 7:</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Section 7:</w:t>
            </w:r>
          </w:p>
        </w:tc>
      </w:tr>
      <w:tr>
        <w:trPr>
          <w:trHeight w:val="221"/>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gridSpan w:val="5"/>
          </w:tcPr>
          <w:p>
            <w:pPr>
              <w:ind w:left="20"/>
              <w:spacing w:after="0"/>
              <w:rPr>
                <w:sz w:val="20"/>
                <w:szCs w:val="20"/>
                <w:color w:val="auto"/>
              </w:rPr>
            </w:pPr>
            <w:r>
              <w:rPr>
                <w:rFonts w:ascii="Arial" w:cs="Arial" w:eastAsia="Arial" w:hAnsi="Arial"/>
                <w:sz w:val="17"/>
                <w:szCs w:val="17"/>
                <w:i w:val="1"/>
                <w:iCs w:val="1"/>
                <w:color w:val="auto"/>
              </w:rPr>
              <w:t>Mandate ausserhalb des Konzerns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i w:val="1"/>
                <w:iCs w:val="1"/>
                <w:color w:val="auto"/>
              </w:rPr>
              <w:t>Mandates Outside the Group</w:t>
            </w:r>
          </w:p>
        </w:tc>
      </w:tr>
      <w:tr>
        <w:trPr>
          <w:trHeight w:val="98"/>
        </w:trPr>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625"/>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7"/>
                <w:szCs w:val="17"/>
                <w:b w:val="1"/>
                <w:bCs w:val="1"/>
                <w:color w:val="auto"/>
              </w:rPr>
              <w:t>Artikel 33</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Article 33</w:t>
            </w:r>
          </w:p>
        </w:tc>
      </w:tr>
      <w:tr>
        <w:trPr>
          <w:trHeight w:val="385"/>
        </w:trPr>
        <w:tc>
          <w:tcPr>
            <w:tcW w:w="1180" w:type="dxa"/>
            <w:vAlign w:val="bottom"/>
          </w:tcPr>
          <w:p>
            <w:pPr>
              <w:spacing w:after="0"/>
              <w:rPr>
                <w:sz w:val="20"/>
                <w:szCs w:val="20"/>
                <w:color w:val="auto"/>
              </w:rPr>
            </w:pPr>
            <w:r>
              <w:rPr>
                <w:rFonts w:ascii="Arial" w:cs="Arial" w:eastAsia="Arial" w:hAnsi="Arial"/>
                <w:sz w:val="13"/>
                <w:szCs w:val="13"/>
                <w:color w:val="auto"/>
              </w:rPr>
              <w:t>Mandate</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Kein Mitglied des Verwaltungsrates kann mehr als</w:t>
            </w:r>
          </w:p>
        </w:tc>
        <w:tc>
          <w:tcPr>
            <w:tcW w:w="960" w:type="dxa"/>
            <w:vAlign w:val="bottom"/>
          </w:tcPr>
          <w:p>
            <w:pPr>
              <w:ind w:left="120"/>
              <w:spacing w:after="0"/>
              <w:rPr>
                <w:sz w:val="20"/>
                <w:szCs w:val="20"/>
                <w:color w:val="auto"/>
              </w:rPr>
            </w:pPr>
            <w:r>
              <w:rPr>
                <w:rFonts w:ascii="Arial" w:cs="Arial" w:eastAsia="Arial" w:hAnsi="Arial"/>
                <w:sz w:val="13"/>
                <w:szCs w:val="13"/>
                <w:color w:val="auto"/>
              </w:rPr>
              <w:t>Mandates</w:t>
            </w:r>
          </w:p>
        </w:tc>
        <w:tc>
          <w:tcPr>
            <w:tcW w:w="4240" w:type="dxa"/>
            <w:vAlign w:val="bottom"/>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6"/>
                <w:szCs w:val="16"/>
                <w:color w:val="auto"/>
              </w:rPr>
              <w:t>No member of the board of directors may hold more</w:t>
            </w:r>
          </w:p>
        </w:tc>
      </w:tr>
      <w:tr>
        <w:trPr>
          <w:trHeight w:val="228"/>
        </w:trPr>
        <w:tc>
          <w:tcPr>
            <w:tcW w:w="1180" w:type="dxa"/>
            <w:vAlign w:val="bottom"/>
          </w:tcPr>
          <w:p>
            <w:pPr>
              <w:spacing w:after="0"/>
              <w:rPr>
                <w:sz w:val="20"/>
                <w:szCs w:val="20"/>
                <w:color w:val="auto"/>
              </w:rPr>
            </w:pPr>
            <w:r>
              <w:rPr>
                <w:rFonts w:ascii="Arial" w:cs="Arial" w:eastAsia="Arial" w:hAnsi="Arial"/>
                <w:sz w:val="13"/>
                <w:szCs w:val="13"/>
                <w:color w:val="auto"/>
              </w:rPr>
              <w:t>ausserhalb des</w:t>
            </w:r>
          </w:p>
        </w:tc>
        <w:tc>
          <w:tcPr>
            <w:tcW w:w="240" w:type="dxa"/>
            <w:vAlign w:val="bottom"/>
          </w:tcPr>
          <w:p>
            <w:pPr>
              <w:spacing w:after="0"/>
              <w:rPr>
                <w:sz w:val="19"/>
                <w:szCs w:val="19"/>
                <w:color w:val="auto"/>
              </w:rPr>
            </w:pPr>
          </w:p>
        </w:tc>
        <w:tc>
          <w:tcPr>
            <w:tcW w:w="4000" w:type="dxa"/>
            <w:vAlign w:val="bottom"/>
            <w:gridSpan w:val="6"/>
          </w:tcPr>
          <w:p>
            <w:pPr>
              <w:ind w:left="20"/>
              <w:spacing w:after="0"/>
              <w:rPr>
                <w:sz w:val="20"/>
                <w:szCs w:val="20"/>
                <w:color w:val="auto"/>
              </w:rPr>
            </w:pPr>
            <w:r>
              <w:rPr>
                <w:rFonts w:ascii="Arial" w:cs="Arial" w:eastAsia="Arial" w:hAnsi="Arial"/>
                <w:sz w:val="17"/>
                <w:szCs w:val="17"/>
                <w:color w:val="auto"/>
              </w:rPr>
              <w:t>15 zusätzliche Mandate wahrnehmen, wovon nicht</w:t>
            </w:r>
          </w:p>
        </w:tc>
        <w:tc>
          <w:tcPr>
            <w:tcW w:w="960" w:type="dxa"/>
            <w:vAlign w:val="bottom"/>
          </w:tcPr>
          <w:p>
            <w:pPr>
              <w:ind w:left="120"/>
              <w:spacing w:after="0"/>
              <w:rPr>
                <w:sz w:val="20"/>
                <w:szCs w:val="20"/>
                <w:color w:val="auto"/>
              </w:rPr>
            </w:pPr>
            <w:r>
              <w:rPr>
                <w:rFonts w:ascii="Arial" w:cs="Arial" w:eastAsia="Arial" w:hAnsi="Arial"/>
                <w:sz w:val="13"/>
                <w:szCs w:val="13"/>
                <w:color w:val="auto"/>
              </w:rPr>
              <w:t>Outside the</w:t>
            </w:r>
          </w:p>
        </w:tc>
        <w:tc>
          <w:tcPr>
            <w:tcW w:w="240" w:type="dxa"/>
            <w:vAlign w:val="bottom"/>
          </w:tcPr>
          <w:p>
            <w:pPr>
              <w:spacing w:after="0"/>
              <w:rPr>
                <w:sz w:val="19"/>
                <w:szCs w:val="19"/>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than 15 additional mandates of which no more than</w:t>
            </w:r>
          </w:p>
        </w:tc>
      </w:tr>
      <w:tr>
        <w:trPr>
          <w:trHeight w:val="241"/>
        </w:trPr>
        <w:tc>
          <w:tcPr>
            <w:tcW w:w="1180" w:type="dxa"/>
            <w:vAlign w:val="bottom"/>
          </w:tcPr>
          <w:p>
            <w:pPr>
              <w:spacing w:after="0"/>
              <w:rPr>
                <w:sz w:val="20"/>
                <w:szCs w:val="20"/>
                <w:color w:val="auto"/>
              </w:rPr>
            </w:pPr>
            <w:r>
              <w:rPr>
                <w:rFonts w:ascii="Arial" w:cs="Arial" w:eastAsia="Arial" w:hAnsi="Arial"/>
                <w:sz w:val="13"/>
                <w:szCs w:val="13"/>
                <w:color w:val="auto"/>
              </w:rPr>
              <w:t>Konzerns</w:t>
            </w:r>
          </w:p>
        </w:tc>
        <w:tc>
          <w:tcPr>
            <w:tcW w:w="240" w:type="dxa"/>
            <w:vAlign w:val="bottom"/>
          </w:tcPr>
          <w:p>
            <w:pPr>
              <w:spacing w:after="0"/>
              <w:rPr>
                <w:sz w:val="20"/>
                <w:szCs w:val="20"/>
                <w:color w:val="auto"/>
              </w:rPr>
            </w:pPr>
          </w:p>
        </w:tc>
        <w:tc>
          <w:tcPr>
            <w:tcW w:w="3400" w:type="dxa"/>
            <w:vAlign w:val="bottom"/>
            <w:gridSpan w:val="5"/>
          </w:tcPr>
          <w:p>
            <w:pPr>
              <w:ind w:left="20"/>
              <w:spacing w:after="0"/>
              <w:rPr>
                <w:sz w:val="20"/>
                <w:szCs w:val="20"/>
                <w:color w:val="auto"/>
              </w:rPr>
            </w:pPr>
            <w:r>
              <w:rPr>
                <w:rFonts w:ascii="Arial" w:cs="Arial" w:eastAsia="Arial" w:hAnsi="Arial"/>
                <w:sz w:val="17"/>
                <w:szCs w:val="17"/>
                <w:color w:val="auto"/>
              </w:rPr>
              <w:t>mehr als 4 in börsenkotierten Unternehmen.</w:t>
            </w:r>
          </w:p>
        </w:tc>
        <w:tc>
          <w:tcPr>
            <w:tcW w:w="60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Arial" w:cs="Arial" w:eastAsia="Arial" w:hAnsi="Arial"/>
                <w:sz w:val="13"/>
                <w:szCs w:val="13"/>
                <w:color w:val="auto"/>
              </w:rPr>
              <w:t>Group</w:t>
            </w:r>
          </w:p>
        </w:tc>
        <w:tc>
          <w:tcPr>
            <w:tcW w:w="24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7"/>
                <w:szCs w:val="17"/>
                <w:color w:val="auto"/>
              </w:rPr>
              <w:t>4 may be in listed companies.</w:t>
            </w:r>
          </w:p>
        </w:tc>
      </w:tr>
    </w:tbl>
    <w:p>
      <w:pPr>
        <w:spacing w:after="0" w:line="170" w:lineRule="exact"/>
        <w:rPr>
          <w:sz w:val="20"/>
          <w:szCs w:val="20"/>
          <w:color w:val="auto"/>
        </w:rPr>
      </w:pPr>
    </w:p>
    <w:p>
      <w:pPr>
        <w:sectPr>
          <w:pgSz w:w="11900" w:h="16838" w:orient="portrait"/>
          <w:cols w:equalWidth="0" w:num="1">
            <w:col w:w="10620"/>
          </w:cols>
          <w:pgMar w:left="360" w:top="132" w:right="919" w:bottom="1440" w:gutter="0" w:footer="0" w:header="0"/>
        </w:sectPr>
      </w:pPr>
    </w:p>
    <w:p>
      <w:pPr>
        <w:jc w:val="both"/>
        <w:ind w:left="1440" w:right="314" w:hanging="218"/>
        <w:spacing w:after="0" w:line="287" w:lineRule="auto"/>
        <w:tabs>
          <w:tab w:leader="none" w:pos="1440" w:val="left"/>
        </w:tabs>
        <w:numPr>
          <w:ilvl w:val="0"/>
          <w:numId w:val="188"/>
        </w:numPr>
        <w:rPr>
          <w:rFonts w:ascii="Arial" w:cs="Arial" w:eastAsia="Arial" w:hAnsi="Arial"/>
          <w:sz w:val="13"/>
          <w:szCs w:val="13"/>
          <w:color w:val="auto"/>
        </w:rPr>
      </w:pPr>
      <w:r>
        <w:rPr>
          <w:rFonts w:ascii="Arial" w:cs="Arial" w:eastAsia="Arial" w:hAnsi="Arial"/>
          <w:sz w:val="17"/>
          <w:szCs w:val="17"/>
          <w:color w:val="auto"/>
        </w:rPr>
        <w:t>Kein Mitglied der Geschäftsleitung kann mehr als 5 zusätzliche Mandate wahrnehmen, wovon nicht</w:t>
      </w:r>
    </w:p>
    <w:p>
      <w:pPr>
        <w:spacing w:after="0" w:line="1" w:lineRule="exact"/>
        <w:rPr>
          <w:rFonts w:ascii="Arial" w:cs="Arial" w:eastAsia="Arial" w:hAnsi="Arial"/>
          <w:sz w:val="13"/>
          <w:szCs w:val="13"/>
          <w:color w:val="auto"/>
        </w:rPr>
      </w:pPr>
    </w:p>
    <w:p>
      <w:pPr>
        <w:jc w:val="both"/>
        <w:ind w:left="1440" w:right="314"/>
        <w:spacing w:after="0" w:line="287" w:lineRule="auto"/>
        <w:rPr>
          <w:rFonts w:ascii="Arial" w:cs="Arial" w:eastAsia="Arial" w:hAnsi="Arial"/>
          <w:sz w:val="13"/>
          <w:szCs w:val="13"/>
          <w:color w:val="auto"/>
        </w:rPr>
      </w:pPr>
      <w:r>
        <w:rPr>
          <w:rFonts w:ascii="Arial" w:cs="Arial" w:eastAsia="Arial" w:hAnsi="Arial"/>
          <w:sz w:val="17"/>
          <w:szCs w:val="17"/>
          <w:color w:val="auto"/>
        </w:rPr>
        <w:t>mehr als 1 in einem börsenkotierten Unternehmen. Jedes dieser Mandate bedarf der Genehmigung</w:t>
      </w:r>
    </w:p>
    <w:p>
      <w:pPr>
        <w:spacing w:after="0" w:line="1" w:lineRule="exact"/>
        <w:rPr>
          <w:rFonts w:ascii="Arial" w:cs="Arial" w:eastAsia="Arial" w:hAnsi="Arial"/>
          <w:sz w:val="13"/>
          <w:szCs w:val="13"/>
          <w:color w:val="auto"/>
        </w:rPr>
      </w:pPr>
    </w:p>
    <w:p>
      <w:pPr>
        <w:jc w:val="both"/>
        <w:ind w:left="1440" w:right="314"/>
        <w:spacing w:after="0" w:line="287" w:lineRule="auto"/>
        <w:rPr>
          <w:rFonts w:ascii="Arial" w:cs="Arial" w:eastAsia="Arial" w:hAnsi="Arial"/>
          <w:sz w:val="13"/>
          <w:szCs w:val="13"/>
          <w:color w:val="auto"/>
        </w:rPr>
      </w:pPr>
      <w:r>
        <w:rPr>
          <w:rFonts w:ascii="Arial" w:cs="Arial" w:eastAsia="Arial" w:hAnsi="Arial"/>
          <w:sz w:val="17"/>
          <w:szCs w:val="17"/>
          <w:color w:val="auto"/>
        </w:rPr>
        <w:t>durch den Präsidenten des Verwaltungsrates. Die Mitglieder der Geschäftsleitung dürfen keine</w:t>
      </w:r>
    </w:p>
    <w:p>
      <w:pPr>
        <w:spacing w:after="0" w:line="1" w:lineRule="exact"/>
        <w:rPr>
          <w:rFonts w:ascii="Arial" w:cs="Arial" w:eastAsia="Arial" w:hAnsi="Arial"/>
          <w:sz w:val="13"/>
          <w:szCs w:val="13"/>
          <w:color w:val="auto"/>
        </w:rPr>
      </w:pPr>
    </w:p>
    <w:p>
      <w:pPr>
        <w:ind w:left="1440" w:right="314"/>
        <w:spacing w:after="0" w:line="313" w:lineRule="auto"/>
        <w:rPr>
          <w:rFonts w:ascii="Arial" w:cs="Arial" w:eastAsia="Arial" w:hAnsi="Arial"/>
          <w:sz w:val="13"/>
          <w:szCs w:val="13"/>
          <w:color w:val="auto"/>
        </w:rPr>
      </w:pPr>
      <w:r>
        <w:rPr>
          <w:rFonts w:ascii="Arial" w:cs="Arial" w:eastAsia="Arial" w:hAnsi="Arial"/>
          <w:sz w:val="17"/>
          <w:szCs w:val="17"/>
          <w:color w:val="auto"/>
        </w:rPr>
        <w:t>Verwaltungsratsmandate in anderen börsenkotierten Unternehmen wahrnehmen.</w:t>
      </w:r>
    </w:p>
    <w:p>
      <w:pPr>
        <w:spacing w:after="0" w:line="111" w:lineRule="exact"/>
        <w:rPr>
          <w:sz w:val="20"/>
          <w:szCs w:val="20"/>
          <w:color w:val="auto"/>
        </w:rPr>
      </w:pPr>
    </w:p>
    <w:p>
      <w:pPr>
        <w:jc w:val="both"/>
        <w:ind w:left="1440" w:right="314" w:hanging="219"/>
        <w:spacing w:after="0" w:line="304" w:lineRule="auto"/>
        <w:tabs>
          <w:tab w:leader="none" w:pos="142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Die folgenden Mandate fallen nicht unter die Beschränkungen gemäss Absatz 1 und 2 dieses Artikels:</w:t>
      </w:r>
    </w:p>
    <w:p>
      <w:pPr>
        <w:spacing w:after="0" w:line="118" w:lineRule="exact"/>
        <w:rPr>
          <w:sz w:val="20"/>
          <w:szCs w:val="20"/>
          <w:color w:val="auto"/>
        </w:rPr>
      </w:pPr>
    </w:p>
    <w:p>
      <w:pPr>
        <w:jc w:val="both"/>
        <w:ind w:left="1880" w:right="314" w:hanging="430"/>
        <w:spacing w:after="0" w:line="304" w:lineRule="auto"/>
        <w:tabs>
          <w:tab w:leader="none" w:pos="210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Mandate in Unternehmen, die durch die Gesellschaft kontrolliert werden oder die Gesellschaft kontrollieren;</w:t>
      </w:r>
    </w:p>
    <w:p>
      <w:pPr>
        <w:spacing w:after="0" w:line="118" w:lineRule="exact"/>
        <w:rPr>
          <w:rFonts w:ascii="Arial" w:cs="Arial" w:eastAsia="Arial" w:hAnsi="Arial"/>
          <w:sz w:val="17"/>
          <w:szCs w:val="17"/>
          <w:color w:val="auto"/>
        </w:rPr>
      </w:pPr>
    </w:p>
    <w:p>
      <w:pPr>
        <w:jc w:val="both"/>
        <w:ind w:left="1880" w:right="314" w:hanging="430"/>
        <w:spacing w:after="0" w:line="287" w:lineRule="auto"/>
        <w:tabs>
          <w:tab w:leader="none" w:pos="191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Mandate, die auf Anordnung der Gesellschaft oder von ihr kontrollierten Gesellschaften</w:t>
      </w:r>
    </w:p>
    <w:p>
      <w:pPr>
        <w:spacing w:after="0" w:line="1" w:lineRule="exact"/>
        <w:rPr>
          <w:rFonts w:ascii="Arial" w:cs="Arial" w:eastAsia="Arial" w:hAnsi="Arial"/>
          <w:sz w:val="17"/>
          <w:szCs w:val="17"/>
          <w:color w:val="auto"/>
        </w:rPr>
      </w:pPr>
    </w:p>
    <w:p>
      <w:pPr>
        <w:jc w:val="both"/>
        <w:ind w:left="1880" w:right="314"/>
        <w:spacing w:after="0" w:line="287" w:lineRule="auto"/>
        <w:rPr>
          <w:rFonts w:ascii="Arial" w:cs="Arial" w:eastAsia="Arial" w:hAnsi="Arial"/>
          <w:sz w:val="17"/>
          <w:szCs w:val="17"/>
          <w:color w:val="auto"/>
        </w:rPr>
      </w:pPr>
      <w:r>
        <w:rPr>
          <w:rFonts w:ascii="Arial" w:cs="Arial" w:eastAsia="Arial" w:hAnsi="Arial"/>
          <w:sz w:val="17"/>
          <w:szCs w:val="17"/>
          <w:color w:val="auto"/>
        </w:rPr>
        <w:t>wahrgenommen werden. Kein Mitglied des Verwaltungsrates oder der Geschäftsleitung</w:t>
      </w:r>
    </w:p>
    <w:p>
      <w:pPr>
        <w:spacing w:after="0" w:line="1" w:lineRule="exact"/>
        <w:rPr>
          <w:rFonts w:ascii="Arial" w:cs="Arial" w:eastAsia="Arial" w:hAnsi="Arial"/>
          <w:sz w:val="17"/>
          <w:szCs w:val="17"/>
          <w:color w:val="auto"/>
        </w:rPr>
      </w:pPr>
    </w:p>
    <w:p>
      <w:pPr>
        <w:ind w:left="1880" w:right="314"/>
        <w:spacing w:after="0" w:line="313" w:lineRule="auto"/>
        <w:rPr>
          <w:rFonts w:ascii="Arial" w:cs="Arial" w:eastAsia="Arial" w:hAnsi="Arial"/>
          <w:sz w:val="17"/>
          <w:szCs w:val="17"/>
          <w:color w:val="auto"/>
        </w:rPr>
      </w:pPr>
      <w:r>
        <w:rPr>
          <w:rFonts w:ascii="Arial" w:cs="Arial" w:eastAsia="Arial" w:hAnsi="Arial"/>
          <w:sz w:val="17"/>
          <w:szCs w:val="17"/>
          <w:color w:val="auto"/>
        </w:rPr>
        <w:t>kann mehr als 10 solche Mandate wahrnehmen; und</w:t>
      </w:r>
    </w:p>
    <w:p>
      <w:pPr>
        <w:spacing w:after="0" w:line="20" w:lineRule="exact"/>
        <w:rPr>
          <w:sz w:val="20"/>
          <w:szCs w:val="20"/>
          <w:color w:val="auto"/>
        </w:rPr>
      </w:pPr>
      <w:r>
        <w:rPr>
          <w:sz w:val="20"/>
          <w:szCs w:val="20"/>
          <w:color w:val="auto"/>
        </w:rPr>
        <w:br w:type="column"/>
      </w:r>
    </w:p>
    <w:p>
      <w:pPr>
        <w:jc w:val="both"/>
        <w:ind w:left="246" w:right="40" w:hanging="246"/>
        <w:spacing w:after="0" w:line="287" w:lineRule="auto"/>
        <w:tabs>
          <w:tab w:leader="none" w:pos="246" w:val="left"/>
        </w:tabs>
        <w:numPr>
          <w:ilvl w:val="0"/>
          <w:numId w:val="190"/>
        </w:numPr>
        <w:rPr>
          <w:rFonts w:ascii="Arial" w:cs="Arial" w:eastAsia="Arial" w:hAnsi="Arial"/>
          <w:sz w:val="13"/>
          <w:szCs w:val="13"/>
          <w:color w:val="auto"/>
        </w:rPr>
      </w:pPr>
      <w:r>
        <w:rPr>
          <w:rFonts w:ascii="Arial" w:cs="Arial" w:eastAsia="Arial" w:hAnsi="Arial"/>
          <w:sz w:val="17"/>
          <w:szCs w:val="17"/>
          <w:color w:val="auto"/>
        </w:rPr>
        <w:t>No member of the executive management may hold more than 5 additional mandates of which no more</w:t>
      </w:r>
    </w:p>
    <w:p>
      <w:pPr>
        <w:spacing w:after="0" w:line="1" w:lineRule="exact"/>
        <w:rPr>
          <w:rFonts w:ascii="Arial" w:cs="Arial" w:eastAsia="Arial" w:hAnsi="Arial"/>
          <w:sz w:val="13"/>
          <w:szCs w:val="13"/>
          <w:color w:val="auto"/>
        </w:rPr>
      </w:pPr>
    </w:p>
    <w:p>
      <w:pPr>
        <w:jc w:val="both"/>
        <w:ind w:left="246" w:right="40"/>
        <w:spacing w:after="0" w:line="287" w:lineRule="auto"/>
        <w:rPr>
          <w:rFonts w:ascii="Arial" w:cs="Arial" w:eastAsia="Arial" w:hAnsi="Arial"/>
          <w:sz w:val="13"/>
          <w:szCs w:val="13"/>
          <w:color w:val="auto"/>
        </w:rPr>
      </w:pPr>
      <w:r>
        <w:rPr>
          <w:rFonts w:ascii="Arial" w:cs="Arial" w:eastAsia="Arial" w:hAnsi="Arial"/>
          <w:sz w:val="17"/>
          <w:szCs w:val="17"/>
          <w:color w:val="auto"/>
        </w:rPr>
        <w:t>than 1 may be in a listed company. Each of these mandates is subject to the approval by the</w:t>
      </w:r>
    </w:p>
    <w:p>
      <w:pPr>
        <w:spacing w:after="0" w:line="1" w:lineRule="exact"/>
        <w:rPr>
          <w:rFonts w:ascii="Arial" w:cs="Arial" w:eastAsia="Arial" w:hAnsi="Arial"/>
          <w:sz w:val="13"/>
          <w:szCs w:val="13"/>
          <w:color w:val="auto"/>
        </w:rPr>
      </w:pPr>
    </w:p>
    <w:p>
      <w:pPr>
        <w:jc w:val="both"/>
        <w:ind w:left="246" w:right="40"/>
        <w:spacing w:after="0" w:line="287" w:lineRule="auto"/>
        <w:rPr>
          <w:rFonts w:ascii="Arial" w:cs="Arial" w:eastAsia="Arial" w:hAnsi="Arial"/>
          <w:sz w:val="13"/>
          <w:szCs w:val="13"/>
          <w:color w:val="auto"/>
        </w:rPr>
      </w:pPr>
      <w:r>
        <w:rPr>
          <w:rFonts w:ascii="Arial" w:cs="Arial" w:eastAsia="Arial" w:hAnsi="Arial"/>
          <w:sz w:val="17"/>
          <w:szCs w:val="17"/>
          <w:color w:val="auto"/>
        </w:rPr>
        <w:t>Chairperson of the board of directors. Members of the executive management are not allowed to hold</w:t>
      </w:r>
    </w:p>
    <w:p>
      <w:pPr>
        <w:spacing w:after="0" w:line="1" w:lineRule="exact"/>
        <w:rPr>
          <w:rFonts w:ascii="Arial" w:cs="Arial" w:eastAsia="Arial" w:hAnsi="Arial"/>
          <w:sz w:val="13"/>
          <w:szCs w:val="13"/>
          <w:color w:val="auto"/>
        </w:rPr>
      </w:pPr>
    </w:p>
    <w:p>
      <w:pPr>
        <w:ind w:left="246" w:right="40"/>
        <w:spacing w:after="0" w:line="313" w:lineRule="auto"/>
        <w:rPr>
          <w:rFonts w:ascii="Arial" w:cs="Arial" w:eastAsia="Arial" w:hAnsi="Arial"/>
          <w:sz w:val="13"/>
          <w:szCs w:val="13"/>
          <w:color w:val="auto"/>
        </w:rPr>
      </w:pPr>
      <w:r>
        <w:rPr>
          <w:rFonts w:ascii="Arial" w:cs="Arial" w:eastAsia="Arial" w:hAnsi="Arial"/>
          <w:sz w:val="17"/>
          <w:szCs w:val="17"/>
          <w:color w:val="auto"/>
        </w:rPr>
        <w:t>chairs of the board of directors of other listed companies.</w:t>
      </w:r>
    </w:p>
    <w:p>
      <w:pPr>
        <w:spacing w:after="0" w:line="111" w:lineRule="exact"/>
        <w:rPr>
          <w:sz w:val="20"/>
          <w:szCs w:val="20"/>
          <w:color w:val="auto"/>
        </w:rPr>
      </w:pPr>
    </w:p>
    <w:p>
      <w:pPr>
        <w:jc w:val="both"/>
        <w:ind w:left="246" w:right="40" w:hanging="246"/>
        <w:spacing w:after="0" w:line="304" w:lineRule="auto"/>
        <w:tabs>
          <w:tab w:leader="none" w:pos="246" w:val="left"/>
        </w:tabs>
        <w:numPr>
          <w:ilvl w:val="0"/>
          <w:numId w:val="191"/>
        </w:numPr>
        <w:rPr>
          <w:rFonts w:ascii="Arial" w:cs="Arial" w:eastAsia="Arial" w:hAnsi="Arial"/>
          <w:sz w:val="13"/>
          <w:szCs w:val="13"/>
          <w:color w:val="auto"/>
        </w:rPr>
      </w:pPr>
      <w:r>
        <w:rPr>
          <w:rFonts w:ascii="Arial" w:cs="Arial" w:eastAsia="Arial" w:hAnsi="Arial"/>
          <w:sz w:val="17"/>
          <w:szCs w:val="17"/>
          <w:color w:val="auto"/>
        </w:rPr>
        <w:t>The following mandates shall not be subject to the limitations set forth in paragraphs 1 and 2 of this Article:</w:t>
      </w:r>
    </w:p>
    <w:p>
      <w:pPr>
        <w:spacing w:after="0" w:line="118" w:lineRule="exact"/>
        <w:rPr>
          <w:rFonts w:ascii="Arial" w:cs="Arial" w:eastAsia="Arial" w:hAnsi="Arial"/>
          <w:sz w:val="13"/>
          <w:szCs w:val="13"/>
          <w:color w:val="auto"/>
        </w:rPr>
      </w:pPr>
    </w:p>
    <w:p>
      <w:pPr>
        <w:jc w:val="both"/>
        <w:ind w:left="646" w:right="60" w:hanging="405"/>
        <w:spacing w:after="0" w:line="304" w:lineRule="auto"/>
        <w:tabs>
          <w:tab w:leader="none" w:pos="71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mandates in companies which are controlled by the Company or which control the Company;</w:t>
      </w:r>
    </w:p>
    <w:p>
      <w:pPr>
        <w:spacing w:after="0" w:line="118" w:lineRule="exact"/>
        <w:rPr>
          <w:rFonts w:ascii="Arial" w:cs="Arial" w:eastAsia="Arial" w:hAnsi="Arial"/>
          <w:sz w:val="17"/>
          <w:szCs w:val="17"/>
          <w:color w:val="auto"/>
        </w:rPr>
      </w:pPr>
    </w:p>
    <w:p>
      <w:pPr>
        <w:jc w:val="both"/>
        <w:ind w:left="646" w:right="40" w:hanging="405"/>
        <w:spacing w:after="0" w:line="287" w:lineRule="auto"/>
        <w:tabs>
          <w:tab w:leader="none" w:pos="662" w:val="left"/>
        </w:tabs>
        <w:numPr>
          <w:ilvl w:val="1"/>
          <w:numId w:val="191"/>
        </w:numPr>
        <w:rPr>
          <w:rFonts w:ascii="Arial" w:cs="Arial" w:eastAsia="Arial" w:hAnsi="Arial"/>
          <w:sz w:val="17"/>
          <w:szCs w:val="17"/>
          <w:color w:val="auto"/>
        </w:rPr>
      </w:pPr>
      <w:r>
        <w:rPr>
          <w:rFonts w:ascii="Arial" w:cs="Arial" w:eastAsia="Arial" w:hAnsi="Arial"/>
          <w:sz w:val="17"/>
          <w:szCs w:val="17"/>
          <w:color w:val="auto"/>
        </w:rPr>
        <w:t>mandates held at the request of the Company or companies controlled by it. No member of</w:t>
      </w:r>
    </w:p>
    <w:p>
      <w:pPr>
        <w:spacing w:after="0" w:line="1" w:lineRule="exact"/>
        <w:rPr>
          <w:rFonts w:ascii="Arial" w:cs="Arial" w:eastAsia="Arial" w:hAnsi="Arial"/>
          <w:sz w:val="17"/>
          <w:szCs w:val="17"/>
          <w:color w:val="auto"/>
        </w:rPr>
      </w:pPr>
    </w:p>
    <w:p>
      <w:pPr>
        <w:jc w:val="both"/>
        <w:ind w:left="646" w:right="40"/>
        <w:spacing w:after="0" w:line="304" w:lineRule="auto"/>
        <w:rPr>
          <w:rFonts w:ascii="Arial" w:cs="Arial" w:eastAsia="Arial" w:hAnsi="Arial"/>
          <w:sz w:val="17"/>
          <w:szCs w:val="17"/>
          <w:color w:val="auto"/>
        </w:rPr>
      </w:pPr>
      <w:r>
        <w:rPr>
          <w:rFonts w:ascii="Arial" w:cs="Arial" w:eastAsia="Arial" w:hAnsi="Arial"/>
          <w:sz w:val="17"/>
          <w:szCs w:val="17"/>
          <w:color w:val="auto"/>
        </w:rPr>
        <w:t>the board of directors or of the executive management shall hold more than 10 such mandates; and</w:t>
      </w:r>
    </w:p>
    <w:p>
      <w:pPr>
        <w:sectPr>
          <w:pgSz w:w="11900" w:h="16838" w:orient="portrait"/>
          <w:cols w:equalWidth="0" w:num="2">
            <w:col w:w="5694" w:space="720"/>
            <w:col w:w="4206"/>
          </w:cols>
          <w:pgMar w:left="360" w:top="132" w:right="919" w:bottom="1440" w:gutter="0" w:footer="0" w:header="0"/>
          <w:type w:val="continuous"/>
        </w:sectPr>
      </w:pPr>
    </w:p>
    <w:bookmarkStart w:id="253" w:name="page254"/>
    <w:bookmarkEnd w:id="253"/>
    <w:p>
      <w:pPr>
        <w:ind w:left="5420"/>
        <w:spacing w:after="0"/>
        <w:rPr>
          <w:sz w:val="20"/>
          <w:szCs w:val="20"/>
          <w:color w:val="auto"/>
        </w:rPr>
      </w:pPr>
      <w:r>
        <w:rPr>
          <w:rFonts w:ascii="Arial" w:cs="Arial" w:eastAsia="Arial" w:hAnsi="Arial"/>
          <w:sz w:val="13"/>
          <w:szCs w:val="13"/>
          <w:color w:val="auto"/>
        </w:rPr>
        <w:t>- 32 -</w:t>
      </w:r>
    </w:p>
    <w:p>
      <w:pPr>
        <w:sectPr>
          <w:pgSz w:w="11900" w:h="16838" w:orient="portrait"/>
          <w:cols w:equalWidth="0" w:num="1">
            <w:col w:w="10580"/>
          </w:cols>
          <w:pgMar w:left="36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20" w:hanging="522"/>
        <w:spacing w:after="0"/>
        <w:tabs>
          <w:tab w:leader="none" w:pos="182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Mandate in Vereinen, Verbänden, Stiftungen,</w:t>
      </w:r>
    </w:p>
    <w:p>
      <w:pPr>
        <w:spacing w:after="0" w:line="32"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7"/>
          <w:szCs w:val="17"/>
          <w:color w:val="auto"/>
        </w:rPr>
        <w:t>Trusts,</w:t>
      </w:r>
      <w:r>
        <w:rPr>
          <w:rFonts w:ascii="Arial" w:cs="Arial" w:eastAsia="Arial" w:hAnsi="Arial"/>
          <w:sz w:val="16"/>
          <w:szCs w:val="16"/>
          <w:color w:val="auto"/>
        </w:rPr>
        <w:t>Personalfürsorgestiftungen,</w:t>
      </w:r>
    </w:p>
    <w:p>
      <w:pPr>
        <w:spacing w:after="0" w:line="45"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7"/>
          <w:szCs w:val="17"/>
          <w:color w:val="auto"/>
        </w:rPr>
        <w:t>Bildungseinrichtungenund</w:t>
      </w:r>
      <w:r>
        <w:rPr>
          <w:rFonts w:ascii="Arial" w:cs="Arial" w:eastAsia="Arial" w:hAnsi="Arial"/>
          <w:sz w:val="16"/>
          <w:szCs w:val="16"/>
          <w:color w:val="auto"/>
        </w:rPr>
        <w:t>ähnlichen</w:t>
      </w:r>
    </w:p>
    <w:p>
      <w:pPr>
        <w:spacing w:after="0" w:line="32" w:lineRule="exact"/>
        <w:rPr>
          <w:rFonts w:ascii="Arial" w:cs="Arial" w:eastAsia="Arial" w:hAnsi="Arial"/>
          <w:sz w:val="17"/>
          <w:szCs w:val="17"/>
          <w:color w:val="auto"/>
        </w:rPr>
      </w:pPr>
    </w:p>
    <w:p>
      <w:pPr>
        <w:ind w:left="1720"/>
        <w:spacing w:after="0"/>
        <w:rPr>
          <w:rFonts w:ascii="Arial" w:cs="Arial" w:eastAsia="Arial" w:hAnsi="Arial"/>
          <w:sz w:val="17"/>
          <w:szCs w:val="17"/>
          <w:color w:val="auto"/>
        </w:rPr>
      </w:pPr>
      <w:r>
        <w:rPr>
          <w:rFonts w:ascii="Arial" w:cs="Arial" w:eastAsia="Arial" w:hAnsi="Arial"/>
          <w:sz w:val="17"/>
          <w:szCs w:val="17"/>
          <w:color w:val="auto"/>
        </w:rPr>
        <w:t>Organisationen.KeinMitglied</w:t>
      </w:r>
      <w:r>
        <w:rPr>
          <w:rFonts w:ascii="Arial" w:cs="Arial" w:eastAsia="Arial" w:hAnsi="Arial"/>
          <w:sz w:val="16"/>
          <w:szCs w:val="16"/>
          <w:color w:val="auto"/>
        </w:rPr>
        <w:t>des</w:t>
      </w:r>
    </w:p>
    <w:p>
      <w:pPr>
        <w:spacing w:after="0" w:line="45" w:lineRule="exact"/>
        <w:rPr>
          <w:rFonts w:ascii="Arial" w:cs="Arial" w:eastAsia="Arial" w:hAnsi="Arial"/>
          <w:sz w:val="17"/>
          <w:szCs w:val="17"/>
          <w:color w:val="auto"/>
        </w:rPr>
      </w:pPr>
    </w:p>
    <w:p>
      <w:pPr>
        <w:jc w:val="both"/>
        <w:ind w:left="1720" w:right="559"/>
        <w:spacing w:after="0" w:line="304" w:lineRule="auto"/>
        <w:rPr>
          <w:rFonts w:ascii="Arial" w:cs="Arial" w:eastAsia="Arial" w:hAnsi="Arial"/>
          <w:sz w:val="17"/>
          <w:szCs w:val="17"/>
          <w:color w:val="auto"/>
        </w:rPr>
      </w:pPr>
      <w:r>
        <w:rPr>
          <w:rFonts w:ascii="Arial" w:cs="Arial" w:eastAsia="Arial" w:hAnsi="Arial"/>
          <w:sz w:val="17"/>
          <w:szCs w:val="17"/>
          <w:color w:val="auto"/>
        </w:rPr>
        <w:t>Verwaltungsrates oder der Geschäftsleitung kann mehr als 10 solche Mandate wahrnehmen.</w:t>
      </w:r>
    </w:p>
    <w:p>
      <w:pPr>
        <w:spacing w:after="0" w:line="118" w:lineRule="exact"/>
        <w:rPr>
          <w:sz w:val="20"/>
          <w:szCs w:val="20"/>
          <w:color w:val="auto"/>
        </w:rPr>
      </w:pPr>
    </w:p>
    <w:p>
      <w:pPr>
        <w:jc w:val="both"/>
        <w:ind w:left="1300" w:right="539" w:hanging="239"/>
        <w:spacing w:after="0" w:line="292" w:lineRule="auto"/>
        <w:tabs>
          <w:tab w:leader="none" w:pos="128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7"/>
          <w:szCs w:val="17"/>
          <w:color w:val="auto"/>
        </w:rPr>
        <w:t>Als Mandate gelten Mandate in vergleichbaren Funktionen bei anderen Unternehmen mit wirtschaftlichem Zweck. Mandate in verschiedenen Rechtseinheiten, die unter einheitlicher Kontrolle oder gleicher wirtschaftlicher Berechtigung stehen, gelten als 1 Mandat.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246380</wp:posOffset>
            </wp:positionV>
            <wp:extent cx="25895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21" w:hanging="421"/>
        <w:spacing w:after="0" w:line="287" w:lineRule="auto"/>
        <w:tabs>
          <w:tab w:leader="none" w:pos="42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mandates in associations, professional or trade associations, foundations, trusts, employee</w:t>
      </w:r>
    </w:p>
    <w:p>
      <w:pPr>
        <w:spacing w:after="0" w:line="1" w:lineRule="exact"/>
        <w:rPr>
          <w:rFonts w:ascii="Arial" w:cs="Arial" w:eastAsia="Arial" w:hAnsi="Arial"/>
          <w:sz w:val="17"/>
          <w:szCs w:val="17"/>
          <w:color w:val="auto"/>
        </w:rPr>
      </w:pPr>
    </w:p>
    <w:p>
      <w:pPr>
        <w:jc w:val="both"/>
        <w:ind w:left="421"/>
        <w:spacing w:after="0" w:line="287" w:lineRule="auto"/>
        <w:rPr>
          <w:rFonts w:ascii="Arial" w:cs="Arial" w:eastAsia="Arial" w:hAnsi="Arial"/>
          <w:sz w:val="17"/>
          <w:szCs w:val="17"/>
          <w:color w:val="auto"/>
        </w:rPr>
      </w:pPr>
      <w:r>
        <w:rPr>
          <w:rFonts w:ascii="Arial" w:cs="Arial" w:eastAsia="Arial" w:hAnsi="Arial"/>
          <w:sz w:val="17"/>
          <w:szCs w:val="17"/>
          <w:color w:val="auto"/>
        </w:rPr>
        <w:t>welfare foundations, educational institutions, and similar organizations. No member of the</w:t>
      </w:r>
    </w:p>
    <w:p>
      <w:pPr>
        <w:spacing w:after="0" w:line="1" w:lineRule="exact"/>
        <w:rPr>
          <w:rFonts w:ascii="Arial" w:cs="Arial" w:eastAsia="Arial" w:hAnsi="Arial"/>
          <w:sz w:val="17"/>
          <w:szCs w:val="17"/>
          <w:color w:val="auto"/>
        </w:rPr>
      </w:pPr>
    </w:p>
    <w:p>
      <w:pPr>
        <w:jc w:val="both"/>
        <w:ind w:left="421"/>
        <w:spacing w:after="0" w:line="304" w:lineRule="auto"/>
        <w:rPr>
          <w:rFonts w:ascii="Arial" w:cs="Arial" w:eastAsia="Arial" w:hAnsi="Arial"/>
          <w:sz w:val="17"/>
          <w:szCs w:val="17"/>
          <w:color w:val="auto"/>
        </w:rPr>
      </w:pPr>
      <w:r>
        <w:rPr>
          <w:rFonts w:ascii="Arial" w:cs="Arial" w:eastAsia="Arial" w:hAnsi="Arial"/>
          <w:sz w:val="17"/>
          <w:szCs w:val="17"/>
          <w:color w:val="auto"/>
        </w:rPr>
        <w:t>board of directors or of the executive management shall hold more than 10 such mandates.</w:t>
      </w:r>
    </w:p>
    <w:p>
      <w:pPr>
        <w:spacing w:after="0" w:line="118" w:lineRule="exact"/>
        <w:rPr>
          <w:sz w:val="20"/>
          <w:szCs w:val="20"/>
          <w:color w:val="auto"/>
        </w:rPr>
      </w:pPr>
    </w:p>
    <w:p>
      <w:pPr>
        <w:jc w:val="both"/>
        <w:ind w:left="1" w:hanging="239"/>
        <w:spacing w:after="0" w:line="296" w:lineRule="auto"/>
        <w:rPr>
          <w:sz w:val="20"/>
          <w:szCs w:val="20"/>
          <w:color w:val="auto"/>
        </w:rPr>
      </w:pPr>
      <w:r>
        <w:rPr>
          <w:rFonts w:ascii="Arial" w:cs="Arial" w:eastAsia="Arial" w:hAnsi="Arial"/>
          <w:sz w:val="17"/>
          <w:szCs w:val="17"/>
          <w:color w:val="auto"/>
        </w:rPr>
        <w:t>4</w:t>
      </w:r>
      <w:r>
        <w:rPr>
          <w:sz w:val="20"/>
          <w:szCs w:val="20"/>
          <w:color w:val="auto"/>
        </w:rPr>
        <w:t xml:space="preserve"> </w:t>
      </w:r>
      <w:r>
        <w:rPr>
          <w:rFonts w:ascii="Arial" w:cs="Arial" w:eastAsia="Arial" w:hAnsi="Arial"/>
          <w:sz w:val="17"/>
          <w:szCs w:val="17"/>
          <w:color w:val="auto"/>
        </w:rPr>
        <w:t>Mandates shall mean mandates in comparable functions at other enterprises with an economic purpose. Mandates in different legal entities that are under joint control or same beneficial ownership are deemed 1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387350</wp:posOffset>
            </wp:positionV>
            <wp:extent cx="25812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5859" w:space="720"/>
            <w:col w:w="4001"/>
          </w:cols>
          <w:pgMar w:left="360" w:top="132" w:right="959" w:bottom="1440" w:gutter="0" w:footer="0" w:header="0"/>
          <w:type w:val="continuous"/>
        </w:sectPr>
      </w:pPr>
    </w:p>
    <w:p>
      <w:pPr>
        <w:spacing w:after="0" w:line="27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Abschnitt 8:</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Geschäftsjahr, Gewinnverteilung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85090</wp:posOffset>
            </wp:positionV>
            <wp:extent cx="25895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 Profit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85090</wp:posOffset>
            </wp:positionV>
            <wp:extent cx="25812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000"/>
          </w:cols>
          <w:pgMar w:left="360" w:top="132" w:right="959" w:bottom="1440" w:gutter="0" w:footer="0" w:header="0"/>
          <w:type w:val="continuous"/>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2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7"/>
                <w:szCs w:val="17"/>
                <w:b w:val="1"/>
                <w:bCs w:val="1"/>
                <w:color w:val="auto"/>
                <w:w w:val="96"/>
              </w:rPr>
              <w:t>Artikel 34</w:t>
            </w: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ind w:left="80"/>
              <w:spacing w:after="0"/>
              <w:rPr>
                <w:sz w:val="20"/>
                <w:szCs w:val="20"/>
                <w:color w:val="auto"/>
              </w:rPr>
            </w:pPr>
            <w:r>
              <w:rPr>
                <w:rFonts w:ascii="Arial" w:cs="Arial" w:eastAsia="Arial" w:hAnsi="Arial"/>
                <w:sz w:val="17"/>
                <w:szCs w:val="17"/>
                <w:b w:val="1"/>
                <w:bCs w:val="1"/>
                <w:color w:val="auto"/>
              </w:rPr>
              <w:t>Article 34</w:t>
            </w:r>
          </w:p>
        </w:tc>
      </w:tr>
      <w:tr>
        <w:trPr>
          <w:trHeight w:val="385"/>
        </w:trPr>
        <w:tc>
          <w:tcPr>
            <w:tcW w:w="1220" w:type="dxa"/>
            <w:vAlign w:val="bottom"/>
          </w:tcPr>
          <w:p>
            <w:pPr>
              <w:spacing w:after="0"/>
              <w:rPr>
                <w:sz w:val="20"/>
                <w:szCs w:val="20"/>
                <w:color w:val="auto"/>
              </w:rPr>
            </w:pPr>
            <w:r>
              <w:rPr>
                <w:rFonts w:ascii="Arial" w:cs="Arial" w:eastAsia="Arial" w:hAnsi="Arial"/>
                <w:sz w:val="13"/>
                <w:szCs w:val="13"/>
                <w:color w:val="auto"/>
              </w:rPr>
              <w:t>Geschäftsjahr</w:t>
            </w:r>
          </w:p>
        </w:tc>
        <w:tc>
          <w:tcPr>
            <w:tcW w:w="4160" w:type="dxa"/>
            <w:vAlign w:val="bottom"/>
            <w:gridSpan w:val="5"/>
          </w:tcPr>
          <w:p>
            <w:pPr>
              <w:ind w:left="80"/>
              <w:spacing w:after="0"/>
              <w:rPr>
                <w:sz w:val="20"/>
                <w:szCs w:val="20"/>
                <w:color w:val="auto"/>
              </w:rPr>
            </w:pPr>
            <w:r>
              <w:rPr>
                <w:rFonts w:ascii="Arial" w:cs="Arial" w:eastAsia="Arial" w:hAnsi="Arial"/>
                <w:sz w:val="17"/>
                <w:szCs w:val="17"/>
                <w:color w:val="auto"/>
              </w:rPr>
              <w:t>Das  Geschäftsjahr  der  Gesellschaft  wird  vom</w:t>
            </w:r>
          </w:p>
        </w:tc>
        <w:tc>
          <w:tcPr>
            <w:tcW w:w="1120" w:type="dxa"/>
            <w:vAlign w:val="bottom"/>
          </w:tcPr>
          <w:p>
            <w:pPr>
              <w:ind w:left="100"/>
              <w:spacing w:after="0"/>
              <w:rPr>
                <w:sz w:val="20"/>
                <w:szCs w:val="20"/>
                <w:color w:val="auto"/>
              </w:rPr>
            </w:pPr>
            <w:r>
              <w:rPr>
                <w:rFonts w:ascii="Arial" w:cs="Arial" w:eastAsia="Arial" w:hAnsi="Arial"/>
                <w:sz w:val="13"/>
                <w:szCs w:val="13"/>
                <w:color w:val="auto"/>
              </w:rPr>
              <w:t>Fiscal Year</w:t>
            </w:r>
          </w:p>
        </w:tc>
        <w:tc>
          <w:tcPr>
            <w:tcW w:w="4080" w:type="dxa"/>
            <w:vAlign w:val="bottom"/>
          </w:tcPr>
          <w:p>
            <w:pPr>
              <w:ind w:left="80"/>
              <w:spacing w:after="0"/>
              <w:rPr>
                <w:sz w:val="20"/>
                <w:szCs w:val="20"/>
                <w:color w:val="auto"/>
              </w:rPr>
            </w:pPr>
            <w:r>
              <w:rPr>
                <w:rFonts w:ascii="Arial" w:cs="Arial" w:eastAsia="Arial" w:hAnsi="Arial"/>
                <w:sz w:val="17"/>
                <w:szCs w:val="17"/>
                <w:color w:val="auto"/>
              </w:rPr>
              <w:t>The board of directors determines the fiscal year.</w:t>
            </w:r>
          </w:p>
        </w:tc>
      </w:tr>
      <w:tr>
        <w:trPr>
          <w:trHeight w:val="228"/>
        </w:trPr>
        <w:tc>
          <w:tcPr>
            <w:tcW w:w="1220" w:type="dxa"/>
            <w:vAlign w:val="bottom"/>
          </w:tcPr>
          <w:p>
            <w:pPr>
              <w:spacing w:after="0"/>
              <w:rPr>
                <w:sz w:val="19"/>
                <w:szCs w:val="19"/>
                <w:color w:val="auto"/>
              </w:rPr>
            </w:pPr>
          </w:p>
        </w:tc>
        <w:tc>
          <w:tcPr>
            <w:tcW w:w="2740" w:type="dxa"/>
            <w:vAlign w:val="bottom"/>
            <w:gridSpan w:val="3"/>
          </w:tcPr>
          <w:p>
            <w:pPr>
              <w:ind w:left="80"/>
              <w:spacing w:after="0"/>
              <w:rPr>
                <w:sz w:val="20"/>
                <w:szCs w:val="20"/>
                <w:color w:val="auto"/>
              </w:rPr>
            </w:pPr>
            <w:r>
              <w:rPr>
                <w:rFonts w:ascii="Arial" w:cs="Arial" w:eastAsia="Arial" w:hAnsi="Arial"/>
                <w:sz w:val="17"/>
                <w:szCs w:val="17"/>
                <w:color w:val="auto"/>
              </w:rPr>
              <w:t>Verwaltungsrat festgesetzt.</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730"/>
        </w:trPr>
        <w:tc>
          <w:tcPr>
            <w:tcW w:w="122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17"/>
                <w:szCs w:val="17"/>
                <w:b w:val="1"/>
                <w:bCs w:val="1"/>
                <w:color w:val="auto"/>
                <w:w w:val="96"/>
              </w:rPr>
              <w:t>Artikel 35</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Pr>
          <w:p>
            <w:pPr>
              <w:ind w:left="80"/>
              <w:spacing w:after="0"/>
              <w:rPr>
                <w:sz w:val="20"/>
                <w:szCs w:val="20"/>
                <w:color w:val="auto"/>
              </w:rPr>
            </w:pPr>
            <w:r>
              <w:rPr>
                <w:rFonts w:ascii="Arial" w:cs="Arial" w:eastAsia="Arial" w:hAnsi="Arial"/>
                <w:sz w:val="17"/>
                <w:szCs w:val="17"/>
                <w:b w:val="1"/>
                <w:bCs w:val="1"/>
                <w:color w:val="auto"/>
              </w:rPr>
              <w:t>Article 35</w:t>
            </w:r>
          </w:p>
        </w:tc>
      </w:tr>
      <w:tr>
        <w:trPr>
          <w:trHeight w:val="385"/>
        </w:trPr>
        <w:tc>
          <w:tcPr>
            <w:tcW w:w="1220" w:type="dxa"/>
            <w:vAlign w:val="bottom"/>
          </w:tcPr>
          <w:p>
            <w:pPr>
              <w:spacing w:after="0"/>
              <w:rPr>
                <w:sz w:val="20"/>
                <w:szCs w:val="20"/>
                <w:color w:val="auto"/>
              </w:rPr>
            </w:pPr>
            <w:r>
              <w:rPr>
                <w:rFonts w:ascii="Arial" w:cs="Arial" w:eastAsia="Arial" w:hAnsi="Arial"/>
                <w:sz w:val="13"/>
                <w:szCs w:val="13"/>
                <w:color w:val="auto"/>
              </w:rPr>
              <w:t>Verteilung des   1</w:t>
            </w:r>
          </w:p>
        </w:tc>
        <w:tc>
          <w:tcPr>
            <w:tcW w:w="840" w:type="dxa"/>
            <w:vAlign w:val="bottom"/>
          </w:tcPr>
          <w:p>
            <w:pPr>
              <w:ind w:left="80"/>
              <w:spacing w:after="0"/>
              <w:rPr>
                <w:sz w:val="20"/>
                <w:szCs w:val="20"/>
                <w:color w:val="auto"/>
              </w:rPr>
            </w:pPr>
            <w:r>
              <w:rPr>
                <w:rFonts w:ascii="Arial" w:cs="Arial" w:eastAsia="Arial" w:hAnsi="Arial"/>
                <w:sz w:val="17"/>
                <w:szCs w:val="17"/>
                <w:color w:val="auto"/>
              </w:rPr>
              <w:t>Über</w:t>
            </w:r>
          </w:p>
        </w:tc>
        <w:tc>
          <w:tcPr>
            <w:tcW w:w="500" w:type="dxa"/>
            <w:vAlign w:val="bottom"/>
          </w:tcPr>
          <w:p>
            <w:pPr>
              <w:spacing w:after="0"/>
              <w:rPr>
                <w:sz w:val="20"/>
                <w:szCs w:val="20"/>
                <w:color w:val="auto"/>
              </w:rPr>
            </w:pPr>
            <w:r>
              <w:rPr>
                <w:rFonts w:ascii="Arial" w:cs="Arial" w:eastAsia="Arial" w:hAnsi="Arial"/>
                <w:sz w:val="17"/>
                <w:szCs w:val="17"/>
                <w:color w:val="auto"/>
              </w:rPr>
              <w:t>den</w:t>
            </w:r>
          </w:p>
        </w:tc>
        <w:tc>
          <w:tcPr>
            <w:tcW w:w="1400" w:type="dxa"/>
            <w:vAlign w:val="bottom"/>
          </w:tcPr>
          <w:p>
            <w:pPr>
              <w:ind w:left="200"/>
              <w:spacing w:after="0"/>
              <w:rPr>
                <w:sz w:val="20"/>
                <w:szCs w:val="20"/>
                <w:color w:val="auto"/>
              </w:rPr>
            </w:pPr>
            <w:r>
              <w:rPr>
                <w:rFonts w:ascii="Arial" w:cs="Arial" w:eastAsia="Arial" w:hAnsi="Arial"/>
                <w:sz w:val="17"/>
                <w:szCs w:val="17"/>
                <w:color w:val="auto"/>
              </w:rPr>
              <w:t>Bilanzgewinn</w:t>
            </w:r>
          </w:p>
        </w:tc>
        <w:tc>
          <w:tcPr>
            <w:tcW w:w="920" w:type="dxa"/>
            <w:vAlign w:val="bottom"/>
          </w:tcPr>
          <w:p>
            <w:pPr>
              <w:ind w:left="200"/>
              <w:spacing w:after="0"/>
              <w:rPr>
                <w:sz w:val="20"/>
                <w:szCs w:val="20"/>
                <w:color w:val="auto"/>
              </w:rPr>
            </w:pPr>
            <w:r>
              <w:rPr>
                <w:rFonts w:ascii="Arial" w:cs="Arial" w:eastAsia="Arial" w:hAnsi="Arial"/>
                <w:sz w:val="17"/>
                <w:szCs w:val="17"/>
                <w:color w:val="auto"/>
              </w:rPr>
              <w:t>verfügt</w:t>
            </w:r>
          </w:p>
        </w:tc>
        <w:tc>
          <w:tcPr>
            <w:tcW w:w="500" w:type="dxa"/>
            <w:vAlign w:val="bottom"/>
          </w:tcPr>
          <w:p>
            <w:pPr>
              <w:ind w:left="200"/>
              <w:spacing w:after="0"/>
              <w:rPr>
                <w:sz w:val="20"/>
                <w:szCs w:val="20"/>
                <w:color w:val="auto"/>
              </w:rPr>
            </w:pPr>
            <w:r>
              <w:rPr>
                <w:rFonts w:ascii="Arial" w:cs="Arial" w:eastAsia="Arial" w:hAnsi="Arial"/>
                <w:sz w:val="17"/>
                <w:szCs w:val="17"/>
                <w:color w:val="auto"/>
              </w:rPr>
              <w:t>die</w:t>
            </w:r>
          </w:p>
        </w:tc>
        <w:tc>
          <w:tcPr>
            <w:tcW w:w="1120" w:type="dxa"/>
            <w:vAlign w:val="bottom"/>
          </w:tcPr>
          <w:p>
            <w:pPr>
              <w:ind w:left="100"/>
              <w:spacing w:after="0"/>
              <w:rPr>
                <w:sz w:val="20"/>
                <w:szCs w:val="20"/>
                <w:color w:val="auto"/>
              </w:rPr>
            </w:pPr>
            <w:r>
              <w:rPr>
                <w:rFonts w:ascii="Arial" w:cs="Arial" w:eastAsia="Arial" w:hAnsi="Arial"/>
                <w:sz w:val="13"/>
                <w:szCs w:val="13"/>
                <w:color w:val="auto"/>
              </w:rPr>
              <w:t>Allocation of  1</w:t>
            </w:r>
          </w:p>
        </w:tc>
        <w:tc>
          <w:tcPr>
            <w:tcW w:w="4080" w:type="dxa"/>
            <w:vAlign w:val="bottom"/>
          </w:tcPr>
          <w:p>
            <w:pPr>
              <w:ind w:left="80"/>
              <w:spacing w:after="0"/>
              <w:rPr>
                <w:sz w:val="20"/>
                <w:szCs w:val="20"/>
                <w:color w:val="auto"/>
              </w:rPr>
            </w:pPr>
            <w:r>
              <w:rPr>
                <w:rFonts w:ascii="Arial" w:cs="Arial" w:eastAsia="Arial" w:hAnsi="Arial"/>
                <w:sz w:val="17"/>
                <w:szCs w:val="17"/>
                <w:color w:val="auto"/>
              </w:rPr>
              <w:t>The profit shown on the annual statutory balance</w:t>
            </w:r>
          </w:p>
        </w:tc>
      </w:tr>
      <w:tr>
        <w:trPr>
          <w:trHeight w:val="228"/>
        </w:trPr>
        <w:tc>
          <w:tcPr>
            <w:tcW w:w="1220" w:type="dxa"/>
            <w:vAlign w:val="bottom"/>
          </w:tcPr>
          <w:p>
            <w:pPr>
              <w:spacing w:after="0"/>
              <w:rPr>
                <w:sz w:val="20"/>
                <w:szCs w:val="20"/>
                <w:color w:val="auto"/>
              </w:rPr>
            </w:pPr>
            <w:r>
              <w:rPr>
                <w:rFonts w:ascii="Arial" w:cs="Arial" w:eastAsia="Arial" w:hAnsi="Arial"/>
                <w:sz w:val="13"/>
                <w:szCs w:val="13"/>
                <w:color w:val="auto"/>
              </w:rPr>
              <w:t>Bilanzgewinnes,</w:t>
            </w:r>
          </w:p>
        </w:tc>
        <w:tc>
          <w:tcPr>
            <w:tcW w:w="4160" w:type="dxa"/>
            <w:vAlign w:val="bottom"/>
            <w:gridSpan w:val="5"/>
          </w:tcPr>
          <w:p>
            <w:pPr>
              <w:ind w:left="80"/>
              <w:spacing w:after="0"/>
              <w:rPr>
                <w:sz w:val="20"/>
                <w:szCs w:val="20"/>
                <w:color w:val="auto"/>
              </w:rPr>
            </w:pPr>
            <w:r>
              <w:rPr>
                <w:rFonts w:ascii="Arial" w:cs="Arial" w:eastAsia="Arial" w:hAnsi="Arial"/>
                <w:sz w:val="17"/>
                <w:szCs w:val="17"/>
                <w:color w:val="auto"/>
              </w:rPr>
              <w:t>Generalversammlung im Rahmen der gesetzlichen</w:t>
            </w:r>
          </w:p>
        </w:tc>
        <w:tc>
          <w:tcPr>
            <w:tcW w:w="1120" w:type="dxa"/>
            <w:vAlign w:val="bottom"/>
          </w:tcPr>
          <w:p>
            <w:pPr>
              <w:ind w:left="100"/>
              <w:spacing w:after="0"/>
              <w:rPr>
                <w:sz w:val="20"/>
                <w:szCs w:val="20"/>
                <w:color w:val="auto"/>
              </w:rPr>
            </w:pPr>
            <w:r>
              <w:rPr>
                <w:rFonts w:ascii="Arial" w:cs="Arial" w:eastAsia="Arial" w:hAnsi="Arial"/>
                <w:sz w:val="13"/>
                <w:szCs w:val="13"/>
                <w:color w:val="auto"/>
              </w:rPr>
              <w:t>Profits,</w:t>
            </w:r>
          </w:p>
        </w:tc>
        <w:tc>
          <w:tcPr>
            <w:tcW w:w="4080" w:type="dxa"/>
            <w:vAlign w:val="bottom"/>
          </w:tcPr>
          <w:p>
            <w:pPr>
              <w:ind w:left="80"/>
              <w:spacing w:after="0"/>
              <w:rPr>
                <w:sz w:val="20"/>
                <w:szCs w:val="20"/>
                <w:color w:val="auto"/>
              </w:rPr>
            </w:pPr>
            <w:r>
              <w:rPr>
                <w:rFonts w:ascii="Arial" w:cs="Arial" w:eastAsia="Arial" w:hAnsi="Arial"/>
                <w:sz w:val="17"/>
                <w:szCs w:val="17"/>
                <w:color w:val="auto"/>
              </w:rPr>
              <w:t>sheet shall be allocated by the general meeting of</w:t>
            </w:r>
          </w:p>
        </w:tc>
      </w:tr>
      <w:tr>
        <w:trPr>
          <w:trHeight w:val="241"/>
        </w:trPr>
        <w:tc>
          <w:tcPr>
            <w:tcW w:w="1220" w:type="dxa"/>
            <w:vAlign w:val="bottom"/>
          </w:tcPr>
          <w:p>
            <w:pPr>
              <w:spacing w:after="0"/>
              <w:rPr>
                <w:sz w:val="20"/>
                <w:szCs w:val="20"/>
                <w:color w:val="auto"/>
              </w:rPr>
            </w:pPr>
            <w:r>
              <w:rPr>
                <w:rFonts w:ascii="Arial" w:cs="Arial" w:eastAsia="Arial" w:hAnsi="Arial"/>
                <w:sz w:val="13"/>
                <w:szCs w:val="13"/>
                <w:color w:val="auto"/>
              </w:rPr>
              <w:t>Reserven</w:t>
            </w:r>
          </w:p>
        </w:tc>
        <w:tc>
          <w:tcPr>
            <w:tcW w:w="4160" w:type="dxa"/>
            <w:vAlign w:val="bottom"/>
            <w:gridSpan w:val="5"/>
          </w:tcPr>
          <w:p>
            <w:pPr>
              <w:ind w:left="80"/>
              <w:spacing w:after="0"/>
              <w:rPr>
                <w:sz w:val="20"/>
                <w:szCs w:val="20"/>
                <w:color w:val="auto"/>
              </w:rPr>
            </w:pPr>
            <w:r>
              <w:rPr>
                <w:rFonts w:ascii="Arial" w:cs="Arial" w:eastAsia="Arial" w:hAnsi="Arial"/>
                <w:sz w:val="17"/>
                <w:szCs w:val="17"/>
                <w:color w:val="auto"/>
              </w:rPr>
              <w:t>Vorschriften. Der Verwaltungsrat unterbreitet ihr seine</w:t>
            </w:r>
          </w:p>
        </w:tc>
        <w:tc>
          <w:tcPr>
            <w:tcW w:w="1120" w:type="dxa"/>
            <w:vAlign w:val="bottom"/>
          </w:tcPr>
          <w:p>
            <w:pPr>
              <w:ind w:left="100"/>
              <w:spacing w:after="0"/>
              <w:rPr>
                <w:sz w:val="20"/>
                <w:szCs w:val="20"/>
                <w:color w:val="auto"/>
              </w:rPr>
            </w:pPr>
            <w:r>
              <w:rPr>
                <w:rFonts w:ascii="Arial" w:cs="Arial" w:eastAsia="Arial" w:hAnsi="Arial"/>
                <w:sz w:val="13"/>
                <w:szCs w:val="13"/>
                <w:color w:val="auto"/>
              </w:rPr>
              <w:t>Reserves</w:t>
            </w:r>
          </w:p>
        </w:tc>
        <w:tc>
          <w:tcPr>
            <w:tcW w:w="4080" w:type="dxa"/>
            <w:vAlign w:val="bottom"/>
          </w:tcPr>
          <w:p>
            <w:pPr>
              <w:ind w:left="80"/>
              <w:spacing w:after="0"/>
              <w:rPr>
                <w:sz w:val="20"/>
                <w:szCs w:val="20"/>
                <w:color w:val="auto"/>
              </w:rPr>
            </w:pPr>
            <w:r>
              <w:rPr>
                <w:rFonts w:ascii="Arial" w:cs="Arial" w:eastAsia="Arial" w:hAnsi="Arial"/>
                <w:sz w:val="17"/>
                <w:szCs w:val="17"/>
                <w:color w:val="auto"/>
              </w:rPr>
              <w:t>shareholders in accordance with applicable law. The</w:t>
            </w:r>
          </w:p>
        </w:tc>
      </w:tr>
      <w:tr>
        <w:trPr>
          <w:trHeight w:val="228"/>
        </w:trPr>
        <w:tc>
          <w:tcPr>
            <w:tcW w:w="122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auto"/>
              </w:rPr>
              <w:t>Anträge.</w:t>
            </w: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board of directors shall submit its proposals to the</w:t>
            </w:r>
          </w:p>
        </w:tc>
      </w:tr>
      <w:tr>
        <w:trPr>
          <w:trHeight w:val="241"/>
        </w:trPr>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80" w:type="dxa"/>
            <w:vAlign w:val="bottom"/>
          </w:tcPr>
          <w:p>
            <w:pPr>
              <w:ind w:left="80"/>
              <w:spacing w:after="0"/>
              <w:rPr>
                <w:sz w:val="20"/>
                <w:szCs w:val="20"/>
                <w:color w:val="auto"/>
              </w:rPr>
            </w:pPr>
            <w:r>
              <w:rPr>
                <w:rFonts w:ascii="Arial" w:cs="Arial" w:eastAsia="Arial" w:hAnsi="Arial"/>
                <w:sz w:val="17"/>
                <w:szCs w:val="17"/>
                <w:color w:val="auto"/>
              </w:rPr>
              <w:t>general meeting of shareholders.</w:t>
            </w:r>
          </w:p>
        </w:tc>
      </w:tr>
    </w:tbl>
    <w:p>
      <w:pPr>
        <w:spacing w:after="0" w:line="170" w:lineRule="exact"/>
        <w:rPr>
          <w:sz w:val="20"/>
          <w:szCs w:val="20"/>
          <w:color w:val="auto"/>
        </w:rPr>
      </w:pPr>
    </w:p>
    <w:p>
      <w:pPr>
        <w:sectPr>
          <w:pgSz w:w="11900" w:h="16838" w:orient="portrait"/>
          <w:cols w:equalWidth="0" w:num="1">
            <w:col w:w="10580"/>
          </w:cols>
          <w:pgMar w:left="360" w:top="132" w:right="959" w:bottom="1440" w:gutter="0" w:footer="0" w:header="0"/>
          <w:type w:val="continuous"/>
        </w:sectPr>
      </w:pPr>
    </w:p>
    <w:p>
      <w:pPr>
        <w:ind w:left="1300" w:right="318" w:hanging="239"/>
        <w:spacing w:after="0" w:line="313" w:lineRule="auto"/>
        <w:tabs>
          <w:tab w:leader="none" w:pos="12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Neben der gesetzlichen Reserve kann die Generalversammlung weitere Reserven schaffen.</w:t>
      </w:r>
    </w:p>
    <w:p>
      <w:pPr>
        <w:spacing w:after="0" w:line="351" w:lineRule="exact"/>
        <w:rPr>
          <w:sz w:val="20"/>
          <w:szCs w:val="20"/>
          <w:color w:val="auto"/>
        </w:rPr>
      </w:pPr>
    </w:p>
    <w:p>
      <w:pPr>
        <w:jc w:val="both"/>
        <w:ind w:left="1300" w:right="318" w:hanging="243"/>
        <w:spacing w:after="0" w:line="287" w:lineRule="auto"/>
        <w:tabs>
          <w:tab w:leader="none" w:pos="1300" w:val="left"/>
        </w:tabs>
        <w:numPr>
          <w:ilvl w:val="0"/>
          <w:numId w:val="194"/>
        </w:numPr>
        <w:rPr>
          <w:rFonts w:ascii="Arial" w:cs="Arial" w:eastAsia="Arial" w:hAnsi="Arial"/>
          <w:sz w:val="13"/>
          <w:szCs w:val="13"/>
          <w:color w:val="auto"/>
        </w:rPr>
      </w:pPr>
      <w:r>
        <w:rPr>
          <w:rFonts w:ascii="Arial" w:cs="Arial" w:eastAsia="Arial" w:hAnsi="Arial"/>
          <w:sz w:val="17"/>
          <w:szCs w:val="17"/>
          <w:color w:val="auto"/>
        </w:rPr>
        <w:t>Dividenden, die während fünf Jahren von ihrem Verfalltag an nicht bezogen worden sind, fallen der</w:t>
      </w:r>
    </w:p>
    <w:p>
      <w:pPr>
        <w:spacing w:after="0" w:line="1" w:lineRule="exact"/>
        <w:rPr>
          <w:rFonts w:ascii="Arial" w:cs="Arial" w:eastAsia="Arial" w:hAnsi="Arial"/>
          <w:sz w:val="13"/>
          <w:szCs w:val="13"/>
          <w:color w:val="auto"/>
        </w:rPr>
      </w:pPr>
    </w:p>
    <w:p>
      <w:pPr>
        <w:ind w:left="1300" w:right="318"/>
        <w:spacing w:after="0" w:line="313" w:lineRule="auto"/>
        <w:rPr>
          <w:rFonts w:ascii="Arial" w:cs="Arial" w:eastAsia="Arial" w:hAnsi="Arial"/>
          <w:sz w:val="13"/>
          <w:szCs w:val="13"/>
          <w:color w:val="auto"/>
        </w:rPr>
      </w:pPr>
      <w:r>
        <w:rPr>
          <w:rFonts w:ascii="Arial" w:cs="Arial" w:eastAsia="Arial" w:hAnsi="Arial"/>
          <w:sz w:val="17"/>
          <w:szCs w:val="17"/>
          <w:color w:val="auto"/>
        </w:rPr>
        <w:t>Gesellschaft zu und werden der allgemeinen Reserve zugeteilt.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233680</wp:posOffset>
            </wp:positionV>
            <wp:extent cx="25895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42" w:hanging="242"/>
        <w:spacing w:after="0" w:line="304" w:lineRule="auto"/>
        <w:tabs>
          <w:tab w:leader="none" w:pos="242" w:val="left"/>
        </w:tabs>
        <w:numPr>
          <w:ilvl w:val="0"/>
          <w:numId w:val="195"/>
        </w:numPr>
        <w:rPr>
          <w:rFonts w:ascii="Arial" w:cs="Arial" w:eastAsia="Arial" w:hAnsi="Arial"/>
          <w:sz w:val="13"/>
          <w:szCs w:val="13"/>
          <w:color w:val="auto"/>
        </w:rPr>
      </w:pPr>
      <w:r>
        <w:rPr>
          <w:rFonts w:ascii="Arial" w:cs="Arial" w:eastAsia="Arial" w:hAnsi="Arial"/>
          <w:sz w:val="17"/>
          <w:szCs w:val="17"/>
          <w:color w:val="auto"/>
        </w:rPr>
        <w:t>Further reserves may be taken in addition to the reserves required by law by the general meeting of shareholders.</w:t>
      </w:r>
    </w:p>
    <w:p>
      <w:pPr>
        <w:spacing w:after="0" w:line="118" w:lineRule="exact"/>
        <w:rPr>
          <w:sz w:val="20"/>
          <w:szCs w:val="20"/>
          <w:color w:val="auto"/>
        </w:rPr>
      </w:pPr>
    </w:p>
    <w:p>
      <w:pPr>
        <w:jc w:val="both"/>
        <w:ind w:left="242" w:hanging="242"/>
        <w:spacing w:after="0" w:line="287" w:lineRule="auto"/>
        <w:tabs>
          <w:tab w:leader="none" w:pos="242" w:val="left"/>
        </w:tabs>
        <w:numPr>
          <w:ilvl w:val="0"/>
          <w:numId w:val="196"/>
        </w:numPr>
        <w:rPr>
          <w:rFonts w:ascii="Arial" w:cs="Arial" w:eastAsia="Arial" w:hAnsi="Arial"/>
          <w:sz w:val="13"/>
          <w:szCs w:val="13"/>
          <w:color w:val="auto"/>
        </w:rPr>
      </w:pPr>
      <w:r>
        <w:rPr>
          <w:rFonts w:ascii="Arial" w:cs="Arial" w:eastAsia="Arial" w:hAnsi="Arial"/>
          <w:sz w:val="17"/>
          <w:szCs w:val="17"/>
          <w:color w:val="auto"/>
        </w:rPr>
        <w:t>Dividends that have not been collected within five years after their payment date shall enure to the</w:t>
      </w:r>
    </w:p>
    <w:p>
      <w:pPr>
        <w:spacing w:after="0" w:line="1" w:lineRule="exact"/>
        <w:rPr>
          <w:rFonts w:ascii="Arial" w:cs="Arial" w:eastAsia="Arial" w:hAnsi="Arial"/>
          <w:sz w:val="13"/>
          <w:szCs w:val="13"/>
          <w:color w:val="auto"/>
        </w:rPr>
      </w:pPr>
    </w:p>
    <w:p>
      <w:pPr>
        <w:ind w:left="242"/>
        <w:spacing w:after="0" w:line="313" w:lineRule="auto"/>
        <w:rPr>
          <w:rFonts w:ascii="Arial" w:cs="Arial" w:eastAsia="Arial" w:hAnsi="Arial"/>
          <w:sz w:val="13"/>
          <w:szCs w:val="13"/>
          <w:color w:val="auto"/>
        </w:rPr>
      </w:pPr>
      <w:r>
        <w:rPr>
          <w:rFonts w:ascii="Arial" w:cs="Arial" w:eastAsia="Arial" w:hAnsi="Arial"/>
          <w:sz w:val="17"/>
          <w:szCs w:val="17"/>
          <w:color w:val="auto"/>
        </w:rPr>
        <w:t>Company and be allocated to the general 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233680</wp:posOffset>
            </wp:positionV>
            <wp:extent cx="25812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ectPr>
          <w:pgSz w:w="11900" w:h="16838" w:orient="portrait"/>
          <w:cols w:equalWidth="0" w:num="2">
            <w:col w:w="5618" w:space="720"/>
            <w:col w:w="4242"/>
          </w:cols>
          <w:pgMar w:left="360" w:top="132" w:right="959" w:bottom="1440" w:gutter="0" w:footer="0" w:header="0"/>
          <w:type w:val="continuous"/>
        </w:sectPr>
      </w:pPr>
    </w:p>
    <w:bookmarkStart w:id="254" w:name="page255"/>
    <w:bookmarkEnd w:id="254"/>
    <w:p>
      <w:pPr>
        <w:ind w:left="5420"/>
        <w:spacing w:after="0"/>
        <w:rPr>
          <w:sz w:val="20"/>
          <w:szCs w:val="20"/>
          <w:color w:val="auto"/>
        </w:rPr>
      </w:pPr>
      <w:r>
        <w:rPr>
          <w:rFonts w:ascii="Arial" w:cs="Arial" w:eastAsia="Arial" w:hAnsi="Arial"/>
          <w:sz w:val="13"/>
          <w:szCs w:val="13"/>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762000</wp:posOffset>
            </wp:positionV>
            <wp:extent cx="593471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593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5280" w:type="dxa"/>
            <w:vAlign w:val="bottom"/>
            <w:gridSpan w:val="2"/>
          </w:tcPr>
          <w:p>
            <w:pPr>
              <w:ind w:left="40"/>
              <w:spacing w:after="0"/>
              <w:rPr>
                <w:sz w:val="20"/>
                <w:szCs w:val="20"/>
                <w:color w:val="auto"/>
              </w:rPr>
            </w:pPr>
            <w:r>
              <w:rPr>
                <w:rFonts w:ascii="Arial" w:cs="Arial" w:eastAsia="Arial" w:hAnsi="Arial"/>
                <w:sz w:val="17"/>
                <w:szCs w:val="17"/>
                <w:b w:val="1"/>
                <w:bCs w:val="1"/>
                <w:color w:val="auto"/>
              </w:rPr>
              <w:t>Abschnitt 9:</w:t>
            </w: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Section 9:</w:t>
            </w:r>
          </w:p>
        </w:tc>
      </w:tr>
      <w:tr>
        <w:trPr>
          <w:trHeight w:val="221"/>
        </w:trPr>
        <w:tc>
          <w:tcPr>
            <w:tcW w:w="5280" w:type="dxa"/>
            <w:vAlign w:val="bottom"/>
            <w:gridSpan w:val="2"/>
          </w:tcPr>
          <w:p>
            <w:pPr>
              <w:ind w:left="40"/>
              <w:spacing w:after="0"/>
              <w:rPr>
                <w:sz w:val="20"/>
                <w:szCs w:val="20"/>
                <w:color w:val="auto"/>
              </w:rPr>
            </w:pPr>
            <w:r>
              <w:rPr>
                <w:rFonts w:ascii="Arial" w:cs="Arial" w:eastAsia="Arial" w:hAnsi="Arial"/>
                <w:sz w:val="17"/>
                <w:szCs w:val="17"/>
                <w:i w:val="1"/>
                <w:iCs w:val="1"/>
                <w:color w:val="auto"/>
              </w:rPr>
              <w:t>Auflösung, Liquidation</w:t>
            </w:r>
          </w:p>
        </w:tc>
        <w:tc>
          <w:tcPr>
            <w:tcW w:w="4080" w:type="dxa"/>
            <w:vAlign w:val="bottom"/>
          </w:tcPr>
          <w:p>
            <w:pPr>
              <w:ind w:left="20"/>
              <w:spacing w:after="0"/>
              <w:rPr>
                <w:sz w:val="20"/>
                <w:szCs w:val="20"/>
                <w:color w:val="auto"/>
              </w:rPr>
            </w:pPr>
            <w:r>
              <w:rPr>
                <w:rFonts w:ascii="Arial" w:cs="Arial" w:eastAsia="Arial" w:hAnsi="Arial"/>
                <w:sz w:val="17"/>
                <w:szCs w:val="17"/>
                <w:i w:val="1"/>
                <w:iCs w:val="1"/>
                <w:color w:val="auto"/>
              </w:rPr>
              <w:t>Winding-Up and Liquidation</w:t>
            </w:r>
          </w:p>
        </w:tc>
      </w:tr>
      <w:tr>
        <w:trPr>
          <w:trHeight w:val="98"/>
        </w:trPr>
        <w:tc>
          <w:tcPr>
            <w:tcW w:w="40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637"/>
        </w:trPr>
        <w:tc>
          <w:tcPr>
            <w:tcW w:w="5280" w:type="dxa"/>
            <w:vAlign w:val="bottom"/>
            <w:gridSpan w:val="2"/>
          </w:tcPr>
          <w:p>
            <w:pPr>
              <w:ind w:left="40"/>
              <w:spacing w:after="0"/>
              <w:rPr>
                <w:sz w:val="20"/>
                <w:szCs w:val="20"/>
                <w:color w:val="auto"/>
              </w:rPr>
            </w:pPr>
            <w:r>
              <w:rPr>
                <w:rFonts w:ascii="Arial" w:cs="Arial" w:eastAsia="Arial" w:hAnsi="Arial"/>
                <w:sz w:val="17"/>
                <w:szCs w:val="17"/>
                <w:b w:val="1"/>
                <w:bCs w:val="1"/>
                <w:color w:val="auto"/>
              </w:rPr>
              <w:t>Artikel 36</w:t>
            </w:r>
          </w:p>
        </w:tc>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Article 36</w:t>
            </w:r>
          </w:p>
        </w:tc>
      </w:tr>
    </w:tbl>
    <w:p>
      <w:pPr>
        <w:spacing w:after="0" w:line="162" w:lineRule="exact"/>
        <w:rPr>
          <w:sz w:val="20"/>
          <w:szCs w:val="20"/>
          <w:color w:val="auto"/>
        </w:rPr>
      </w:pPr>
    </w:p>
    <w:p>
      <w:pPr>
        <w:sectPr>
          <w:pgSz w:w="11900" w:h="16838" w:orient="portrait"/>
          <w:cols w:equalWidth="0" w:num="1">
            <w:col w:w="10620"/>
          </w:cols>
          <w:pgMar w:left="360" w:top="132" w:right="919" w:bottom="1440" w:gutter="0" w:footer="0" w:header="0"/>
        </w:sectPr>
      </w:pPr>
    </w:p>
    <w:p>
      <w:pPr>
        <w:spacing w:after="0" w:line="34" w:lineRule="exact"/>
        <w:rPr>
          <w:sz w:val="20"/>
          <w:szCs w:val="20"/>
          <w:color w:val="auto"/>
        </w:rPr>
      </w:pPr>
    </w:p>
    <w:p>
      <w:pPr>
        <w:spacing w:after="0" w:line="408" w:lineRule="auto"/>
        <w:rPr>
          <w:sz w:val="20"/>
          <w:szCs w:val="20"/>
          <w:color w:val="auto"/>
        </w:rPr>
      </w:pPr>
      <w:r>
        <w:rPr>
          <w:rFonts w:ascii="Arial" w:cs="Arial" w:eastAsia="Arial" w:hAnsi="Arial"/>
          <w:sz w:val="13"/>
          <w:szCs w:val="13"/>
          <w:color w:val="auto"/>
        </w:rPr>
        <w:t>Auflösung, Liquidation</w:t>
      </w:r>
    </w:p>
    <w:p>
      <w:pPr>
        <w:spacing w:after="0" w:line="20" w:lineRule="exact"/>
        <w:rPr>
          <w:sz w:val="20"/>
          <w:szCs w:val="20"/>
          <w:color w:val="auto"/>
        </w:rPr>
      </w:pPr>
      <w:r>
        <w:rPr>
          <w:sz w:val="20"/>
          <w:szCs w:val="20"/>
          <w:color w:val="auto"/>
        </w:rPr>
        <w:br w:type="column"/>
      </w:r>
    </w:p>
    <w:p>
      <w:pPr>
        <w:jc w:val="both"/>
        <w:ind w:hanging="239"/>
        <w:spacing w:after="0" w:line="296" w:lineRule="auto"/>
        <w:rPr>
          <w:sz w:val="20"/>
          <w:szCs w:val="20"/>
          <w:color w:val="auto"/>
        </w:rPr>
      </w:pPr>
      <w:r>
        <w:rPr>
          <w:rFonts w:ascii="Arial" w:cs="Arial" w:eastAsia="Arial" w:hAnsi="Arial"/>
          <w:sz w:val="13"/>
          <w:szCs w:val="13"/>
          <w:color w:val="auto"/>
        </w:rPr>
        <w:t>1</w:t>
      </w:r>
      <w:r>
        <w:rPr>
          <w:sz w:val="20"/>
          <w:szCs w:val="20"/>
          <w:color w:val="auto"/>
        </w:rPr>
        <w:t xml:space="preserve"> </w:t>
      </w:r>
      <w:r>
        <w:rPr>
          <w:rFonts w:ascii="Arial" w:cs="Arial" w:eastAsia="Arial" w:hAnsi="Arial"/>
          <w:sz w:val="17"/>
          <w:szCs w:val="17"/>
          <w:color w:val="auto"/>
        </w:rPr>
        <w:t>Die Generalversammlung kann jederzeit die Auflösung und Liquidation der Gesellschaft nach Massgabe der gesetzlichen und statutarischen Vorschriften beschliessen.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429" w:lineRule="auto"/>
        <w:rPr>
          <w:sz w:val="20"/>
          <w:szCs w:val="20"/>
          <w:color w:val="auto"/>
        </w:rPr>
      </w:pPr>
      <w:r>
        <w:rPr>
          <w:rFonts w:ascii="Arial" w:cs="Arial" w:eastAsia="Arial" w:hAnsi="Arial"/>
          <w:sz w:val="13"/>
          <w:szCs w:val="13"/>
          <w:color w:val="auto"/>
        </w:rPr>
        <w:t>Winding-Up, 1 Liquidation</w:t>
      </w:r>
    </w:p>
    <w:p>
      <w:pPr>
        <w:spacing w:after="0" w:line="20" w:lineRule="exact"/>
        <w:rPr>
          <w:sz w:val="20"/>
          <w:szCs w:val="20"/>
          <w:color w:val="auto"/>
        </w:rPr>
      </w:pPr>
      <w:r>
        <w:rPr>
          <w:sz w:val="20"/>
          <w:szCs w:val="20"/>
          <w:color w:val="auto"/>
        </w:rPr>
        <w:br w:type="column"/>
      </w:r>
    </w:p>
    <w:p>
      <w:pPr>
        <w:jc w:val="both"/>
        <w:ind w:right="40"/>
        <w:spacing w:after="0" w:line="296" w:lineRule="auto"/>
        <w:rPr>
          <w:sz w:val="20"/>
          <w:szCs w:val="20"/>
          <w:color w:val="auto"/>
        </w:rPr>
      </w:pPr>
      <w:r>
        <w:rPr>
          <w:rFonts w:ascii="Arial" w:cs="Arial" w:eastAsia="Arial" w:hAnsi="Arial"/>
          <w:sz w:val="17"/>
          <w:szCs w:val="17"/>
          <w:color w:val="auto"/>
        </w:rPr>
        <w:t>The general meeting of shareholders may at any time resolve on the winding-up and liquidation of the Company pursuant to applicable law and the provisions set forth in these Articles of Incorporation.</w:t>
      </w:r>
    </w:p>
    <w:p>
      <w:pPr>
        <w:spacing w:after="0" w:line="125" w:lineRule="exact"/>
        <w:rPr>
          <w:sz w:val="20"/>
          <w:szCs w:val="20"/>
          <w:color w:val="auto"/>
        </w:rPr>
      </w:pPr>
    </w:p>
    <w:p>
      <w:pPr>
        <w:sectPr>
          <w:pgSz w:w="11900" w:h="16838" w:orient="portrait"/>
          <w:cols w:equalWidth="0" w:num="4">
            <w:col w:w="640" w:space="660"/>
            <w:col w:w="4000" w:space="160"/>
            <w:col w:w="940" w:space="160"/>
            <w:col w:w="4060"/>
          </w:cols>
          <w:pgMar w:left="360" w:top="132" w:right="919" w:bottom="1440" w:gutter="0" w:footer="0" w:header="0"/>
          <w:type w:val="continuous"/>
        </w:sectPr>
      </w:pPr>
    </w:p>
    <w:p>
      <w:pPr>
        <w:jc w:val="both"/>
        <w:ind w:left="1300" w:right="305" w:hanging="239"/>
        <w:spacing w:after="0" w:line="296" w:lineRule="auto"/>
        <w:tabs>
          <w:tab w:leader="none" w:pos="12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Die Liquidation wird durch den Verwaltungsrat durchgeführt, sofern sie nicht durch die Generalversammlung anderen Personen übertragen wird.</w:t>
      </w:r>
    </w:p>
    <w:p>
      <w:pPr>
        <w:spacing w:after="0" w:line="125" w:lineRule="exact"/>
        <w:rPr>
          <w:sz w:val="20"/>
          <w:szCs w:val="20"/>
          <w:color w:val="auto"/>
        </w:rPr>
      </w:pPr>
    </w:p>
    <w:p>
      <w:pPr>
        <w:jc w:val="both"/>
        <w:ind w:left="1300" w:right="305" w:hanging="239"/>
        <w:spacing w:after="0" w:line="296" w:lineRule="auto"/>
        <w:tabs>
          <w:tab w:leader="none" w:pos="12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7"/>
          <w:szCs w:val="17"/>
          <w:color w:val="auto"/>
        </w:rPr>
        <w:t>Die Liquidation der Gesellschaft erfolgt nach Massgabe der Art. 742 ff. OR. Die Liquidatoren sind ermächtigt, Aktiven (Grundstücke eingeschlossen) auch freihändig zu verkaufen.</w:t>
      </w:r>
    </w:p>
    <w:p>
      <w:pPr>
        <w:spacing w:after="0" w:line="125" w:lineRule="exact"/>
        <w:rPr>
          <w:sz w:val="20"/>
          <w:szCs w:val="20"/>
          <w:color w:val="auto"/>
        </w:rPr>
      </w:pPr>
    </w:p>
    <w:p>
      <w:pPr>
        <w:jc w:val="both"/>
        <w:ind w:left="1300" w:right="325" w:hanging="239"/>
        <w:spacing w:after="0" w:line="304" w:lineRule="auto"/>
        <w:tabs>
          <w:tab w:leader="none" w:pos="128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7"/>
          <w:szCs w:val="17"/>
          <w:color w:val="auto"/>
        </w:rPr>
        <w:t>Nach erfolgter Tilgung der Schulden wird das Vermögen unter den Aktionären nach Massgabe der einbezahlten Beträge verteilt.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238760</wp:posOffset>
            </wp:positionV>
            <wp:extent cx="25812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35" w:right="40" w:hanging="235"/>
        <w:spacing w:after="0" w:line="304" w:lineRule="auto"/>
        <w:tabs>
          <w:tab w:leader="none" w:pos="235" w:val="left"/>
        </w:tabs>
        <w:numPr>
          <w:ilvl w:val="0"/>
          <w:numId w:val="197"/>
        </w:numPr>
        <w:rPr>
          <w:rFonts w:ascii="Arial" w:cs="Arial" w:eastAsia="Arial" w:hAnsi="Arial"/>
          <w:sz w:val="13"/>
          <w:szCs w:val="13"/>
          <w:color w:val="auto"/>
        </w:rPr>
      </w:pPr>
      <w:r>
        <w:rPr>
          <w:rFonts w:ascii="Arial" w:cs="Arial" w:eastAsia="Arial" w:hAnsi="Arial"/>
          <w:sz w:val="17"/>
          <w:szCs w:val="17"/>
          <w:color w:val="auto"/>
        </w:rPr>
        <w:t>The liquidation shall be effected by the board of directors, unless the general meeting of shareholders shall appoint other persons as liquidators.</w:t>
      </w:r>
    </w:p>
    <w:p>
      <w:pPr>
        <w:spacing w:after="0" w:line="346" w:lineRule="exact"/>
        <w:rPr>
          <w:sz w:val="20"/>
          <w:szCs w:val="20"/>
          <w:color w:val="auto"/>
        </w:rPr>
      </w:pPr>
    </w:p>
    <w:p>
      <w:pPr>
        <w:jc w:val="both"/>
        <w:ind w:left="235" w:right="40" w:hanging="235"/>
        <w:spacing w:after="0" w:line="287" w:lineRule="auto"/>
        <w:tabs>
          <w:tab w:leader="none" w:pos="235" w:val="left"/>
        </w:tabs>
        <w:numPr>
          <w:ilvl w:val="0"/>
          <w:numId w:val="198"/>
        </w:numPr>
        <w:rPr>
          <w:rFonts w:ascii="Arial" w:cs="Arial" w:eastAsia="Arial" w:hAnsi="Arial"/>
          <w:sz w:val="13"/>
          <w:szCs w:val="13"/>
          <w:color w:val="auto"/>
        </w:rPr>
      </w:pPr>
      <w:r>
        <w:rPr>
          <w:rFonts w:ascii="Arial" w:cs="Arial" w:eastAsia="Arial" w:hAnsi="Arial"/>
          <w:sz w:val="17"/>
          <w:szCs w:val="17"/>
          <w:color w:val="auto"/>
        </w:rPr>
        <w:t>The liquidation of the Company shall be effectuated pursuant to art. 742 et seq. CO. The liquidators are</w:t>
      </w:r>
    </w:p>
    <w:p>
      <w:pPr>
        <w:spacing w:after="0" w:line="1" w:lineRule="exact"/>
        <w:rPr>
          <w:rFonts w:ascii="Arial" w:cs="Arial" w:eastAsia="Arial" w:hAnsi="Arial"/>
          <w:sz w:val="13"/>
          <w:szCs w:val="13"/>
          <w:color w:val="auto"/>
        </w:rPr>
      </w:pPr>
    </w:p>
    <w:p>
      <w:pPr>
        <w:ind w:left="235" w:right="40"/>
        <w:spacing w:after="0" w:line="313" w:lineRule="auto"/>
        <w:rPr>
          <w:rFonts w:ascii="Arial" w:cs="Arial" w:eastAsia="Arial" w:hAnsi="Arial"/>
          <w:sz w:val="13"/>
          <w:szCs w:val="13"/>
          <w:color w:val="auto"/>
        </w:rPr>
      </w:pPr>
      <w:r>
        <w:rPr>
          <w:rFonts w:ascii="Arial" w:cs="Arial" w:eastAsia="Arial" w:hAnsi="Arial"/>
          <w:sz w:val="17"/>
          <w:szCs w:val="17"/>
          <w:color w:val="auto"/>
        </w:rPr>
        <w:t>authorized to sell assets (including real estate) in the open market.</w:t>
      </w:r>
    </w:p>
    <w:p>
      <w:pPr>
        <w:spacing w:after="0" w:line="111" w:lineRule="exact"/>
        <w:rPr>
          <w:sz w:val="20"/>
          <w:szCs w:val="20"/>
          <w:color w:val="auto"/>
        </w:rPr>
      </w:pPr>
    </w:p>
    <w:p>
      <w:pPr>
        <w:jc w:val="both"/>
        <w:ind w:left="235" w:right="40" w:hanging="235"/>
        <w:spacing w:after="0" w:line="304" w:lineRule="auto"/>
        <w:tabs>
          <w:tab w:leader="none" w:pos="235" w:val="left"/>
        </w:tabs>
        <w:numPr>
          <w:ilvl w:val="0"/>
          <w:numId w:val="199"/>
        </w:numPr>
        <w:rPr>
          <w:rFonts w:ascii="Arial" w:cs="Arial" w:eastAsia="Arial" w:hAnsi="Arial"/>
          <w:sz w:val="13"/>
          <w:szCs w:val="13"/>
          <w:color w:val="auto"/>
        </w:rPr>
      </w:pPr>
      <w:r>
        <w:rPr>
          <w:rFonts w:ascii="Arial" w:cs="Arial" w:eastAsia="Arial" w:hAnsi="Arial"/>
          <w:sz w:val="17"/>
          <w:szCs w:val="17"/>
          <w:color w:val="auto"/>
        </w:rPr>
        <w:t>Upon discharge of all liabilities, the assets of the Company shall be distributed to the shareholders pursuant to the amounts paid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238760</wp:posOffset>
            </wp:positionV>
            <wp:extent cx="25895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5" w:space="720"/>
            <w:col w:w="4295"/>
          </w:cols>
          <w:pgMar w:left="360" w:top="132" w:right="919" w:bottom="1440" w:gutter="0" w:footer="0" w:header="0"/>
          <w:type w:val="continuous"/>
        </w:sect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Abschnitt 10:</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Mitteilungen, Bekanntmachungen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85090</wp:posOffset>
            </wp:positionV>
            <wp:extent cx="25812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Artikel 37</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Communications, 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25895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258953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37</w:t>
      </w:r>
    </w:p>
    <w:p>
      <w:pPr>
        <w:sectPr>
          <w:pgSz w:w="11900" w:h="16838" w:orient="portrait"/>
          <w:cols w:equalWidth="0" w:num="2">
            <w:col w:w="5840" w:space="720"/>
            <w:col w:w="4060"/>
          </w:cols>
          <w:pgMar w:left="360" w:top="132" w:right="919" w:bottom="1440" w:gutter="0" w:footer="0" w:header="0"/>
          <w:type w:val="continuous"/>
        </w:sectPr>
      </w:pPr>
    </w:p>
    <w:bookmarkStart w:id="255" w:name="page256"/>
    <w:bookmarkEnd w:id="255"/>
    <w:p>
      <w:pPr>
        <w:ind w:left="5420"/>
        <w:spacing w:after="0"/>
        <w:rPr>
          <w:sz w:val="20"/>
          <w:szCs w:val="20"/>
          <w:color w:val="auto"/>
        </w:rPr>
      </w:pPr>
      <w:r>
        <w:rPr>
          <w:rFonts w:ascii="Arial" w:cs="Arial" w:eastAsia="Arial" w:hAnsi="Arial"/>
          <w:sz w:val="13"/>
          <w:szCs w:val="13"/>
          <w:color w:val="auto"/>
        </w:rPr>
        <w:t>- 34 -</w:t>
      </w:r>
    </w:p>
    <w:p>
      <w:pPr>
        <w:sectPr>
          <w:pgSz w:w="11900" w:h="16838" w:orient="portrait"/>
          <w:cols w:equalWidth="0" w:num="1">
            <w:col w:w="10580"/>
          </w:cols>
          <w:pgMar w:left="360" w:top="132"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spacing w:after="0"/>
              <w:rPr>
                <w:sz w:val="20"/>
                <w:szCs w:val="20"/>
                <w:color w:val="auto"/>
              </w:rPr>
            </w:pPr>
            <w:r>
              <w:rPr>
                <w:rFonts w:ascii="Arial" w:cs="Arial" w:eastAsia="Arial" w:hAnsi="Arial"/>
                <w:sz w:val="13"/>
                <w:szCs w:val="13"/>
                <w:color w:val="auto"/>
              </w:rPr>
              <w:t>Mitteilungen,</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3940" w:type="dxa"/>
            <w:vAlign w:val="bottom"/>
            <w:gridSpan w:val="3"/>
          </w:tcPr>
          <w:p>
            <w:pPr>
              <w:ind w:left="80"/>
              <w:spacing w:after="0"/>
              <w:rPr>
                <w:sz w:val="20"/>
                <w:szCs w:val="20"/>
                <w:color w:val="auto"/>
              </w:rPr>
            </w:pPr>
            <w:r>
              <w:rPr>
                <w:rFonts w:ascii="Arial" w:cs="Arial" w:eastAsia="Arial" w:hAnsi="Arial"/>
                <w:sz w:val="17"/>
                <w:szCs w:val="17"/>
                <w:color w:val="auto"/>
              </w:rPr>
              <w:t>Publikationsorgan   der   Gesellschaft   ist   das</w:t>
            </w:r>
          </w:p>
        </w:tc>
      </w:tr>
      <w:tr>
        <w:trPr>
          <w:trHeight w:val="228"/>
        </w:trPr>
        <w:tc>
          <w:tcPr>
            <w:tcW w:w="1100" w:type="dxa"/>
            <w:vAlign w:val="bottom"/>
          </w:tcPr>
          <w:p>
            <w:pPr>
              <w:spacing w:after="0"/>
              <w:rPr>
                <w:sz w:val="20"/>
                <w:szCs w:val="20"/>
                <w:color w:val="auto"/>
              </w:rPr>
            </w:pPr>
            <w:r>
              <w:rPr>
                <w:rFonts w:ascii="Arial" w:cs="Arial" w:eastAsia="Arial" w:hAnsi="Arial"/>
                <w:sz w:val="13"/>
                <w:szCs w:val="13"/>
                <w:color w:val="auto"/>
              </w:rPr>
              <w:t>Publikationsorgan</w:t>
            </w:r>
          </w:p>
        </w:tc>
        <w:tc>
          <w:tcPr>
            <w:tcW w:w="18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7"/>
                <w:szCs w:val="17"/>
                <w:color w:val="auto"/>
              </w:rPr>
              <w:t>Schweizerische</w:t>
            </w:r>
          </w:p>
        </w:tc>
        <w:tc>
          <w:tcPr>
            <w:tcW w:w="1660" w:type="dxa"/>
            <w:vAlign w:val="bottom"/>
          </w:tcPr>
          <w:p>
            <w:pPr>
              <w:ind w:left="40"/>
              <w:spacing w:after="0"/>
              <w:rPr>
                <w:sz w:val="20"/>
                <w:szCs w:val="20"/>
                <w:color w:val="auto"/>
              </w:rPr>
            </w:pPr>
            <w:r>
              <w:rPr>
                <w:rFonts w:ascii="Arial" w:cs="Arial" w:eastAsia="Arial" w:hAnsi="Arial"/>
                <w:sz w:val="17"/>
                <w:szCs w:val="17"/>
                <w:color w:val="auto"/>
              </w:rPr>
              <w:t>Handelsamtsblatt.</w:t>
            </w:r>
          </w:p>
        </w:tc>
        <w:tc>
          <w:tcPr>
            <w:tcW w:w="540" w:type="dxa"/>
            <w:vAlign w:val="bottom"/>
          </w:tcPr>
          <w:p>
            <w:pPr>
              <w:jc w:val="right"/>
              <w:spacing w:after="0"/>
              <w:rPr>
                <w:sz w:val="20"/>
                <w:szCs w:val="20"/>
                <w:color w:val="auto"/>
              </w:rPr>
            </w:pPr>
            <w:r>
              <w:rPr>
                <w:rFonts w:ascii="Arial" w:cs="Arial" w:eastAsia="Arial" w:hAnsi="Arial"/>
                <w:sz w:val="17"/>
                <w:szCs w:val="17"/>
                <w:color w:val="auto"/>
              </w:rPr>
              <w:t>Der</w:t>
            </w:r>
          </w:p>
        </w:tc>
      </w:tr>
      <w:tr>
        <w:trPr>
          <w:trHeight w:val="241"/>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80"/>
              <w:spacing w:after="0"/>
              <w:rPr>
                <w:sz w:val="20"/>
                <w:szCs w:val="20"/>
                <w:color w:val="auto"/>
              </w:rPr>
            </w:pPr>
            <w:r>
              <w:rPr>
                <w:rFonts w:ascii="Arial" w:cs="Arial" w:eastAsia="Arial" w:hAnsi="Arial"/>
                <w:sz w:val="17"/>
                <w:szCs w:val="17"/>
                <w:color w:val="auto"/>
              </w:rPr>
              <w:t>Verwaltungsrat  kann</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weitere  Publikationsorgane</w:t>
            </w:r>
          </w:p>
        </w:tc>
      </w:tr>
      <w:tr>
        <w:trPr>
          <w:trHeight w:val="228"/>
        </w:trPr>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7"/>
                <w:szCs w:val="17"/>
                <w:color w:val="auto"/>
              </w:rPr>
              <w:t>bezeichnen.</w:t>
            </w:r>
          </w:p>
        </w:tc>
        <w:tc>
          <w:tcPr>
            <w:tcW w:w="166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170" w:lineRule="exact"/>
        <w:rPr>
          <w:sz w:val="20"/>
          <w:szCs w:val="20"/>
          <w:color w:val="auto"/>
        </w:rPr>
      </w:pPr>
    </w:p>
    <w:p>
      <w:pPr>
        <w:jc w:val="both"/>
        <w:ind w:left="1360" w:hanging="219"/>
        <w:spacing w:after="0" w:line="287" w:lineRule="auto"/>
        <w:tabs>
          <w:tab w:leader="none" w:pos="134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7"/>
          <w:szCs w:val="17"/>
          <w:color w:val="auto"/>
        </w:rPr>
        <w:t>Mitteilungen  der  Gesellschaft  an  die  Aktionäre können  nach  Wahl  des  Verwaltungsrates  gültig</w:t>
      </w:r>
    </w:p>
    <w:p>
      <w:pPr>
        <w:spacing w:after="0" w:line="1" w:lineRule="exact"/>
        <w:rPr>
          <w:sz w:val="20"/>
          <w:szCs w:val="20"/>
          <w:color w:val="auto"/>
        </w:rPr>
      </w:pPr>
    </w:p>
    <w:p>
      <w:pPr>
        <w:jc w:val="both"/>
        <w:ind w:left="1360"/>
        <w:spacing w:after="0" w:line="304" w:lineRule="auto"/>
        <w:rPr>
          <w:sz w:val="20"/>
          <w:szCs w:val="20"/>
          <w:color w:val="auto"/>
        </w:rPr>
      </w:pPr>
      <w:r>
        <w:rPr>
          <w:rFonts w:ascii="Arial" w:cs="Arial" w:eastAsia="Arial" w:hAnsi="Arial"/>
          <w:sz w:val="17"/>
          <w:szCs w:val="17"/>
          <w:color w:val="auto"/>
        </w:rPr>
        <w:t>durch Publikation im Schweizerischen Handelsamtsblatt oder in einer Form, die den Nachweis durch Text ermöglicht, erfolgen.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 xml:space="preserve">Communications, 1 </w:t>
      </w:r>
      <w:r>
        <w:rPr>
          <w:rFonts w:ascii="Arial" w:cs="Arial" w:eastAsia="Arial" w:hAnsi="Arial"/>
          <w:sz w:val="16"/>
          <w:szCs w:val="16"/>
          <w:color w:val="auto"/>
        </w:rPr>
        <w:t>The official means of publication of the Company</w:t>
      </w:r>
      <w:r>
        <w:rPr>
          <w:rFonts w:ascii="Arial" w:cs="Arial" w:eastAsia="Arial" w:hAnsi="Arial"/>
          <w:sz w:val="13"/>
          <w:szCs w:val="13"/>
          <w:color w:val="auto"/>
        </w:rPr>
        <w:t xml:space="preserve"> Official Means of </w:t>
      </w:r>
      <w:r>
        <w:rPr>
          <w:rFonts w:ascii="Arial" w:cs="Arial" w:eastAsia="Arial" w:hAnsi="Arial"/>
          <w:sz w:val="16"/>
          <w:szCs w:val="16"/>
          <w:color w:val="auto"/>
        </w:rPr>
        <w:t>shall be the Swiss Official Gazette of Commerce.</w:t>
      </w:r>
    </w:p>
    <w:p>
      <w:pPr>
        <w:spacing w:after="0" w:line="1" w:lineRule="exact"/>
        <w:rPr>
          <w:sz w:val="20"/>
          <w:szCs w:val="20"/>
          <w:color w:val="auto"/>
        </w:rPr>
      </w:pPr>
    </w:p>
    <w:p>
      <w:pPr>
        <w:ind w:left="1360" w:hanging="1359"/>
        <w:spacing w:after="0" w:line="313" w:lineRule="auto"/>
        <w:tabs>
          <w:tab w:leader="none" w:pos="1340" w:val="left"/>
        </w:tabs>
        <w:rPr>
          <w:sz w:val="20"/>
          <w:szCs w:val="20"/>
          <w:color w:val="auto"/>
        </w:rPr>
      </w:pPr>
      <w:r>
        <w:rPr>
          <w:rFonts w:ascii="Arial" w:cs="Arial" w:eastAsia="Arial" w:hAnsi="Arial"/>
          <w:sz w:val="13"/>
          <w:szCs w:val="13"/>
          <w:color w:val="auto"/>
        </w:rPr>
        <w:t>Publication</w:t>
      </w:r>
      <w:r>
        <w:rPr>
          <w:sz w:val="20"/>
          <w:szCs w:val="20"/>
          <w:color w:val="auto"/>
        </w:rPr>
        <w:tab/>
      </w:r>
      <w:r>
        <w:rPr>
          <w:rFonts w:ascii="Arial" w:cs="Arial" w:eastAsia="Arial" w:hAnsi="Arial"/>
          <w:sz w:val="17"/>
          <w:szCs w:val="17"/>
          <w:color w:val="auto"/>
        </w:rPr>
        <w:t>The board of directors may designate additional means of publication.</w:t>
      </w:r>
    </w:p>
    <w:p>
      <w:pPr>
        <w:spacing w:after="0" w:line="111" w:lineRule="exact"/>
        <w:rPr>
          <w:sz w:val="20"/>
          <w:szCs w:val="20"/>
          <w:color w:val="auto"/>
        </w:rPr>
      </w:pPr>
    </w:p>
    <w:p>
      <w:pPr>
        <w:jc w:val="both"/>
        <w:ind w:left="1360" w:hanging="250"/>
        <w:spacing w:after="0" w:line="287" w:lineRule="auto"/>
        <w:tabs>
          <w:tab w:leader="none" w:pos="1360" w:val="left"/>
        </w:tabs>
        <w:numPr>
          <w:ilvl w:val="0"/>
          <w:numId w:val="200"/>
        </w:numPr>
        <w:rPr>
          <w:rFonts w:ascii="Arial" w:cs="Arial" w:eastAsia="Arial" w:hAnsi="Arial"/>
          <w:sz w:val="13"/>
          <w:szCs w:val="13"/>
          <w:color w:val="auto"/>
        </w:rPr>
      </w:pPr>
      <w:r>
        <w:rPr>
          <w:rFonts w:ascii="Arial" w:cs="Arial" w:eastAsia="Arial" w:hAnsi="Arial"/>
          <w:sz w:val="17"/>
          <w:szCs w:val="17"/>
          <w:color w:val="auto"/>
        </w:rPr>
        <w:t>Notices by the Company to the shareholders may, at the election of the board of directors, be validly</w:t>
      </w:r>
    </w:p>
    <w:p>
      <w:pPr>
        <w:spacing w:after="0" w:line="1" w:lineRule="exact"/>
        <w:rPr>
          <w:rFonts w:ascii="Arial" w:cs="Arial" w:eastAsia="Arial" w:hAnsi="Arial"/>
          <w:sz w:val="13"/>
          <w:szCs w:val="13"/>
          <w:color w:val="auto"/>
        </w:rPr>
      </w:pPr>
    </w:p>
    <w:p>
      <w:pPr>
        <w:ind w:left="1360"/>
        <w:spacing w:after="0" w:line="313" w:lineRule="auto"/>
        <w:rPr>
          <w:rFonts w:ascii="Arial" w:cs="Arial" w:eastAsia="Arial" w:hAnsi="Arial"/>
          <w:sz w:val="13"/>
          <w:szCs w:val="13"/>
          <w:color w:val="auto"/>
        </w:rPr>
      </w:pPr>
      <w:r>
        <w:rPr>
          <w:rFonts w:ascii="Arial" w:cs="Arial" w:eastAsia="Arial" w:hAnsi="Arial"/>
          <w:sz w:val="17"/>
          <w:szCs w:val="17"/>
          <w:color w:val="auto"/>
        </w:rPr>
        <w:t>given by publication in the Swiss Official Gazette of Commerce or in a form that allows proof by text.</w:t>
      </w:r>
    </w:p>
    <w:p>
      <w:pPr>
        <w:sectPr>
          <w:pgSz w:w="11900" w:h="16838" w:orient="portrait"/>
          <w:cols w:equalWidth="0" w:num="2">
            <w:col w:w="5220" w:space="160"/>
            <w:col w:w="5200"/>
          </w:cols>
          <w:pgMar w:left="360" w:top="132" w:right="959" w:bottom="1440" w:gutter="0" w:footer="0" w:header="0"/>
          <w:type w:val="continuous"/>
        </w:sectPr>
      </w:pPr>
    </w:p>
    <w:bookmarkStart w:id="256" w:name="page257"/>
    <w:bookmarkEnd w:id="256"/>
    <w:p>
      <w:pPr>
        <w:jc w:val="right"/>
        <w:spacing w:after="0"/>
        <w:rPr>
          <w:sz w:val="20"/>
          <w:szCs w:val="20"/>
          <w:color w:val="auto"/>
        </w:rPr>
      </w:pPr>
      <w:r>
        <w:rPr>
          <w:rFonts w:ascii="Times New Roman" w:cs="Times New Roman" w:eastAsia="Times New Roman" w:hAnsi="Times New Roman"/>
          <w:sz w:val="17"/>
          <w:szCs w:val="17"/>
          <w:color w:val="auto"/>
        </w:rPr>
        <w:t>Exhibit 4.7</w:t>
      </w:r>
    </w:p>
    <w:p>
      <w:pPr>
        <w:spacing w:after="0" w:line="155" w:lineRule="exact"/>
        <w:rPr>
          <w:sz w:val="20"/>
          <w:szCs w:val="20"/>
          <w:color w:val="auto"/>
        </w:rPr>
      </w:pPr>
    </w:p>
    <w:p>
      <w:pPr>
        <w:ind w:left="100" w:hanging="99"/>
        <w:spacing w:after="0"/>
        <w:tabs>
          <w:tab w:leader="none" w:pos="10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CERTAIN CONFIDENTIAL INFORMATION CONTAINED IN THIS DOCUMENT, MARKED BY [***], HAS BEEN OMITTED BECAUSE IT 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21, 2024</w:t>
      </w:r>
    </w:p>
    <w:p>
      <w:pPr>
        <w:spacing w:after="0" w:line="221" w:lineRule="exact"/>
        <w:rPr>
          <w:sz w:val="20"/>
          <w:szCs w:val="20"/>
          <w:color w:val="auto"/>
        </w:rPr>
      </w:pPr>
    </w:p>
    <w:p>
      <w:pPr>
        <w:jc w:val="both"/>
        <w:ind w:firstLine="325"/>
        <w:spacing w:after="0" w:line="254" w:lineRule="auto"/>
        <w:rPr>
          <w:sz w:val="20"/>
          <w:szCs w:val="20"/>
          <w:color w:val="auto"/>
        </w:rPr>
      </w:pPr>
      <w:r>
        <w:rPr>
          <w:rFonts w:ascii="Times New Roman" w:cs="Times New Roman" w:eastAsia="Times New Roman" w:hAnsi="Times New Roman"/>
          <w:sz w:val="19"/>
          <w:szCs w:val="19"/>
          <w:color w:val="auto"/>
        </w:rPr>
        <w:t>RE: Research and Development Collaboration and Option Agreement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5 January 2024 between Orano Med, a French simplified joint-stock company, with registered office at 125 avenue de Paris, 92320 Chatillon, France (“</w:t>
      </w:r>
      <w:r>
        <w:rPr>
          <w:rFonts w:ascii="Times New Roman" w:cs="Times New Roman" w:eastAsia="Times New Roman" w:hAnsi="Times New Roman"/>
          <w:sz w:val="19"/>
          <w:szCs w:val="19"/>
          <w:b w:val="1"/>
          <w:bCs w:val="1"/>
          <w:color w:val="auto"/>
        </w:rPr>
        <w:t>Orano Med</w:t>
      </w:r>
      <w:r>
        <w:rPr>
          <w:rFonts w:ascii="Times New Roman" w:cs="Times New Roman" w:eastAsia="Times New Roman" w:hAnsi="Times New Roman"/>
          <w:sz w:val="19"/>
          <w:szCs w:val="19"/>
          <w:color w:val="auto"/>
        </w:rPr>
        <w:t>”), and Molecular Partners, a Swiss corporation, with registered office at Wagistrasse 14, 8952 Schlieren, Switzerland (“</w:t>
      </w:r>
      <w:r>
        <w:rPr>
          <w:rFonts w:ascii="Times New Roman" w:cs="Times New Roman" w:eastAsia="Times New Roman" w:hAnsi="Times New Roman"/>
          <w:sz w:val="19"/>
          <w:szCs w:val="19"/>
          <w:b w:val="1"/>
          <w:bCs w:val="1"/>
          <w:color w:val="auto"/>
        </w:rPr>
        <w:t>Molecular Partners</w:t>
      </w:r>
      <w:r>
        <w:rPr>
          <w:rFonts w:ascii="Times New Roman" w:cs="Times New Roman" w:eastAsia="Times New Roman" w:hAnsi="Times New Roman"/>
          <w:sz w:val="19"/>
          <w:szCs w:val="19"/>
          <w:color w:val="auto"/>
        </w:rPr>
        <w:t>”) (each,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Unless otherwise noted, capitalized terms used, but not defined herein, shall have the respective meanings ascribed to them in the Agreement, as the context requires.</w:t>
      </w:r>
    </w:p>
    <w:p>
      <w:pPr>
        <w:spacing w:after="0" w:line="190" w:lineRule="exact"/>
        <w:rPr>
          <w:sz w:val="20"/>
          <w:szCs w:val="20"/>
          <w:color w:val="auto"/>
        </w:rPr>
      </w:pPr>
    </w:p>
    <w:p>
      <w:pPr>
        <w:jc w:val="both"/>
        <w:ind w:firstLine="231"/>
        <w:spacing w:after="0" w:line="275" w:lineRule="auto"/>
        <w:rPr>
          <w:sz w:val="20"/>
          <w:szCs w:val="20"/>
          <w:color w:val="auto"/>
        </w:rPr>
      </w:pPr>
      <w:r>
        <w:rPr>
          <w:rFonts w:ascii="Times New Roman" w:cs="Times New Roman" w:eastAsia="Times New Roman" w:hAnsi="Times New Roman"/>
          <w:sz w:val="19"/>
          <w:szCs w:val="19"/>
          <w:color w:val="auto"/>
        </w:rPr>
        <w:t>Pursuant to the Agreement, Orano Med shall be the Sponsor for, and have the first right to exercise the Option for, the first Additional Candidate (i.e., the second Collaboration Product included into the Collaboration between the Parties in addition to the First Product).</w:t>
      </w:r>
    </w:p>
    <w:p>
      <w:pPr>
        <w:spacing w:after="0" w:line="171" w:lineRule="exact"/>
        <w:rPr>
          <w:sz w:val="20"/>
          <w:szCs w:val="20"/>
          <w:color w:val="auto"/>
        </w:rPr>
      </w:pPr>
    </w:p>
    <w:p>
      <w:pPr>
        <w:jc w:val="both"/>
        <w:ind w:firstLine="226"/>
        <w:spacing w:after="0" w:line="254" w:lineRule="auto"/>
        <w:rPr>
          <w:sz w:val="20"/>
          <w:szCs w:val="20"/>
          <w:color w:val="auto"/>
        </w:rPr>
      </w:pPr>
      <w:r>
        <w:rPr>
          <w:rFonts w:ascii="Times New Roman" w:cs="Times New Roman" w:eastAsia="Times New Roman" w:hAnsi="Times New Roman"/>
          <w:sz w:val="19"/>
          <w:szCs w:val="19"/>
          <w:color w:val="auto"/>
        </w:rPr>
        <w:t>Orano Med and Molecular Partners wish to extend their Collaboration to the target Mesothelin as a second target further to DLL3, and Molecular Partners wishes to obtain the right to be the Sponsor for, and have the first right to exercise the Option for, such second target, which shall become the first Additional Candidate (i.e., the second Collaboration Product included into the Collaboration). Orano Med agreed to grant said rights to Molecular Partners subject to certain adjustments to the Collaboration.</w:t>
      </w:r>
    </w:p>
    <w:p>
      <w:pPr>
        <w:spacing w:after="0" w:line="202" w:lineRule="exact"/>
        <w:rPr>
          <w:sz w:val="20"/>
          <w:szCs w:val="20"/>
          <w:color w:val="auto"/>
        </w:rPr>
      </w:pPr>
    </w:p>
    <w:p>
      <w:pPr>
        <w:jc w:val="both"/>
        <w:ind w:firstLine="186"/>
        <w:spacing w:after="0" w:line="256" w:lineRule="auto"/>
        <w:rPr>
          <w:sz w:val="20"/>
          <w:szCs w:val="20"/>
          <w:color w:val="auto"/>
        </w:rPr>
      </w:pPr>
      <w:r>
        <w:rPr>
          <w:rFonts w:ascii="Times New Roman" w:cs="Times New Roman" w:eastAsia="Times New Roman" w:hAnsi="Times New Roman"/>
          <w:sz w:val="19"/>
          <w:szCs w:val="19"/>
          <w:color w:val="auto"/>
        </w:rPr>
        <w:t>In consideration of the foregoing premises and the mutual covenants herein contained, and for other good and valuable consideration, the receipt and sufficiency of which are hereby acknowledged, the Parties have agreed to enter into this letter agreement (the “</w:t>
      </w:r>
      <w:r>
        <w:rPr>
          <w:rFonts w:ascii="Times New Roman" w:cs="Times New Roman" w:eastAsia="Times New Roman" w:hAnsi="Times New Roman"/>
          <w:sz w:val="19"/>
          <w:szCs w:val="19"/>
          <w:b w:val="1"/>
          <w:bCs w:val="1"/>
          <w:color w:val="auto"/>
        </w:rPr>
        <w:t>Letter Agreement</w:t>
      </w:r>
      <w:r>
        <w:rPr>
          <w:rFonts w:ascii="Times New Roman" w:cs="Times New Roman" w:eastAsia="Times New Roman" w:hAnsi="Times New Roman"/>
          <w:sz w:val="19"/>
          <w:szCs w:val="19"/>
          <w:color w:val="auto"/>
        </w:rPr>
        <w:t>”) as of the date set forth above (“</w:t>
      </w:r>
      <w:r>
        <w:rPr>
          <w:rFonts w:ascii="Times New Roman" w:cs="Times New Roman" w:eastAsia="Times New Roman" w:hAnsi="Times New Roman"/>
          <w:sz w:val="19"/>
          <w:szCs w:val="19"/>
          <w:b w:val="1"/>
          <w:bCs w:val="1"/>
          <w:color w:val="auto"/>
        </w:rPr>
        <w:t>Letter Agreement Effective Date</w:t>
      </w:r>
      <w:r>
        <w:rPr>
          <w:rFonts w:ascii="Times New Roman" w:cs="Times New Roman" w:eastAsia="Times New Roman" w:hAnsi="Times New Roman"/>
          <w:sz w:val="19"/>
          <w:szCs w:val="19"/>
          <w:color w:val="auto"/>
        </w:rPr>
        <w:t>”) to amend the Agreement accordingly.</w:t>
      </w:r>
    </w:p>
    <w:p>
      <w:pPr>
        <w:spacing w:after="0" w:line="196" w:lineRule="exact"/>
        <w:rPr>
          <w:sz w:val="20"/>
          <w:szCs w:val="20"/>
          <w:color w:val="auto"/>
        </w:rPr>
      </w:pPr>
    </w:p>
    <w:p>
      <w:pPr>
        <w:ind w:left="600" w:hanging="599"/>
        <w:spacing w:after="0"/>
        <w:tabs>
          <w:tab w:leader="none" w:pos="600" w:val="left"/>
        </w:tabs>
        <w:numPr>
          <w:ilvl w:val="0"/>
          <w:numId w:val="2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 to the Agreement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Parties hereby acknowledge and agree that:</w:t>
      </w:r>
    </w:p>
    <w:p>
      <w:pPr>
        <w:spacing w:after="0" w:line="233" w:lineRule="exact"/>
        <w:rPr>
          <w:sz w:val="20"/>
          <w:szCs w:val="20"/>
          <w:color w:val="auto"/>
        </w:rPr>
      </w:pPr>
    </w:p>
    <w:p>
      <w:pPr>
        <w:ind w:left="600" w:hanging="295"/>
        <w:spacing w:after="0"/>
        <w:tabs>
          <w:tab w:leader="none" w:pos="600" w:val="left"/>
        </w:tabs>
        <w:numPr>
          <w:ilvl w:val="0"/>
          <w:numId w:val="2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3.3(a) of the Agreement is hereby deleted and replaced as follows:</w:t>
      </w:r>
    </w:p>
    <w:p>
      <w:pPr>
        <w:spacing w:after="0" w:line="224" w:lineRule="exact"/>
        <w:rPr>
          <w:rFonts w:ascii="Times New Roman" w:cs="Times New Roman" w:eastAsia="Times New Roman" w:hAnsi="Times New Roman"/>
          <w:sz w:val="19"/>
          <w:szCs w:val="19"/>
          <w:b w:val="1"/>
          <w:bCs w:val="1"/>
          <w:color w:val="auto"/>
        </w:rPr>
      </w:pPr>
    </w:p>
    <w:p>
      <w:pPr>
        <w:ind w:left="600"/>
        <w:spacing w:after="0" w:line="27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“(a) [***] shall have final decision-making authority for [***], provided that such decision is [***]. Such final decision-making authority will [***] with regard to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The final decision-making authority for [***] will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t>
      </w:r>
    </w:p>
    <w:p>
      <w:pPr>
        <w:spacing w:after="0" w:line="175" w:lineRule="exact"/>
        <w:rPr>
          <w:rFonts w:ascii="Times New Roman" w:cs="Times New Roman" w:eastAsia="Times New Roman" w:hAnsi="Times New Roman"/>
          <w:sz w:val="19"/>
          <w:szCs w:val="19"/>
          <w:b w:val="1"/>
          <w:bCs w:val="1"/>
          <w:color w:val="auto"/>
        </w:rPr>
      </w:pPr>
    </w:p>
    <w:p>
      <w:pPr>
        <w:ind w:left="600" w:right="5040" w:hanging="295"/>
        <w:spacing w:after="0" w:line="493" w:lineRule="auto"/>
        <w:tabs>
          <w:tab w:leader="none" w:pos="608" w:val="left"/>
        </w:tabs>
        <w:numPr>
          <w:ilvl w:val="0"/>
          <w:numId w:val="2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Section 4.2 of the Agreement is hereby deleted and replaced as follows: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4.2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Substitution of target</w:t>
      </w:r>
      <w:r>
        <w:rPr>
          <w:rFonts w:ascii="Times New Roman" w:cs="Times New Roman" w:eastAsia="Times New Roman" w:hAnsi="Times New Roman"/>
          <w:sz w:val="19"/>
          <w:szCs w:val="19"/>
          <w:i w:val="1"/>
          <w:iCs w:val="1"/>
          <w:color w:val="auto"/>
        </w:rPr>
        <w:t>.</w:t>
      </w:r>
    </w:p>
    <w:p>
      <w:pPr>
        <w:spacing w:after="0" w:line="1" w:lineRule="exact"/>
        <w:rPr>
          <w:rFonts w:ascii="Times New Roman" w:cs="Times New Roman" w:eastAsia="Times New Roman" w:hAnsi="Times New Roman"/>
          <w:sz w:val="19"/>
          <w:szCs w:val="19"/>
          <w:b w:val="1"/>
          <w:bCs w:val="1"/>
          <w:color w:val="auto"/>
        </w:rPr>
      </w:pPr>
    </w:p>
    <w:p>
      <w:pPr>
        <w:jc w:val="both"/>
        <w:ind w:left="600"/>
        <w:spacing w:after="0" w:line="25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(a) The Parties may decide to substitute the target DLL3 in the First Product or another target in another Collaboration Product by a different target (such target, the “</w:t>
      </w:r>
      <w:r>
        <w:rPr>
          <w:rFonts w:ascii="Times New Roman" w:cs="Times New Roman" w:eastAsia="Times New Roman" w:hAnsi="Times New Roman"/>
          <w:sz w:val="19"/>
          <w:szCs w:val="19"/>
          <w:b w:val="1"/>
          <w:bCs w:val="1"/>
          <w:i w:val="1"/>
          <w:iCs w:val="1"/>
          <w:color w:val="auto"/>
        </w:rPr>
        <w:t>Substitute Target</w:t>
      </w:r>
      <w:r>
        <w:rPr>
          <w:rFonts w:ascii="Times New Roman" w:cs="Times New Roman" w:eastAsia="Times New Roman" w:hAnsi="Times New Roman"/>
          <w:sz w:val="19"/>
          <w:szCs w:val="19"/>
          <w:i w:val="1"/>
          <w:iCs w:val="1"/>
          <w:color w:val="auto"/>
        </w:rPr>
        <w:t>”). Either Party may propose to the other Party to introduce a Substitute Target into the R&amp;D Program and Plan in place of the target DLL3 in the First Product or another target in another Collaboration Product provided that both Parties agree on the Substitute Target and that such substitution occurs no later than:</w:t>
      </w:r>
    </w:p>
    <w:p>
      <w:pPr>
        <w:spacing w:after="0" w:line="204" w:lineRule="exact"/>
        <w:rPr>
          <w:sz w:val="20"/>
          <w:szCs w:val="20"/>
          <w:color w:val="auto"/>
        </w:rPr>
      </w:pPr>
    </w:p>
    <w:p>
      <w:pPr>
        <w:ind w:left="840" w:hanging="120"/>
        <w:spacing w:after="0"/>
        <w:tabs>
          <w:tab w:leader="none" w:pos="840" w:val="left"/>
        </w:tabs>
        <w:numPr>
          <w:ilvl w:val="0"/>
          <w:numId w:val="204"/>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With respect to [***] the earlier of (i) [***] and (ii) [***];</w:t>
      </w:r>
    </w:p>
    <w:p>
      <w:pPr>
        <w:spacing w:after="0" w:line="211" w:lineRule="exact"/>
        <w:rPr>
          <w:rFonts w:ascii="Arial" w:cs="Arial" w:eastAsia="Arial" w:hAnsi="Arial"/>
          <w:sz w:val="19"/>
          <w:szCs w:val="19"/>
          <w:color w:val="auto"/>
        </w:rPr>
      </w:pPr>
    </w:p>
    <w:p>
      <w:pPr>
        <w:ind w:left="840" w:hanging="120"/>
        <w:spacing w:after="0"/>
        <w:tabs>
          <w:tab w:leader="none" w:pos="840" w:val="left"/>
        </w:tabs>
        <w:numPr>
          <w:ilvl w:val="0"/>
          <w:numId w:val="204"/>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With respect to [***], the earlier of (i) [***] the [***] and (ii) [***].</w:t>
      </w:r>
    </w:p>
    <w:p>
      <w:pPr>
        <w:sectPr>
          <w:pgSz w:w="11900" w:h="16838" w:orient="portrait"/>
          <w:cols w:equalWidth="0" w:num="1">
            <w:col w:w="11240"/>
          </w:cols>
          <w:pgMar w:left="320" w:top="123" w:right="339" w:bottom="1440" w:gutter="0" w:footer="0" w:header="0"/>
        </w:sectPr>
      </w:pPr>
    </w:p>
    <w:bookmarkStart w:id="257" w:name="page258"/>
    <w:bookmarkEnd w:id="257"/>
    <w:p>
      <w:pPr>
        <w:spacing w:after="0" w:line="200" w:lineRule="exact"/>
        <w:rPr>
          <w:sz w:val="20"/>
          <w:szCs w:val="20"/>
          <w:color w:val="auto"/>
        </w:rPr>
      </w:pPr>
    </w:p>
    <w:p>
      <w:pPr>
        <w:spacing w:after="0" w:line="337"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9"/>
          <w:szCs w:val="19"/>
          <w:i w:val="1"/>
          <w:iCs w:val="1"/>
          <w:color w:val="auto"/>
        </w:rPr>
        <w:t>A Party wishing to introduce a Substitute Target shall notify the other Party in writing and shall provide all relevant technical, scientific, safety and therapeutic information about the proposed target, including how it will impact the R&amp;D Plan, R&amp;D Program and R&amp;D Budget and the benefits and risks of substitution over the replaced target.</w:t>
      </w:r>
    </w:p>
    <w:p>
      <w:pPr>
        <w:spacing w:after="0" w:line="182" w:lineRule="exact"/>
        <w:rPr>
          <w:sz w:val="20"/>
          <w:szCs w:val="20"/>
          <w:color w:val="auto"/>
        </w:rPr>
      </w:pPr>
    </w:p>
    <w:p>
      <w:pPr>
        <w:jc w:val="both"/>
        <w:ind w:left="300"/>
        <w:spacing w:after="0" w:line="250" w:lineRule="auto"/>
        <w:rPr>
          <w:sz w:val="20"/>
          <w:szCs w:val="20"/>
          <w:color w:val="auto"/>
        </w:rPr>
      </w:pPr>
      <w:r>
        <w:rPr>
          <w:rFonts w:ascii="Times New Roman" w:cs="Times New Roman" w:eastAsia="Times New Roman" w:hAnsi="Times New Roman"/>
          <w:sz w:val="19"/>
          <w:szCs w:val="19"/>
          <w:i w:val="1"/>
          <w:iCs w:val="1"/>
          <w:color w:val="auto"/>
        </w:rPr>
        <w:t>(b) Should the Parties wish to jointly engage in additional pre-clinical activities for Additional Candidates, they shall enter into a Materials Transfer Agreement (“</w:t>
      </w:r>
      <w:r>
        <w:rPr>
          <w:rFonts w:ascii="Times New Roman" w:cs="Times New Roman" w:eastAsia="Times New Roman" w:hAnsi="Times New Roman"/>
          <w:sz w:val="19"/>
          <w:szCs w:val="19"/>
          <w:b w:val="1"/>
          <w:bCs w:val="1"/>
          <w:i w:val="1"/>
          <w:iCs w:val="1"/>
          <w:color w:val="auto"/>
        </w:rPr>
        <w:t>MTA</w:t>
      </w:r>
      <w:r>
        <w:rPr>
          <w:rFonts w:ascii="Times New Roman" w:cs="Times New Roman" w:eastAsia="Times New Roman" w:hAnsi="Times New Roman"/>
          <w:sz w:val="19"/>
          <w:szCs w:val="19"/>
          <w:i w:val="1"/>
          <w:iCs w:val="1"/>
          <w:color w:val="auto"/>
        </w:rPr>
        <w:t>”) substantially in the form of the MTA entered into by the Parties in relation to DLL3, provided that Orano Med shall have the right to request that the duration of such MTAs [***]. They shall ensure that such MTA comprises [***]. Upon finalization of such pre-clinical studies for Additional Candidates (or earlier if the JSC decides to take an earlier decision), the Parties will decide, under the supervision of the JSC, whether or not to include such Additional Candidates under this Agreement. Should the Parties decide to include such Additional Candidates under this Agreement, such Additional Candidates shall be considered as a Collaboration Product, and all rights and obligations in relation thereto shall apply unless otherwise agreed.</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ind w:left="300" w:hanging="295"/>
        <w:spacing w:after="0"/>
        <w:tabs>
          <w:tab w:leader="none" w:pos="300"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The first and second sentences of Section 4.4(a) of the Agreement are hereby deleted and replaced as follows: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i w:val="1"/>
          <w:iCs w:val="1"/>
          <w:color w:val="auto"/>
        </w:rPr>
        <w:t>“(a) Subject to the Opt-Out provisions set out under Section 6 below, (i) Molecular Partners shall be the Sponsor for all Clinical Trials of the First Product and first Additional Candidate, and (ii) Orano Med shall be the Sponsor for all Clinical Trials of the second and third Additional Candidates”. For Additional Candidates which the Parties agree to pursue thereafter (e.g. after the second and third Additional Candidates that will be Sponsored by Orano Med), the Parties shall agree in the JSC who will be the Sponsor of the respective Clinical Trials and the same shall apply for any testing to be performed in the course of Development of any CDs which the Parties agree to pursue.</w:t>
      </w:r>
    </w:p>
    <w:p>
      <w:pPr>
        <w:spacing w:after="0" w:line="186"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9"/>
          <w:szCs w:val="19"/>
          <w:b w:val="1"/>
          <w:bCs w:val="1"/>
          <w:color w:val="auto"/>
        </w:rPr>
        <w:t>(d) The first two sentence of Section 4.5(a) of the Agreement are hereby deleted and replaced</w:t>
      </w:r>
      <w:r>
        <w:rPr>
          <w:sz w:val="20"/>
          <w:szCs w:val="20"/>
          <w:color w:val="auto"/>
        </w:rPr>
        <w:tab/>
      </w:r>
      <w:r>
        <w:rPr>
          <w:rFonts w:ascii="Times New Roman" w:cs="Times New Roman" w:eastAsia="Times New Roman" w:hAnsi="Times New Roman"/>
          <w:sz w:val="18"/>
          <w:szCs w:val="18"/>
          <w:b w:val="1"/>
          <w:bCs w:val="1"/>
          <w:color w:val="auto"/>
        </w:rPr>
        <w:t>as follows: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i w:val="1"/>
          <w:iCs w:val="1"/>
          <w:color w:val="auto"/>
        </w:rPr>
        <w:t xml:space="preserve">“(a) </w:t>
      </w:r>
      <w:r>
        <w:rPr>
          <w:rFonts w:ascii="Times New Roman" w:cs="Times New Roman" w:eastAsia="Times New Roman" w:hAnsi="Times New Roman"/>
          <w:sz w:val="19"/>
          <w:szCs w:val="19"/>
          <w:i w:val="1"/>
          <w:iCs w:val="1"/>
          <w:u w:val="single" w:color="auto"/>
          <w:color w:val="auto"/>
        </w:rPr>
        <w:t>Responsibility</w:t>
      </w:r>
      <w:r>
        <w:rPr>
          <w:rFonts w:ascii="Times New Roman" w:cs="Times New Roman" w:eastAsia="Times New Roman" w:hAnsi="Times New Roman"/>
          <w:sz w:val="19"/>
          <w:szCs w:val="19"/>
          <w:i w:val="1"/>
          <w:iCs w:val="1"/>
          <w:color w:val="auto"/>
        </w:rPr>
        <w:t>. For the First Product and first Additional Candidate (which shall become the second Collaboration Product), and subject to Section 4.9, Molecular Partners (or if Molecular Partners is not the Exploiting Party, Orano Med) will be responsible for the preparation and filing of all Regulatory Documentation under the relevant R&amp;D Program, including (as applicable) filing the CTA/IND/BLA, and other regulatory filings, and for all regulatory communications concerning the First Product and first Additional Candidate (which shall become the second Collaboration Product)(subject to Orano Med’s right and obligation, as long as it is the Manufacturer of the Collaboration Product, to submit filings comprising Regulatory Documents relating to the Manufacturing of the Collaboration Product or as relates to 212Pb), subject to review and approval at the JSC and with reasonable support from Orano Med. For the third and fourth Collaboration Products, Orano Med (or if Orano Med is not the Exploiting Party, Molecular Partners) will be responsible for the preparation and filing of all Regulatory Documentation under the relevant R&amp;D Program and the first sentence shall apply mutatis mutandis (except that the requirement on Orano Med to have the right and obligation, as long as it is the Manufacturer of the Collaboration Product, to submit filings comprising Regulatory Documents relating to the Manufacturing of the Collaboration Product or as relates to 212Pb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40"/>
          </w:cols>
          <w:pgMar w:left="620" w:top="1440" w:right="339" w:bottom="1440" w:gutter="0" w:footer="0" w:header="0"/>
        </w:sectPr>
      </w:pPr>
    </w:p>
    <w:bookmarkStart w:id="258" w:name="page259"/>
    <w:bookmarkEnd w:id="258"/>
    <w:p>
      <w:pPr>
        <w:spacing w:after="0" w:line="30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9"/>
          <w:szCs w:val="19"/>
          <w:b w:val="1"/>
          <w:bCs w:val="1"/>
          <w:color w:val="auto"/>
        </w:rPr>
        <w:t>(e) Section 6.3(a) of the Agreement is hereby deleted in its entirety and replaced as</w:t>
      </w:r>
      <w:r>
        <w:rPr>
          <w:sz w:val="20"/>
          <w:szCs w:val="20"/>
          <w:color w:val="auto"/>
        </w:rPr>
        <w:tab/>
      </w:r>
      <w:r>
        <w:rPr>
          <w:rFonts w:ascii="Times New Roman" w:cs="Times New Roman" w:eastAsia="Times New Roman" w:hAnsi="Times New Roman"/>
          <w:sz w:val="18"/>
          <w:szCs w:val="18"/>
          <w:b w:val="1"/>
          <w:bCs w:val="1"/>
          <w:color w:val="auto"/>
        </w:rPr>
        <w:t>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6.3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Option for Additional Candidates; Rights of Exercise</w:t>
      </w:r>
      <w:r>
        <w:rPr>
          <w:rFonts w:ascii="Times New Roman" w:cs="Times New Roman" w:eastAsia="Times New Roman" w:hAnsi="Times New Roman"/>
          <w:sz w:val="19"/>
          <w:szCs w:val="19"/>
          <w:i w:val="1"/>
          <w:iCs w:val="1"/>
          <w:color w:val="auto"/>
        </w:rPr>
        <w:t>.</w:t>
      </w:r>
    </w:p>
    <w:p>
      <w:pPr>
        <w:spacing w:after="0" w:line="237" w:lineRule="exact"/>
        <w:rPr>
          <w:sz w:val="20"/>
          <w:szCs w:val="20"/>
          <w:color w:val="auto"/>
        </w:rPr>
      </w:pPr>
    </w:p>
    <w:p>
      <w:pPr>
        <w:ind w:left="400" w:hanging="395"/>
        <w:spacing w:after="0"/>
        <w:tabs>
          <w:tab w:leader="none" w:pos="400" w:val="left"/>
        </w:tabs>
        <w:numPr>
          <w:ilvl w:val="0"/>
          <w:numId w:val="20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With regard to:</w:t>
      </w:r>
    </w:p>
    <w:p>
      <w:pPr>
        <w:spacing w:after="0" w:line="224" w:lineRule="exact"/>
        <w:rPr>
          <w:rFonts w:ascii="Times New Roman" w:cs="Times New Roman" w:eastAsia="Times New Roman" w:hAnsi="Times New Roman"/>
          <w:sz w:val="19"/>
          <w:szCs w:val="19"/>
          <w:i w:val="1"/>
          <w:iCs w:val="1"/>
          <w:color w:val="auto"/>
        </w:rPr>
      </w:pPr>
    </w:p>
    <w:p>
      <w:pPr>
        <w:jc w:val="both"/>
        <w:ind w:left="620" w:hanging="311"/>
        <w:spacing w:after="0" w:line="248" w:lineRule="auto"/>
        <w:tabs>
          <w:tab w:leader="none" w:pos="619" w:val="left"/>
        </w:tabs>
        <w:numPr>
          <w:ilvl w:val="1"/>
          <w:numId w:val="20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the first Additional Candidate (i.e.: the second Collaboration Product included into this Collaboration in addition to the First Product), Molecular Partners will have the first right to exercise the Option for such first Additional Candidate during the Exclusive First Option Period, and Orano Med shall have the second right to exercise the Option for such first Additional Candidate. The exercise of the Option for the first Additional Candidate shall be performed pursuant to the process set forth in Section 6.2 and Section 6.2 shall apply mutatis mutandis, whereby Molecular Partners shall have the first right to exercise the Option, Orano Med shall have the second right to exercise the Option and the concerned Collaboration Product shall be the second Collaboration Product included into this Collaboration, provided that Orano Med shall remain responsible for the Manufacture of the Collaboration Product and submission of the Manufacturing and Logistics Requirements unless otherwise agreed by the Parties in writing or provided in the Clinical Supply Agreement or Commercial Supply Agreement.</w:t>
      </w:r>
    </w:p>
    <w:p>
      <w:pPr>
        <w:spacing w:after="0" w:line="208" w:lineRule="exact"/>
        <w:rPr>
          <w:rFonts w:ascii="Arial" w:cs="Arial" w:eastAsia="Arial" w:hAnsi="Arial"/>
          <w:sz w:val="19"/>
          <w:szCs w:val="19"/>
          <w:color w:val="auto"/>
        </w:rPr>
      </w:pPr>
    </w:p>
    <w:p>
      <w:pPr>
        <w:jc w:val="both"/>
        <w:ind w:left="620" w:hanging="311"/>
        <w:spacing w:after="0" w:line="247" w:lineRule="auto"/>
        <w:tabs>
          <w:tab w:leader="none" w:pos="619" w:val="left"/>
        </w:tabs>
        <w:numPr>
          <w:ilvl w:val="1"/>
          <w:numId w:val="20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the second and third Additional Candidates (i.e.: the third and fourth Collaboration Products included into this Collaboration in addition to the First Product and the second Collaboration Product), Orano Med will have the first right to exercise the Option for such second and third Additional Candidates during the Exclusive First Option Period, and Molecular Partners shall have the second right to exercise the Option for such second and third Additional Candidates. The exercise of the Option for the second and third Additional Candidates shall be performed pursuant to the process set forth in Section 6.2 and Section 6.2 shall apply mutatis mutandis, whereby Orano Med shall have the first right to exercise the Option, Molecular Partners shall have the second right to exercise the Option and the concerned Collaboration Products shall be the second and third Collaboration Products included into this Collaboration , provided that Orano Med shall remain responsible for the Manufacture of the Collaboration Product and submission of the Manufacturing and Logistics Requirements unless otherwise agreed by the Parties in writing or provided in the Clinical Supply Agreement or Commercial Supply Agreement.”</w:t>
      </w:r>
    </w:p>
    <w:p>
      <w:pPr>
        <w:spacing w:after="0" w:line="207" w:lineRule="exact"/>
        <w:rPr>
          <w:sz w:val="20"/>
          <w:szCs w:val="20"/>
          <w:color w:val="auto"/>
        </w:rPr>
      </w:pPr>
    </w:p>
    <w:p>
      <w:pPr>
        <w:ind w:left="300" w:hanging="295"/>
        <w:spacing w:after="0"/>
        <w:tabs>
          <w:tab w:leader="none" w:pos="300"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The first sentence of Section 6.3(b) of the Agreement is hereby deleted in its entirety and replaced as follows:</w:t>
      </w:r>
    </w:p>
    <w:p>
      <w:pPr>
        <w:spacing w:after="0" w:line="224" w:lineRule="exact"/>
        <w:rPr>
          <w:rFonts w:ascii="Times New Roman" w:cs="Times New Roman" w:eastAsia="Times New Roman" w:hAnsi="Times New Roman"/>
          <w:sz w:val="19"/>
          <w:szCs w:val="19"/>
          <w:b w:val="1"/>
          <w:bCs w:val="1"/>
          <w:color w:val="auto"/>
        </w:rPr>
      </w:pPr>
    </w:p>
    <w:p>
      <w:pPr>
        <w:jc w:val="both"/>
        <w:ind w:left="300"/>
        <w:spacing w:after="0" w:line="25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Regarding any subsequent Additional Candidate (i.e.: any Collaboration Product included into this Collaboration in addition to the 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Product, and the first, second and third Additional Candidate), the Parties shall discuss no later than [***] for such subsequent Additional Candidate who should have the first right to exercise the Option in relation to such subsequent Additional Candidate</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b w:val="1"/>
          <w:bCs w:val="1"/>
          <w:color w:val="auto"/>
        </w:rPr>
      </w:pPr>
    </w:p>
    <w:p>
      <w:pPr>
        <w:ind w:left="300" w:hanging="295"/>
        <w:spacing w:after="0"/>
        <w:tabs>
          <w:tab w:leader="none" w:pos="300"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The third sentence of Section 12.9(a) of the Agreement is hereby deleted in its entirety and replaced as follows:</w:t>
      </w:r>
    </w:p>
    <w:p>
      <w:pPr>
        <w:spacing w:after="0" w:line="2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i w:val="1"/>
          <w:iCs w:val="1"/>
          <w:color w:val="auto"/>
        </w:rPr>
        <w:t>“Unless agreed otherwise, or if the Parties cannot agree, then (i) [***] shall have the first right (but no obligation) to be the Lead Prosecuting Party for any patent applications regarding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940"/>
          </w:cols>
          <w:pgMar w:left="620" w:top="1440" w:right="339" w:bottom="1440" w:gutter="0" w:footer="0" w:header="0"/>
        </w:sectPr>
      </w:pPr>
    </w:p>
    <w:bookmarkStart w:id="259" w:name="page260"/>
    <w:bookmarkEnd w:id="259"/>
    <w:p>
      <w:pPr>
        <w:spacing w:after="0" w:line="30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9"/>
          <w:szCs w:val="19"/>
          <w:i w:val="1"/>
          <w:iCs w:val="1"/>
          <w:color w:val="auto"/>
        </w:rPr>
        <w:t>IPR relating to the First Product and first Additional Candidate, and (ii) [***] shall have the first right (but no obligation) to be the Lead Prosecuting Party for any patent applications regarding Joint IPR relating to the second and third Additional Candidates.”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b w:val="1"/>
          <w:bCs w:val="1"/>
          <w:color w:val="auto"/>
        </w:rPr>
        <w:t>(h) The second sentence of Section 12.11(c) of the Agreement is hereby deleted in its entirety and replaced as follows:</w:t>
      </w:r>
    </w:p>
    <w:p>
      <w:pPr>
        <w:spacing w:after="0" w:line="237" w:lineRule="exact"/>
        <w:rPr>
          <w:sz w:val="20"/>
          <w:szCs w:val="20"/>
          <w:color w:val="auto"/>
        </w:rPr>
      </w:pPr>
    </w:p>
    <w:p>
      <w:pPr>
        <w:jc w:val="both"/>
        <w:ind w:left="300"/>
        <w:spacing w:after="0" w:line="279" w:lineRule="auto"/>
        <w:rPr>
          <w:sz w:val="20"/>
          <w:szCs w:val="20"/>
          <w:color w:val="auto"/>
        </w:rPr>
      </w:pPr>
      <w:r>
        <w:rPr>
          <w:rFonts w:ascii="Times New Roman" w:cs="Times New Roman" w:eastAsia="Times New Roman" w:hAnsi="Times New Roman"/>
          <w:sz w:val="18"/>
          <w:szCs w:val="18"/>
          <w:i w:val="1"/>
          <w:iCs w:val="1"/>
          <w:color w:val="auto"/>
        </w:rPr>
        <w:t>“Unless agreed otherwise, or if the Parties cannot agree, then (i) [***] shall have the first right (but no obligation) to lead the enforcement of jointly owned Patent Rights or other Joint IPR relating to First Product and first Additional Candidate, and (ii) [***] shall have the first right (but no obligation) to lead the enforcement of jointly owned Patent Rights or other Joint IPR relating to the second and third Additional Candidates.”</w:t>
      </w:r>
    </w:p>
    <w:p>
      <w:pPr>
        <w:spacing w:after="0" w:line="177" w:lineRule="exact"/>
        <w:rPr>
          <w:sz w:val="20"/>
          <w:szCs w:val="20"/>
          <w:color w:val="auto"/>
        </w:rPr>
      </w:pPr>
    </w:p>
    <w:p>
      <w:pPr>
        <w:ind w:left="600" w:hanging="599"/>
        <w:spacing w:after="0"/>
        <w:tabs>
          <w:tab w:leader="none" w:pos="600" w:val="left"/>
        </w:tabs>
        <w:numPr>
          <w:ilvl w:val="0"/>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Additional Covenants.</w:t>
      </w:r>
    </w:p>
    <w:p>
      <w:pPr>
        <w:spacing w:after="0" w:line="224" w:lineRule="exact"/>
        <w:rPr>
          <w:rFonts w:ascii="Times New Roman" w:cs="Times New Roman" w:eastAsia="Times New Roman" w:hAnsi="Times New Roman"/>
          <w:sz w:val="19"/>
          <w:szCs w:val="19"/>
          <w:b w:val="1"/>
          <w:bCs w:val="1"/>
          <w:color w:val="auto"/>
        </w:rPr>
      </w:pPr>
    </w:p>
    <w:p>
      <w:pPr>
        <w:ind w:left="600" w:hanging="295"/>
        <w:spacing w:after="0"/>
        <w:tabs>
          <w:tab w:leader="none" w:pos="600" w:val="left"/>
        </w:tabs>
        <w:numPr>
          <w:ilvl w:val="1"/>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Targets Research Activities</w:t>
      </w: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The Parties hereby acknowledge and agree that:</w:t>
      </w:r>
    </w:p>
    <w:p>
      <w:pPr>
        <w:spacing w:after="0" w:line="221" w:lineRule="exact"/>
        <w:rPr>
          <w:sz w:val="20"/>
          <w:szCs w:val="20"/>
          <w:color w:val="auto"/>
        </w:rPr>
      </w:pPr>
    </w:p>
    <w:p>
      <w:pPr>
        <w:ind w:left="600" w:hanging="295"/>
        <w:spacing w:after="0"/>
        <w:tabs>
          <w:tab w:leader="none" w:pos="60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Each Party may disclose, at each JSC meeting, one or more targets that may be of interest for the Collaboration (each, a “</w:t>
      </w:r>
      <w:r>
        <w:rPr>
          <w:rFonts w:ascii="Times New Roman" w:cs="Times New Roman" w:eastAsia="Times New Roman" w:hAnsi="Times New Roman"/>
          <w:sz w:val="18"/>
          <w:szCs w:val="18"/>
          <w:b w:val="1"/>
          <w:bCs w:val="1"/>
          <w:color w:val="auto"/>
        </w:rPr>
        <w:t>Proposed Target</w:t>
      </w:r>
      <w:r>
        <w:rPr>
          <w:rFonts w:ascii="Times New Roman" w:cs="Times New Roman" w:eastAsia="Times New Roman" w:hAnsi="Times New Roman"/>
          <w:sz w:val="18"/>
          <w:szCs w:val="18"/>
          <w:color w:val="auto"/>
        </w:rPr>
        <w:t>”).</w:t>
      </w:r>
    </w:p>
    <w:p>
      <w:pPr>
        <w:spacing w:after="0" w:line="248" w:lineRule="exact"/>
        <w:rPr>
          <w:rFonts w:ascii="Times New Roman" w:cs="Times New Roman" w:eastAsia="Times New Roman" w:hAnsi="Times New Roman"/>
          <w:sz w:val="16"/>
          <w:szCs w:val="16"/>
          <w:color w:val="auto"/>
        </w:rPr>
      </w:pPr>
    </w:p>
    <w:p>
      <w:pPr>
        <w:jc w:val="both"/>
        <w:ind w:left="600" w:hanging="295"/>
        <w:spacing w:after="0" w:line="293" w:lineRule="auto"/>
        <w:tabs>
          <w:tab w:leader="none" w:pos="596"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JSC shall discuss each Proposed Target and may mutually agree on its inclusion (a “</w:t>
      </w:r>
      <w:r>
        <w:rPr>
          <w:rFonts w:ascii="Times New Roman" w:cs="Times New Roman" w:eastAsia="Times New Roman" w:hAnsi="Times New Roman"/>
          <w:sz w:val="18"/>
          <w:szCs w:val="18"/>
          <w:b w:val="1"/>
          <w:bCs w:val="1"/>
          <w:color w:val="auto"/>
        </w:rPr>
        <w:t>Selected Target</w:t>
      </w:r>
      <w:r>
        <w:rPr>
          <w:rFonts w:ascii="Times New Roman" w:cs="Times New Roman" w:eastAsia="Times New Roman" w:hAnsi="Times New Roman"/>
          <w:sz w:val="18"/>
          <w:szCs w:val="18"/>
          <w:color w:val="auto"/>
        </w:rPr>
        <w:t>”) in a targets list (“</w:t>
      </w:r>
      <w:r>
        <w:rPr>
          <w:rFonts w:ascii="Times New Roman" w:cs="Times New Roman" w:eastAsia="Times New Roman" w:hAnsi="Times New Roman"/>
          <w:sz w:val="18"/>
          <w:szCs w:val="18"/>
          <w:b w:val="1"/>
          <w:bCs w:val="1"/>
          <w:color w:val="auto"/>
        </w:rPr>
        <w:t>Targets List</w:t>
      </w:r>
      <w:r>
        <w:rPr>
          <w:rFonts w:ascii="Times New Roman" w:cs="Times New Roman" w:eastAsia="Times New Roman" w:hAnsi="Times New Roman"/>
          <w:sz w:val="18"/>
          <w:szCs w:val="18"/>
          <w:color w:val="auto"/>
        </w:rPr>
        <w:t>”) in relation to which the Parties would carry out target-based scientific activities leveraging both Parties’ technologies, including drug discovery activities (“</w:t>
      </w:r>
      <w:r>
        <w:rPr>
          <w:rFonts w:ascii="Times New Roman" w:cs="Times New Roman" w:eastAsia="Times New Roman" w:hAnsi="Times New Roman"/>
          <w:sz w:val="18"/>
          <w:szCs w:val="18"/>
          <w:b w:val="1"/>
          <w:bCs w:val="1"/>
          <w:color w:val="auto"/>
        </w:rPr>
        <w:t>Research Activities</w:t>
      </w:r>
      <w:r>
        <w:rPr>
          <w:rFonts w:ascii="Times New Roman" w:cs="Times New Roman" w:eastAsia="Times New Roman" w:hAnsi="Times New Roman"/>
          <w:sz w:val="18"/>
          <w:szCs w:val="18"/>
          <w:color w:val="auto"/>
        </w:rPr>
        <w:t>”), to validate such Selected Targets and identify DARPin that are active against Selected Targets.</w:t>
      </w:r>
    </w:p>
    <w:p>
      <w:pPr>
        <w:spacing w:after="0" w:line="170" w:lineRule="exact"/>
        <w:rPr>
          <w:rFonts w:ascii="Times New Roman" w:cs="Times New Roman" w:eastAsia="Times New Roman" w:hAnsi="Times New Roman"/>
          <w:sz w:val="16"/>
          <w:szCs w:val="16"/>
          <w:color w:val="auto"/>
        </w:rPr>
      </w:pPr>
    </w:p>
    <w:p>
      <w:pPr>
        <w:jc w:val="both"/>
        <w:ind w:left="600" w:hanging="295"/>
        <w:spacing w:after="0" w:line="256" w:lineRule="auto"/>
        <w:tabs>
          <w:tab w:leader="none" w:pos="59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Party’s interest in a Proposed Target disclosed at the JSC shall constitute such Party’s Confidential Information. [***] shall constitute such refusing Party’ Confidential Information. However, this shall not limit either Party from working on any targets that are not Selected Targets, even if they were a Proposed Target by the other Party.</w:t>
      </w:r>
    </w:p>
    <w:p>
      <w:pPr>
        <w:spacing w:after="0" w:line="187" w:lineRule="exact"/>
        <w:rPr>
          <w:rFonts w:ascii="Times New Roman" w:cs="Times New Roman" w:eastAsia="Times New Roman" w:hAnsi="Times New Roman"/>
          <w:sz w:val="17"/>
          <w:szCs w:val="17"/>
          <w:color w:val="auto"/>
        </w:rPr>
      </w:pPr>
    </w:p>
    <w:p>
      <w:pPr>
        <w:jc w:val="both"/>
        <w:ind w:left="600" w:hanging="295"/>
        <w:spacing w:after="0" w:line="254" w:lineRule="auto"/>
        <w:tabs>
          <w:tab w:leader="none" w:pos="59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JSC shall discuss and mutually update and record in writing the Targets List at each JSC meeting, and shall establish a hit finding strategy (including hit identification and/or hit validation requirements) directed to each Selected Target within the Targets List (“</w:t>
      </w:r>
      <w:r>
        <w:rPr>
          <w:rFonts w:ascii="Times New Roman" w:cs="Times New Roman" w:eastAsia="Times New Roman" w:hAnsi="Times New Roman"/>
          <w:sz w:val="19"/>
          <w:szCs w:val="19"/>
          <w:b w:val="1"/>
          <w:bCs w:val="1"/>
          <w:color w:val="auto"/>
        </w:rPr>
        <w:t>Hit Finding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Strategy</w:t>
      </w:r>
      <w:r>
        <w:rPr>
          <w:rFonts w:ascii="Times New Roman" w:cs="Times New Roman" w:eastAsia="Times New Roman" w:hAnsi="Times New Roman"/>
          <w:sz w:val="19"/>
          <w:szCs w:val="19"/>
          <w:color w:val="auto"/>
        </w:rPr>
        <w:t>”). The Hit Finding Strategy shall be recorded in writing and shall set forth the criteria according to which a compound would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deemed as being active against a Selected Target (such Selected Target would then automatically be deemed a “</w:t>
      </w:r>
      <w:r>
        <w:rPr>
          <w:rFonts w:ascii="Times New Roman" w:cs="Times New Roman" w:eastAsia="Times New Roman" w:hAnsi="Times New Roman"/>
          <w:sz w:val="19"/>
          <w:szCs w:val="19"/>
          <w:b w:val="1"/>
          <w:bCs w:val="1"/>
          <w:color w:val="auto"/>
        </w:rPr>
        <w:t>Hit Target</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7"/>
          <w:szCs w:val="17"/>
          <w:color w:val="auto"/>
        </w:rPr>
      </w:pPr>
    </w:p>
    <w:p>
      <w:pPr>
        <w:jc w:val="both"/>
        <w:ind w:left="600" w:hanging="295"/>
        <w:spacing w:after="0" w:line="249" w:lineRule="auto"/>
        <w:tabs>
          <w:tab w:leader="none" w:pos="59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Parties shall enter into an MTA substantially in the form of the MTA entered into by the Parties in relation to DLL3 for each HIT Target (which would become an Additional Candidate). They shall ensure that such MTA comprises exclusivity provisions at least equivalent to the exclusivity provisions provided for under the Agreement. Upon finalization of such pre-clinical studies for such Additional Candidates, the Parties will decide, under the supervision of the JSC, whether or not to include such Additional Candidates under the Agreement. Should the Parties decide to include such Additional Candidates under the Agreement, such Additional Candidates shall be considered as a Collaboration Product, and all rights and obligations in relation thereto shall apply unless otherwise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313" w:lineRule="exact"/>
        <w:rPr>
          <w:sz w:val="20"/>
          <w:szCs w:val="20"/>
          <w:color w:val="auto"/>
        </w:rPr>
      </w:pPr>
    </w:p>
    <w:p>
      <w:pPr>
        <w:jc w:val="both"/>
        <w:ind w:left="600" w:hanging="295"/>
        <w:spacing w:after="0" w:line="256" w:lineRule="auto"/>
        <w:tabs>
          <w:tab w:leader="none" w:pos="596"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licenses granted by each Party to the other Party under Section 4.1 of the Agreement shall extend to Research Activities on a Selected Target-by-Selected Target basis, for the duration of the Selected Target Exclusivity Term (as defined below), and in accordance with the Hit Finding Strategy.</w:t>
      </w:r>
    </w:p>
    <w:p>
      <w:pPr>
        <w:spacing w:after="0" w:line="187" w:lineRule="exact"/>
        <w:rPr>
          <w:rFonts w:ascii="Times New Roman" w:cs="Times New Roman" w:eastAsia="Times New Roman" w:hAnsi="Times New Roman"/>
          <w:sz w:val="17"/>
          <w:szCs w:val="17"/>
          <w:color w:val="auto"/>
        </w:rPr>
      </w:pPr>
    </w:p>
    <w:p>
      <w:pPr>
        <w:jc w:val="both"/>
        <w:ind w:left="600" w:hanging="295"/>
        <w:spacing w:after="0" w:line="249" w:lineRule="auto"/>
        <w:tabs>
          <w:tab w:leader="none" w:pos="596"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exclusivity provisions set forth in Section 2.4(a)(ii)(y) shall apply to each Selected Target for a duration of twelve (12) months from the inclusion of such Selected Target within the Targets List, unless Research Activities on the given Selected Targets have stopped earlier, as duly acknowledged by the JSC, in which case the exclusivity provisions set forth in Section 2.4(a)(ii)(y) shall cease to apply at that point in time, or otherwise as agreed by the Parties (the “</w:t>
      </w:r>
      <w:r>
        <w:rPr>
          <w:rFonts w:ascii="Times New Roman" w:cs="Times New Roman" w:eastAsia="Times New Roman" w:hAnsi="Times New Roman"/>
          <w:sz w:val="19"/>
          <w:szCs w:val="19"/>
          <w:b w:val="1"/>
          <w:bCs w:val="1"/>
          <w:color w:val="auto"/>
        </w:rPr>
        <w:t>Selected Target Exclusivity Term</w:t>
      </w:r>
      <w:r>
        <w:rPr>
          <w:rFonts w:ascii="Times New Roman" w:cs="Times New Roman" w:eastAsia="Times New Roman" w:hAnsi="Times New Roman"/>
          <w:sz w:val="19"/>
          <w:szCs w:val="19"/>
          <w:color w:val="auto"/>
        </w:rPr>
        <w:t>”). Should either Party after the expiration of the Selected Target Exclusivity Term, desire to continue work on such target, such Party shall be free to use data coming from Research Activities undertaken by the other Party, provided that the Party that has paid for the generation of the data is reimbursed for the actual costs associated with the data generation.</w:t>
      </w:r>
    </w:p>
    <w:p>
      <w:pPr>
        <w:spacing w:after="0" w:line="194" w:lineRule="exact"/>
        <w:rPr>
          <w:rFonts w:ascii="Times New Roman" w:cs="Times New Roman" w:eastAsia="Times New Roman" w:hAnsi="Times New Roman"/>
          <w:sz w:val="17"/>
          <w:szCs w:val="17"/>
          <w:color w:val="auto"/>
        </w:rPr>
      </w:pPr>
    </w:p>
    <w:p>
      <w:pPr>
        <w:jc w:val="both"/>
        <w:ind w:firstLine="1"/>
        <w:spacing w:after="0" w:line="258" w:lineRule="auto"/>
        <w:tabs>
          <w:tab w:leader="none" w:pos="608"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Letter Agreement may be executed in two (2) counterparts, each of which shall be deemed an original, but all of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together shall constitute one (1) and the same instrument. This Letter Agreement may be executed by facsimile or electronic (e.g., pdf, DocuSign) signatures and such signatures shall be deemed to bind each Party hereto as if they were original signatures.</w:t>
      </w:r>
    </w:p>
    <w:p>
      <w:pPr>
        <w:spacing w:after="0" w:line="194" w:lineRule="exact"/>
        <w:rPr>
          <w:rFonts w:ascii="Times New Roman" w:cs="Times New Roman" w:eastAsia="Times New Roman" w:hAnsi="Times New Roman"/>
          <w:sz w:val="19"/>
          <w:szCs w:val="19"/>
          <w:b w:val="1"/>
          <w:bCs w:val="1"/>
          <w:color w:val="auto"/>
        </w:rPr>
      </w:pPr>
    </w:p>
    <w:p>
      <w:pPr>
        <w:ind w:firstLine="1"/>
        <w:spacing w:after="0" w:line="279" w:lineRule="auto"/>
        <w:tabs>
          <w:tab w:leader="none" w:pos="608"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w:t>
      </w:r>
      <w:r>
        <w:rPr>
          <w:rFonts w:ascii="Times New Roman" w:cs="Times New Roman" w:eastAsia="Times New Roman" w:hAnsi="Times New Roman"/>
          <w:sz w:val="19"/>
          <w:szCs w:val="19"/>
          <w:color w:val="auto"/>
        </w:rPr>
        <w:t>. This Letter Agreement enters into force as from the Letter Agreement Effective Date. To the extent that its provisions are not displaced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this Letter Agreement, the Agreement continues in full force and effect.</w:t>
      </w:r>
    </w:p>
    <w:p>
      <w:pPr>
        <w:spacing w:after="0" w:line="163" w:lineRule="exact"/>
        <w:rPr>
          <w:rFonts w:ascii="Times New Roman" w:cs="Times New Roman" w:eastAsia="Times New Roman" w:hAnsi="Times New Roman"/>
          <w:sz w:val="19"/>
          <w:szCs w:val="19"/>
          <w:b w:val="1"/>
          <w:bCs w:val="1"/>
          <w:color w:val="auto"/>
        </w:rPr>
      </w:pPr>
    </w:p>
    <w:p>
      <w:pPr>
        <w:jc w:val="both"/>
        <w:ind w:firstLine="1"/>
        <w:spacing w:after="0" w:line="258" w:lineRule="auto"/>
        <w:tabs>
          <w:tab w:leader="none" w:pos="608"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Entire Agreement</w:t>
      </w:r>
      <w:r>
        <w:rPr>
          <w:rFonts w:ascii="Times New Roman" w:cs="Times New Roman" w:eastAsia="Times New Roman" w:hAnsi="Times New Roman"/>
          <w:sz w:val="19"/>
          <w:szCs w:val="19"/>
          <w:color w:val="auto"/>
        </w:rPr>
        <w:t>. This Letter Agreement sets forth and constitutes the entire agreement and understanding between the Parties with respect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subject matter hereof and all prior agreements, understandings, promises, and representations, whether written or oral, with respect thereto are superseded hereby and thereby.</w:t>
      </w:r>
    </w:p>
    <w:p>
      <w:pPr>
        <w:spacing w:after="0" w:line="194" w:lineRule="exact"/>
        <w:rPr>
          <w:rFonts w:ascii="Times New Roman" w:cs="Times New Roman" w:eastAsia="Times New Roman" w:hAnsi="Times New Roman"/>
          <w:sz w:val="19"/>
          <w:szCs w:val="19"/>
          <w:b w:val="1"/>
          <w:bCs w:val="1"/>
          <w:color w:val="auto"/>
        </w:rPr>
      </w:pPr>
    </w:p>
    <w:p>
      <w:pPr>
        <w:jc w:val="both"/>
        <w:ind w:firstLine="1"/>
        <w:spacing w:after="0" w:line="274" w:lineRule="auto"/>
        <w:tabs>
          <w:tab w:leader="none" w:pos="608"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Injunctive relief. </w:t>
      </w:r>
      <w:r>
        <w:rPr>
          <w:rFonts w:ascii="Times New Roman" w:cs="Times New Roman" w:eastAsia="Times New Roman" w:hAnsi="Times New Roman"/>
          <w:sz w:val="18"/>
          <w:szCs w:val="18"/>
          <w:color w:val="auto"/>
        </w:rPr>
        <w:t>This Letter Agreement shall be governed and construed in accordance with the internal laws of Belgium,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any choice of law rules that may direct the application of the laws of another jurisdiction. Nothing contained in this Letter Agreement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spacing w:after="0" w:line="169" w:lineRule="exact"/>
        <w:rPr>
          <w:rFonts w:ascii="Times New Roman" w:cs="Times New Roman" w:eastAsia="Times New Roman" w:hAnsi="Times New Roman"/>
          <w:sz w:val="18"/>
          <w:szCs w:val="18"/>
          <w:b w:val="1"/>
          <w:bCs w:val="1"/>
          <w:color w:val="auto"/>
        </w:rPr>
      </w:pPr>
    </w:p>
    <w:p>
      <w:pPr>
        <w:ind w:firstLine="1"/>
        <w:spacing w:after="0" w:line="279" w:lineRule="auto"/>
        <w:tabs>
          <w:tab w:leader="none" w:pos="608"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Disputes</w:t>
      </w:r>
      <w:r>
        <w:rPr>
          <w:rFonts w:ascii="Times New Roman" w:cs="Times New Roman" w:eastAsia="Times New Roman" w:hAnsi="Times New Roman"/>
          <w:sz w:val="19"/>
          <w:szCs w:val="19"/>
          <w:color w:val="auto"/>
        </w:rPr>
        <w:t>. Any dispute, controversy or claim arising out of, relating to or in connection with any provision of this Letter Agreement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constitute a Dispute under the Agreement and shall be subject to Section 17.3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309" w:lineRule="exact"/>
        <w:rPr>
          <w:sz w:val="20"/>
          <w:szCs w:val="20"/>
          <w:color w:val="auto"/>
        </w:rPr>
      </w:pPr>
    </w:p>
    <w:p>
      <w:pPr>
        <w:ind w:firstLine="236"/>
        <w:spacing w:after="0" w:line="266"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intending to be legally bound hereby, have caused this Letter Agreement to be executed by their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duly authorized representatives as of the Letter Agreement Effective Date.</w:t>
      </w: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7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MOLECULAR PARTNERS</w:t>
            </w:r>
          </w:p>
        </w:tc>
        <w:tc>
          <w:tcPr>
            <w:tcW w:w="3800" w:type="dxa"/>
            <w:vAlign w:val="bottom"/>
            <w:gridSpan w:val="3"/>
          </w:tcPr>
          <w:p>
            <w:pPr>
              <w:ind w:left="1120"/>
              <w:spacing w:after="0"/>
              <w:rPr>
                <w:sz w:val="20"/>
                <w:szCs w:val="20"/>
                <w:color w:val="auto"/>
              </w:rPr>
            </w:pPr>
            <w:r>
              <w:rPr>
                <w:rFonts w:ascii="Times New Roman" w:cs="Times New Roman" w:eastAsia="Times New Roman" w:hAnsi="Times New Roman"/>
                <w:sz w:val="19"/>
                <w:szCs w:val="19"/>
                <w:b w:val="1"/>
                <w:bCs w:val="1"/>
                <w:color w:val="auto"/>
              </w:rPr>
              <w:t>ORANO MED</w:t>
            </w:r>
          </w:p>
        </w:tc>
      </w:tr>
      <w:tr>
        <w:trPr>
          <w:trHeight w:val="666"/>
        </w:trPr>
        <w:tc>
          <w:tcPr>
            <w:tcW w:w="47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By: /s/ Patrick Amstutz____________________</w:t>
            </w:r>
          </w:p>
        </w:tc>
        <w:tc>
          <w:tcPr>
            <w:tcW w:w="380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w w:val="96"/>
              </w:rPr>
              <w:t>By: /s/ Julien Dodet_____________</w:t>
            </w: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30"/>
        </w:trPr>
        <w:tc>
          <w:tcPr>
            <w:tcW w:w="47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Name: Patrick Amstutz</w:t>
            </w:r>
          </w:p>
        </w:tc>
        <w:tc>
          <w:tcPr>
            <w:tcW w:w="380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rPr>
              <w:t>Name: Julien Dodet</w:t>
            </w:r>
          </w:p>
        </w:tc>
      </w:tr>
      <w:tr>
        <w:trPr>
          <w:trHeight w:val="279"/>
        </w:trPr>
        <w:tc>
          <w:tcPr>
            <w:tcW w:w="47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Title: CEO, Molecular Partners</w:t>
            </w:r>
          </w:p>
        </w:tc>
        <w:tc>
          <w:tcPr>
            <w:tcW w:w="3800" w:type="dxa"/>
            <w:vAlign w:val="bottom"/>
            <w:gridSpan w:val="3"/>
          </w:tcPr>
          <w:p>
            <w:pPr>
              <w:ind w:left="1120"/>
              <w:spacing w:after="0"/>
              <w:rPr>
                <w:sz w:val="20"/>
                <w:szCs w:val="20"/>
                <w:color w:val="auto"/>
              </w:rPr>
            </w:pPr>
            <w:r>
              <w:rPr>
                <w:rFonts w:ascii="Times New Roman" w:cs="Times New Roman" w:eastAsia="Times New Roman" w:hAnsi="Times New Roman"/>
                <w:sz w:val="19"/>
                <w:szCs w:val="19"/>
                <w:color w:val="auto"/>
              </w:rPr>
              <w:t>Title: CEO, Orano Med</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Pitzner</w:t>
      </w:r>
      <w:r>
        <w:rPr>
          <w:rFonts w:ascii="Times New Roman" w:cs="Times New Roman" w:eastAsia="Times New Roman" w:hAnsi="Times New Roman"/>
          <w:sz w:val="19"/>
          <w:szCs w:val="19"/>
          <w:color w:val="auto"/>
        </w:rPr>
        <w:t>____________________</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Name: Michael Pitzner</w:t>
      </w:r>
    </w:p>
    <w:p>
      <w:pPr>
        <w:spacing w:after="0" w:line="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Title: General Counsel, Molecular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7"/>
          <w:szCs w:val="17"/>
          <w:color w:val="auto"/>
        </w:rPr>
        <w:t>Exhibit 4.8</w:t>
      </w:r>
    </w:p>
    <w:p>
      <w:pPr>
        <w:spacing w:after="0" w:line="168" w:lineRule="exact"/>
        <w:rPr>
          <w:sz w:val="20"/>
          <w:szCs w:val="20"/>
          <w:color w:val="auto"/>
        </w:rPr>
      </w:pPr>
    </w:p>
    <w:p>
      <w:pPr>
        <w:ind w:left="100" w:hanging="99"/>
        <w:spacing w:after="0"/>
        <w:tabs>
          <w:tab w:leader="none" w:pos="1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CERTAIN CONFIDENTIAL INFORMATION CONTAINED IN THIS DOCUMENT, MARKED BY [***], HAS BEEN OMITTED BECAUSE IT IS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AND OPTION AGREEMENT</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This Development and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effective as of January 11,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OMT Theranostics, a French simplified joint-stock company, with registered office at 125 avenue de Paris, 92320 Chatillon, France (“</w:t>
      </w:r>
      <w:r>
        <w:rPr>
          <w:rFonts w:ascii="Times New Roman" w:cs="Times New Roman" w:eastAsia="Times New Roman" w:hAnsi="Times New Roman"/>
          <w:sz w:val="18"/>
          <w:szCs w:val="18"/>
          <w:b w:val="1"/>
          <w:bCs w:val="1"/>
          <w:i w:val="1"/>
          <w:iCs w:val="1"/>
          <w:color w:val="auto"/>
        </w:rPr>
        <w:t>OMT</w:t>
      </w:r>
      <w:r>
        <w:rPr>
          <w:rFonts w:ascii="Times New Roman" w:cs="Times New Roman" w:eastAsia="Times New Roman" w:hAnsi="Times New Roman"/>
          <w:sz w:val="18"/>
          <w:szCs w:val="18"/>
          <w:color w:val="auto"/>
        </w:rPr>
        <w:t>”) and Molecular Partners, a Swiss corporation, with registered office at Wagistrasse 14, 8952 Schlieren, Switzerland (“</w:t>
      </w:r>
      <w:r>
        <w:rPr>
          <w:rFonts w:ascii="Times New Roman" w:cs="Times New Roman" w:eastAsia="Times New Roman" w:hAnsi="Times New Roman"/>
          <w:sz w:val="18"/>
          <w:szCs w:val="18"/>
          <w:b w:val="1"/>
          <w:bCs w:val="1"/>
          <w:i w:val="1"/>
          <w:iCs w:val="1"/>
          <w:color w:val="auto"/>
        </w:rPr>
        <w:t>Molecular Partners</w:t>
      </w:r>
      <w:r>
        <w:rPr>
          <w:rFonts w:ascii="Times New Roman" w:cs="Times New Roman" w:eastAsia="Times New Roman" w:hAnsi="Times New Roman"/>
          <w:sz w:val="18"/>
          <w:szCs w:val="18"/>
          <w:color w:val="auto"/>
        </w:rPr>
        <w:t>”). Molecular Partners and OMT may be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OMT and its Affiliate, Orano Med Manufacturing, a French simplified joint-stock company, with registered office at 125 avenue de Paris,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92320 Chatillon, France (“</w:t>
      </w:r>
      <w:r>
        <w:rPr>
          <w:rFonts w:ascii="Times New Roman" w:cs="Times New Roman" w:eastAsia="Times New Roman" w:hAnsi="Times New Roman"/>
          <w:sz w:val="18"/>
          <w:szCs w:val="18"/>
          <w:b w:val="1"/>
          <w:bCs w:val="1"/>
          <w:i w:val="1"/>
          <w:iCs w:val="1"/>
          <w:color w:val="auto"/>
        </w:rPr>
        <w:t>OMM</w:t>
      </w:r>
      <w:r>
        <w:rPr>
          <w:rFonts w:ascii="Times New Roman" w:cs="Times New Roman" w:eastAsia="Times New Roman" w:hAnsi="Times New Roman"/>
          <w:sz w:val="18"/>
          <w:szCs w:val="18"/>
          <w:color w:val="auto"/>
        </w:rPr>
        <w:t>”) have developed experience and know-how in the field of targeted alpha-emitter therapies using a lead-212 isotope (“</w:t>
      </w:r>
      <w:r>
        <w:rPr>
          <w:rFonts w:ascii="Times New Roman" w:cs="Times New Roman" w:eastAsia="Times New Roman" w:hAnsi="Times New Roman"/>
          <w:sz w:val="18"/>
          <w:szCs w:val="18"/>
          <w:b w:val="1"/>
          <w:bCs w:val="1"/>
          <w:i w:val="1"/>
          <w:iCs w:val="1"/>
          <w:color w:val="auto"/>
        </w:rPr>
        <w:t>212Pb</w:t>
      </w:r>
      <w:r>
        <w:rPr>
          <w:rFonts w:ascii="Times New Roman" w:cs="Times New Roman" w:eastAsia="Times New Roman" w:hAnsi="Times New Roman"/>
          <w:sz w:val="18"/>
          <w:szCs w:val="18"/>
          <w:color w:val="auto"/>
        </w:rPr>
        <w:t>”), production of high-purity 212Pb, design, chelation chemistry, radiolabelling, production and development of chelating agents and radiopharmaceutical therapies as well as their transportation, and wishes to extend the range of therapies using 212Pb.</w:t>
      </w:r>
    </w:p>
    <w:p>
      <w:pPr>
        <w:spacing w:after="0" w:line="15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Molecular Partners has developed, owns or otherwise controls know-how, experience and proprietary information pertaining to designed repeat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proteins, including DARPin proteins, and their research, development, clinical use, and commercialization.</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OMM and Molecular Partners entered into a research and development collaboration and option agreement dated 5 January 2024 (“</w:t>
      </w:r>
      <w:r>
        <w:rPr>
          <w:rFonts w:ascii="Times New Roman" w:cs="Times New Roman" w:eastAsia="Times New Roman" w:hAnsi="Times New Roman"/>
          <w:sz w:val="18"/>
          <w:szCs w:val="18"/>
          <w:b w:val="1"/>
          <w:bCs w:val="1"/>
          <w:i w:val="1"/>
          <w:iCs w:val="1"/>
          <w:color w:val="auto"/>
        </w:rPr>
        <w:t>RDC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rights and obligations under the RDC Agreement have been transferred to OMT (“</w:t>
      </w:r>
      <w:r>
        <w:rPr>
          <w:rFonts w:ascii="Times New Roman" w:cs="Times New Roman" w:eastAsia="Times New Roman" w:hAnsi="Times New Roman"/>
          <w:sz w:val="18"/>
          <w:szCs w:val="18"/>
          <w:b w:val="1"/>
          <w:bCs w:val="1"/>
          <w:i w:val="1"/>
          <w:iCs w:val="1"/>
          <w:color w:val="auto"/>
        </w:rPr>
        <w:t>RDC Assignment</w:t>
      </w:r>
      <w:r>
        <w:rPr>
          <w:rFonts w:ascii="Times New Roman" w:cs="Times New Roman" w:eastAsia="Times New Roman" w:hAnsi="Times New Roman"/>
          <w:sz w:val="18"/>
          <w:szCs w:val="18"/>
          <w:color w:val="auto"/>
        </w:rPr>
        <w:t>”) on December 31, 2024.</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addition and without prejudice to the four (4) programs contemplated in the RDC Agreement, the Parties wish to build on and extend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 collaboration under the RDC Agreement with the aim of Molecular Partners bringing six additional candidates to late-stage development with respect to selected targets, to generate radiopharmaceutical products combining DARPin Technology and TAT Technology using 212Pb or using or combining (whether with DARPin Technology or TAT Technology) an Alternative Technology proposed by a Party, with an option for OMT to take an enhanced development role for two of such new product candidates, leading to those products being further Developed and Commercialised under the RDC Agreement.</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OMM shall fulfil the clinical supply requirements of Molecular Partners under the RDC Agreement and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Clinical Supply Agreement and subsequently fulfil Molecular Partners’ commercial supply requirements pursuant to the terms of the Commercial Supply Agreement and any subsequent commercial supply agreement to be entered into between OMM and Molecular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the mutual promises and covenants contained herein, the Parties agree as follows:</w:t>
      </w:r>
    </w:p>
    <w:p>
      <w:pPr>
        <w:spacing w:after="0" w:line="222" w:lineRule="exact"/>
        <w:rPr>
          <w:sz w:val="20"/>
          <w:szCs w:val="20"/>
          <w:color w:val="auto"/>
        </w:rPr>
      </w:pPr>
    </w:p>
    <w:p>
      <w:pPr>
        <w:ind w:left="600" w:hanging="599"/>
        <w:spacing w:after="0"/>
        <w:tabs>
          <w:tab w:leader="none" w:pos="60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600"/>
        <w:spacing w:after="0" w:line="32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Capitalised terms used in this Agreement will have the meaning given to them in the RDC Agreement unless otherwise defined below, or elsewhere in this Agreement. With respect to the interpretation of each such RDC Agreement definition, where the meaning of a defined term in the</w:t>
      </w:r>
    </w:p>
    <w:p>
      <w:pPr>
        <w:sectPr>
          <w:pgSz w:w="11900" w:h="16838" w:orient="portrait"/>
          <w:cols w:equalWidth="0" w:num="1">
            <w:col w:w="11240"/>
          </w:cols>
          <w:pgMar w:left="320" w:top="135" w:right="339" w:bottom="1440" w:gutter="0" w:footer="0" w:header="0"/>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8"/>
          <w:szCs w:val="18"/>
          <w:color w:val="auto"/>
        </w:rPr>
        <w:t>RDC Agreement relies upon a term which is also defined in this Agreement, such RDC Agreement definition should be read as relying upon the defined terms of this Agreement. By way of example, the reference to “Collaboration Product” in the definition of “Registration Enabling Trial” at Section 1.159 of the RDC Agreement should be read, for the purposes of interpreting this Agreement only, as a reference to the Collaboration Product as defined under this Agreement.</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Additional Joint IPR</w:t>
      </w:r>
      <w:r>
        <w:rPr>
          <w:rFonts w:ascii="Times New Roman" w:cs="Times New Roman" w:eastAsia="Times New Roman" w:hAnsi="Times New Roman"/>
          <w:sz w:val="17"/>
          <w:szCs w:val="17"/>
          <w:color w:val="auto"/>
        </w:rPr>
        <w:t>” shall have the meaning set forth in Section 9.4(a)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shall have the meaning set forth in the preamble to this Agreement, as it may be amended by the Parties from time to time.</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Annual Net Sales</w:t>
      </w:r>
      <w:r>
        <w:rPr>
          <w:rFonts w:ascii="Times New Roman" w:cs="Times New Roman" w:eastAsia="Times New Roman" w:hAnsi="Times New Roman"/>
          <w:sz w:val="17"/>
          <w:szCs w:val="17"/>
          <w:color w:val="auto"/>
        </w:rPr>
        <w:t>” means the Net Sales in the applicable Calendar Year.</w:t>
      </w:r>
    </w:p>
    <w:p>
      <w:pPr>
        <w:spacing w:after="0" w:line="211" w:lineRule="exact"/>
        <w:rPr>
          <w:sz w:val="20"/>
          <w:szCs w:val="20"/>
          <w:color w:val="auto"/>
        </w:rPr>
      </w:pPr>
    </w:p>
    <w:p>
      <w:pPr>
        <w:jc w:val="both"/>
        <w:ind w:left="600" w:hanging="595"/>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Alternative Technology</w:t>
      </w:r>
      <w:r>
        <w:rPr>
          <w:rFonts w:ascii="Times New Roman" w:cs="Times New Roman" w:eastAsia="Times New Roman" w:hAnsi="Times New Roman"/>
          <w:sz w:val="18"/>
          <w:szCs w:val="18"/>
          <w:color w:val="auto"/>
        </w:rPr>
        <w:t>” shall mean any technology that may be Controlled or otherwise identified by Molecular Partners or OMT and that the Parties may agree to contribute to this Agreement from time to time in accordance with Section 2.2(b)(ii) and “</w:t>
      </w:r>
      <w:r>
        <w:rPr>
          <w:rFonts w:ascii="Times New Roman" w:cs="Times New Roman" w:eastAsia="Times New Roman" w:hAnsi="Times New Roman"/>
          <w:sz w:val="18"/>
          <w:szCs w:val="18"/>
          <w:b w:val="1"/>
          <w:bCs w:val="1"/>
          <w:i w:val="1"/>
          <w:iCs w:val="1"/>
          <w:color w:val="auto"/>
        </w:rPr>
        <w:t>Alternative Technology Terms</w:t>
      </w:r>
      <w:r>
        <w:rPr>
          <w:rFonts w:ascii="Times New Roman" w:cs="Times New Roman" w:eastAsia="Times New Roman" w:hAnsi="Times New Roman"/>
          <w:sz w:val="18"/>
          <w:szCs w:val="18"/>
          <w:color w:val="auto"/>
        </w:rPr>
        <w:t>” shall mean those terms that the Parties agree in accordance with Section 2.2(b)(ii) with respect thereto.</w:t>
      </w:r>
    </w:p>
    <w:p>
      <w:pPr>
        <w:spacing w:after="0" w:line="15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Background IPR</w:t>
      </w:r>
      <w:r>
        <w:rPr>
          <w:rFonts w:ascii="Times New Roman" w:cs="Times New Roman" w:eastAsia="Times New Roman" w:hAnsi="Times New Roman"/>
          <w:sz w:val="17"/>
          <w:szCs w:val="17"/>
          <w:color w:val="auto"/>
        </w:rPr>
        <w:t>” means Molecular Partners Background and/or OM Background, as the context requires.</w:t>
      </w:r>
    </w:p>
    <w:p>
      <w:pPr>
        <w:spacing w:after="0" w:line="2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CD(s)</w:t>
      </w:r>
      <w:r>
        <w:rPr>
          <w:rFonts w:ascii="Times New Roman" w:cs="Times New Roman" w:eastAsia="Times New Roman" w:hAnsi="Times New Roman"/>
          <w:sz w:val="17"/>
          <w:szCs w:val="17"/>
          <w:color w:val="auto"/>
        </w:rPr>
        <w:t>” means companion diagnostics using [***] (or any other radio-imaging agent) for any Collaboration Product.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Clinical Supply Agreement</w:t>
      </w:r>
      <w:r>
        <w:rPr>
          <w:rFonts w:ascii="Times New Roman" w:cs="Times New Roman" w:eastAsia="Times New Roman" w:hAnsi="Times New Roman"/>
          <w:sz w:val="17"/>
          <w:szCs w:val="17"/>
          <w:color w:val="auto"/>
        </w:rPr>
        <w:t>” means the clinical supply agreement to be entered into by OMM and Molecular Partners.</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Collaboration Product</w:t>
      </w:r>
      <w:r>
        <w:rPr>
          <w:rFonts w:ascii="Times New Roman" w:cs="Times New Roman" w:eastAsia="Times New Roman" w:hAnsi="Times New Roman"/>
          <w:sz w:val="17"/>
          <w:szCs w:val="17"/>
          <w:color w:val="auto"/>
        </w:rPr>
        <w:t>” means any New Candidate and/or any CD, each as designated in the Collaboration Product Notice.</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Collaboration Product Notice(s)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have the meaning set forth in Section 2.2(f) of this Agreement.</w:t>
      </w:r>
    </w:p>
    <w:p>
      <w:pPr>
        <w:spacing w:after="0" w:line="2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Commercialization Trademarks</w:t>
      </w:r>
      <w:r>
        <w:rPr>
          <w:rFonts w:ascii="Times New Roman" w:cs="Times New Roman" w:eastAsia="Times New Roman" w:hAnsi="Times New Roman"/>
          <w:sz w:val="17"/>
          <w:szCs w:val="17"/>
          <w:color w:val="auto"/>
        </w:rPr>
        <w:t>” shall have the meaning set forth in Section 9.16 of this Agreement.</w:t>
      </w:r>
    </w:p>
    <w:p>
      <w:pPr>
        <w:spacing w:after="0" w:line="2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Competing CoC</w:t>
      </w:r>
      <w:r>
        <w:rPr>
          <w:rFonts w:ascii="Times New Roman" w:cs="Times New Roman" w:eastAsia="Times New Roman" w:hAnsi="Times New Roman"/>
          <w:sz w:val="17"/>
          <w:szCs w:val="17"/>
          <w:color w:val="auto"/>
        </w:rPr>
        <w:t>” shall have the meaning set forth in Section 2.6(a)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Competing Program</w:t>
      </w:r>
      <w:r>
        <w:rPr>
          <w:rFonts w:ascii="Times New Roman" w:cs="Times New Roman" w:eastAsia="Times New Roman" w:hAnsi="Times New Roman"/>
          <w:sz w:val="17"/>
          <w:szCs w:val="17"/>
          <w:color w:val="auto"/>
        </w:rPr>
        <w:t>” means the research, development, manufacture or commercialization of any medicinal product in the Exclusive Field.</w:t>
      </w:r>
    </w:p>
    <w:p>
      <w:pPr>
        <w:spacing w:after="0" w:line="224" w:lineRule="exact"/>
        <w:rPr>
          <w:sz w:val="20"/>
          <w:szCs w:val="20"/>
          <w:color w:val="auto"/>
        </w:rPr>
      </w:pPr>
    </w:p>
    <w:p>
      <w:pPr>
        <w:jc w:val="both"/>
        <w:ind w:left="600" w:hanging="595"/>
        <w:spacing w:after="0" w:line="278" w:lineRule="auto"/>
        <w:tabs>
          <w:tab w:leader="none" w:pos="5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means any information provided orally, visually, in writing or other form by or on behalf of one Party (or an Affiliate or representative of such Party) to the other Party (or to an Affiliate or representative of such other Party) in connection this Agreement, whether prior to, on, or after the Effective Date, including information relating to (a) the terms of this Agreement, (b) the identities of targets targeted by a New Candidate or Collaboration Product, (c) any information relating to the Manufacture or Exploitation of any New Candidate or Collaboration Product,</w:t>
      </w:r>
    </w:p>
    <w:p>
      <w:pPr>
        <w:spacing w:after="0" w:line="1" w:lineRule="exact"/>
        <w:rPr>
          <w:sz w:val="20"/>
          <w:szCs w:val="20"/>
          <w:color w:val="auto"/>
        </w:rPr>
      </w:pPr>
    </w:p>
    <w:p>
      <w:pPr>
        <w:ind w:left="600" w:hanging="3"/>
        <w:spacing w:after="0" w:line="288" w:lineRule="auto"/>
        <w:tabs>
          <w:tab w:leader="none" w:pos="87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Know-How with respect thereto developed by or on behalf of the disclosing Party or its Affiliates, and (e) the scientific, regulatory, or business affairs or other</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8"/>
          <w:szCs w:val="18"/>
          <w:color w:val="auto"/>
        </w:rPr>
        <w:t>activities of either Party. For purposes of this Agreement, regardless of which Party discloses such Confidential Information to the other, (i) each Party’s Background IPR shall be Confidential Information owned by such Party (collectively with any other Confidential Information disclosed by a Party to the other, the “</w:t>
      </w:r>
      <w:r>
        <w:rPr>
          <w:rFonts w:ascii="Times New Roman" w:cs="Times New Roman" w:eastAsia="Times New Roman" w:hAnsi="Times New Roman"/>
          <w:sz w:val="18"/>
          <w:szCs w:val="18"/>
          <w:b w:val="1"/>
          <w:bCs w:val="1"/>
          <w:i w:val="1"/>
          <w:iCs w:val="1"/>
          <w:color w:val="auto"/>
        </w:rPr>
        <w:t>Solely Owned Confidential Information</w:t>
      </w:r>
      <w:r>
        <w:rPr>
          <w:rFonts w:ascii="Times New Roman" w:cs="Times New Roman" w:eastAsia="Times New Roman" w:hAnsi="Times New Roman"/>
          <w:sz w:val="18"/>
          <w:szCs w:val="18"/>
          <w:color w:val="auto"/>
        </w:rPr>
        <w:t>”) and (ii) the Data ownership shall follow the ownership principles set out in Section 4.6.</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DARPin Technology</w:t>
      </w:r>
      <w:r>
        <w:rPr>
          <w:rFonts w:ascii="Times New Roman" w:cs="Times New Roman" w:eastAsia="Times New Roman" w:hAnsi="Times New Roman"/>
          <w:sz w:val="17"/>
          <w:szCs w:val="17"/>
          <w:color w:val="auto"/>
        </w:rPr>
        <w:t>” means any [***], but excluding [***].</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shall have the meaning set forth in the preamble to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Exclusive Field</w:t>
      </w:r>
      <w:r>
        <w:rPr>
          <w:rFonts w:ascii="Times New Roman" w:cs="Times New Roman" w:eastAsia="Times New Roman" w:hAnsi="Times New Roman"/>
          <w:sz w:val="17"/>
          <w:szCs w:val="17"/>
          <w:color w:val="auto"/>
        </w:rPr>
        <w:t>” shall have the meaning set forth in Section 2.5(a) of this Agreement.</w:t>
      </w:r>
    </w:p>
    <w:p>
      <w:pPr>
        <w:spacing w:after="0" w:line="224" w:lineRule="exact"/>
        <w:rPr>
          <w:sz w:val="20"/>
          <w:szCs w:val="20"/>
          <w:color w:val="auto"/>
        </w:rPr>
      </w:pPr>
    </w:p>
    <w:p>
      <w:pPr>
        <w:jc w:val="both"/>
        <w:ind w:left="600" w:hanging="595"/>
        <w:spacing w:after="0" w:line="297" w:lineRule="auto"/>
        <w:tabs>
          <w:tab w:leader="none" w:pos="5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Exclusive Opt-In Period</w:t>
      </w:r>
      <w:r>
        <w:rPr>
          <w:rFonts w:ascii="Times New Roman" w:cs="Times New Roman" w:eastAsia="Times New Roman" w:hAnsi="Times New Roman"/>
          <w:sz w:val="18"/>
          <w:szCs w:val="18"/>
          <w:color w:val="auto"/>
        </w:rPr>
        <w:t>” means, with respect of each Exclusive Product that is not a Restricted Product, the period commencing upon [***] and ending on [***].</w:t>
      </w:r>
    </w:p>
    <w:p>
      <w:pPr>
        <w:spacing w:after="0" w:line="1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Exclusive Product(s)</w:t>
      </w:r>
      <w:r>
        <w:rPr>
          <w:rFonts w:ascii="Times New Roman" w:cs="Times New Roman" w:eastAsia="Times New Roman" w:hAnsi="Times New Roman"/>
          <w:sz w:val="17"/>
          <w:szCs w:val="17"/>
          <w:color w:val="auto"/>
        </w:rPr>
        <w:t>” shall mean any New Candidate which is designated as an “Exclusive Product”, pursuant to Section 2.2(b).</w:t>
      </w:r>
    </w:p>
    <w:p>
      <w:pPr>
        <w:spacing w:after="0" w:line="224" w:lineRule="exact"/>
        <w:rPr>
          <w:sz w:val="20"/>
          <w:szCs w:val="20"/>
          <w:color w:val="auto"/>
        </w:rPr>
      </w:pPr>
    </w:p>
    <w:p>
      <w:pPr>
        <w:jc w:val="both"/>
        <w:ind w:left="600" w:hanging="595"/>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Exploiting Party</w:t>
      </w:r>
      <w:r>
        <w:rPr>
          <w:rFonts w:ascii="Times New Roman" w:cs="Times New Roman" w:eastAsia="Times New Roman" w:hAnsi="Times New Roman"/>
          <w:sz w:val="18"/>
          <w:szCs w:val="18"/>
          <w:color w:val="auto"/>
        </w:rPr>
        <w:t>” shall mean the Party having the lead responsibility for the Development and the Commercialization of the New Candidate or Collaboration Product pursuant to this Agreement (other than, for the avoidance of doubt, Opt-In Products, which shall be dealt with pursuant to the RDC Agreement). The Exploiting Party shall be Molecular Partners unless it becomes OMT pursuant to Sections 2.5(e).</w:t>
      </w:r>
    </w:p>
    <w:p>
      <w:pPr>
        <w:spacing w:after="0" w:line="147" w:lineRule="exact"/>
        <w:rPr>
          <w:sz w:val="20"/>
          <w:szCs w:val="20"/>
          <w:color w:val="auto"/>
        </w:rPr>
      </w:pPr>
    </w:p>
    <w:p>
      <w:pPr>
        <w:jc w:val="both"/>
        <w:ind w:left="600" w:hanging="595"/>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Commercial Sale</w:t>
      </w:r>
      <w:r>
        <w:rPr>
          <w:rFonts w:ascii="Times New Roman" w:cs="Times New Roman" w:eastAsia="Times New Roman" w:hAnsi="Times New Roman"/>
          <w:sz w:val="18"/>
          <w:szCs w:val="18"/>
          <w:color w:val="auto"/>
        </w:rPr>
        <w:t>” means the first sale (or other commercial transfer or disposition for value considered as Net Sales under this Agreement) of a Collaboration Product to a Third Party (other than to an Affiliate or sublicensee) by the Exploiting Party in any country of the Territory. Sales for test marketing, clinical-trial purposes or compassionate use shall not constitute a First Commercial Sale of such Collaboration Product.</w:t>
      </w:r>
    </w:p>
    <w:p>
      <w:pPr>
        <w:spacing w:after="0" w:line="159" w:lineRule="exact"/>
        <w:rPr>
          <w:sz w:val="20"/>
          <w:szCs w:val="20"/>
          <w:color w:val="auto"/>
        </w:rPr>
      </w:pPr>
    </w:p>
    <w:p>
      <w:pPr>
        <w:jc w:val="both"/>
        <w:ind w:left="600" w:hanging="595"/>
        <w:spacing w:after="0" w:line="283" w:lineRule="auto"/>
        <w:tabs>
          <w:tab w:leader="none" w:pos="5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Foreground IPR</w:t>
      </w:r>
      <w:r>
        <w:rPr>
          <w:rFonts w:ascii="Times New Roman" w:cs="Times New Roman" w:eastAsia="Times New Roman" w:hAnsi="Times New Roman"/>
          <w:sz w:val="18"/>
          <w:szCs w:val="18"/>
          <w:color w:val="auto"/>
        </w:rPr>
        <w:t>” shall mean Patent Rights, Know-How and other IPR that are discovered, or invented by or on behalf of a Party in the course of performance of activities of the R&amp;D Program pursuant to this Agreement.</w:t>
      </w:r>
    </w:p>
    <w:p>
      <w:pPr>
        <w:spacing w:after="0" w:line="158" w:lineRule="exact"/>
        <w:rPr>
          <w:sz w:val="20"/>
          <w:szCs w:val="20"/>
          <w:color w:val="auto"/>
        </w:rPr>
      </w:pPr>
    </w:p>
    <w:p>
      <w:pPr>
        <w:jc w:val="both"/>
        <w:ind w:left="600" w:hanging="595"/>
        <w:spacing w:after="0" w:line="268" w:lineRule="auto"/>
        <w:tabs>
          <w:tab w:leader="none" w:pos="5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Molecular Partners Background</w:t>
      </w:r>
      <w:r>
        <w:rPr>
          <w:rFonts w:ascii="Times New Roman" w:cs="Times New Roman" w:eastAsia="Times New Roman" w:hAnsi="Times New Roman"/>
          <w:sz w:val="18"/>
          <w:szCs w:val="18"/>
          <w:color w:val="auto"/>
        </w:rPr>
        <w:t>” means all right, title and interest in any and all Patent Rights, Know-How and other IPR that are (i) Controlled by Molecular Partners as of the Effective Date or during the Term and contributed by Molecular Partners, other than those generated in the course of performance of the R&amp;D Program pursuant to this Agreement and (ii) necessary or reasonably useful for the research, Development, Manufacture or Commercialization of New Candidates or Collaboration Products. For the sake of clarity, Molecular Partners Background includes without limitation Molecular Partners’ IPR pertaining to designed repeat proteins, including DARPin proteins, and their research, development, manufacture and clinical use and any Alternative Technology Controlled by Molecular Partners.</w:t>
      </w:r>
    </w:p>
    <w:p>
      <w:pPr>
        <w:spacing w:after="0" w:line="1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Molecular Partners Foreground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have the meaning set forth in Section 9.2(d)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Molecular Partners Patents</w:t>
      </w:r>
      <w:r>
        <w:rPr>
          <w:rFonts w:ascii="Times New Roman" w:cs="Times New Roman" w:eastAsia="Times New Roman" w:hAnsi="Times New Roman"/>
          <w:sz w:val="17"/>
          <w:szCs w:val="17"/>
          <w:color w:val="auto"/>
        </w:rPr>
        <w:t>” shall have the meaning set forth in Section 9.2(e) of this Agreement.</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hanging="595"/>
        <w:spacing w:after="0" w:line="263" w:lineRule="auto"/>
        <w:rPr>
          <w:sz w:val="20"/>
          <w:szCs w:val="20"/>
          <w:color w:val="auto"/>
        </w:rPr>
      </w:pPr>
      <w:r>
        <w:rPr>
          <w:rFonts w:ascii="Times New Roman" w:cs="Times New Roman" w:eastAsia="Times New Roman" w:hAnsi="Times New Roman"/>
          <w:sz w:val="18"/>
          <w:szCs w:val="18"/>
          <w:color w:val="auto"/>
        </w:rPr>
        <w:t>1.25</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means the gross amounts billed, invoiced or otherwise recognized as revenue in accordance with IFRS with respect to sales of Collaboration Products by the Exploiting Party, its Affiliates, its licensees or sublicensees, assignees and successors or its permitted subcontractors to independent or unaffiliated Third Party customers in bona fide, arm’s-length transactions, less the following permitted deductions: (a) amounts repaid, credits and allowances granted for defective or damaged Collaboration Products, returns, recalls or rejections of Collaboration Products or for billing errors or adjustments (including write-offs); (b) customary and reasonable trade, cash and quantity discounts, allowances and credits (including chargebacks); (c) excise taxes, sales taxes, duties, VAT, clawbacks and other similar taxes directly related to the sale; (d) customary rebates and chargebacks made with respect to sales paid for by competent Regulatory Authorities, their agencies and purchasers and reimbursers, public or private hospitals, managed health care organizations, group purchase organizations or trade customers; (e) price protection adjustments; (f) amounts provided or credited to customers or patients through coupons and other discount programs; (g) wholesaler fees and other expenses actually incurred for distribution and logistics (including freight, postage, shipping, customs, duties and shipping insurance and other transportation charges directly related to the distribution of Collaboration Products); (h) delayed ship order credits, discounts or payments related to the impact of price increases between purchase and shipping dates or retroactive price reductions; (i) fee for service payments to customers for any non-separable services (including compensation for maintaining agreed inventory levels and providing information); and (j) other reductions or specifically identifiable amounts deducted for reasons similar to those listed above in accordance with IFRS,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if any Collaboration Product(s) is sold by the Exploiting Party or any of its Affiliates, its licensees or sublicensees or its permitted subcontractors to customers together with any other product(s) (including CDs) (“</w:t>
      </w:r>
      <w:r>
        <w:rPr>
          <w:rFonts w:ascii="Times New Roman" w:cs="Times New Roman" w:eastAsia="Times New Roman" w:hAnsi="Times New Roman"/>
          <w:sz w:val="18"/>
          <w:szCs w:val="18"/>
          <w:b w:val="1"/>
          <w:bCs w:val="1"/>
          <w:color w:val="auto"/>
        </w:rPr>
        <w:t>Other Products</w:t>
      </w:r>
      <w:r>
        <w:rPr>
          <w:rFonts w:ascii="Times New Roman" w:cs="Times New Roman" w:eastAsia="Times New Roman" w:hAnsi="Times New Roman"/>
          <w:sz w:val="18"/>
          <w:szCs w:val="18"/>
          <w:color w:val="auto"/>
        </w:rPr>
        <w:t>”) as a package or bundle (“Bundle”), that (i) benefits such Other Products at the expense of the Collaboration Product(s) or (ii) benefits the Collaboration Product(s) at the expenses of the Other Products, such Bundle shall be disaggregated for the purposes of revenue recognition such that each product included in such Bundle is attributed the fair and appropriate level of revenue.</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Collaboration Products are considered “sold” when billed out or invoiced in connection with an arms’ length sale. If a Collaboration Product is delivered to a Third Party before being invoiced (or is not invoiced), Net Sales will be calculated at the time all of the revenue recognition criteria under IFRS are met. Net Sales shall not include transfers or dispositions for no profit or for charitable purposes to the extent such transfer and dispositions are in accordance with Applicable Laws and with prevailing industry standards in the relevant country.</w:t>
      </w:r>
    </w:p>
    <w:p>
      <w:pPr>
        <w:spacing w:after="0" w:line="170" w:lineRule="exact"/>
        <w:rPr>
          <w:sz w:val="20"/>
          <w:szCs w:val="20"/>
          <w:color w:val="auto"/>
        </w:rPr>
      </w:pPr>
    </w:p>
    <w:p>
      <w:pPr>
        <w:jc w:val="both"/>
        <w:ind w:hanging="595"/>
        <w:spacing w:after="0" w:line="270" w:lineRule="auto"/>
        <w:rPr>
          <w:sz w:val="20"/>
          <w:szCs w:val="20"/>
          <w:color w:val="auto"/>
        </w:rPr>
      </w:pPr>
      <w:r>
        <w:rPr>
          <w:rFonts w:ascii="Times New Roman" w:cs="Times New Roman" w:eastAsia="Times New Roman" w:hAnsi="Times New Roman"/>
          <w:sz w:val="18"/>
          <w:szCs w:val="18"/>
          <w:color w:val="auto"/>
        </w:rPr>
        <w:t>1.26</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Candidate(s)</w:t>
      </w:r>
      <w:r>
        <w:rPr>
          <w:rFonts w:ascii="Times New Roman" w:cs="Times New Roman" w:eastAsia="Times New Roman" w:hAnsi="Times New Roman"/>
          <w:sz w:val="18"/>
          <w:szCs w:val="18"/>
          <w:color w:val="auto"/>
        </w:rPr>
        <w:t>” means radiopharmaceutical products combining DARPin Technology and TAT Technology using 212Pb or using or combining (whether with DARPin Technology or TAT Technology) an Alternative Technology proposed by a Party, which may be developed pursuant to this Agreement, including any MTA pursuant to Section 2.2. For the avoidance of doubt, New Candidates shall not include products falling under the RDC Agreement.</w:t>
      </w:r>
    </w:p>
    <w:p>
      <w:pPr>
        <w:spacing w:after="0" w:line="170" w:lineRule="exact"/>
        <w:rPr>
          <w:sz w:val="20"/>
          <w:szCs w:val="20"/>
          <w:color w:val="auto"/>
        </w:rPr>
      </w:pPr>
    </w:p>
    <w:p>
      <w:pPr>
        <w:jc w:val="both"/>
        <w:ind w:hanging="595"/>
        <w:spacing w:after="0" w:line="297" w:lineRule="auto"/>
        <w:rPr>
          <w:sz w:val="20"/>
          <w:szCs w:val="20"/>
          <w:color w:val="auto"/>
        </w:rPr>
      </w:pPr>
      <w:r>
        <w:rPr>
          <w:rFonts w:ascii="Times New Roman" w:cs="Times New Roman" w:eastAsia="Times New Roman" w:hAnsi="Times New Roman"/>
          <w:sz w:val="18"/>
          <w:szCs w:val="18"/>
          <w:color w:val="auto"/>
        </w:rPr>
        <w:t>1.27</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Non-Exclusive Product(s)</w:t>
      </w:r>
      <w:r>
        <w:rPr>
          <w:rFonts w:ascii="Times New Roman" w:cs="Times New Roman" w:eastAsia="Times New Roman" w:hAnsi="Times New Roman"/>
          <w:sz w:val="18"/>
          <w:szCs w:val="18"/>
          <w:color w:val="auto"/>
        </w:rPr>
        <w:t>” means a New Candidate designated as a non-exclusive product by OMT pursuant to Section 2.2. The Parties agree that the New Candidates or Collaboration Products that are designated as Non-Exclusive Products shall not be subject to the Target</w:t>
      </w:r>
    </w:p>
    <w:p>
      <w:pPr>
        <w:sectPr>
          <w:pgSz w:w="11900" w:h="16838" w:orient="portrait"/>
          <w:cols w:equalWidth="0" w:num="1">
            <w:col w:w="10640"/>
          </w:cols>
          <w:pgMar w:left="920" w:top="1440"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Exclusivity Provisions but shall remain subject to the Technology Exclusivity Provisions pursuant to Section 2.4(a)(i) of the RDC Agreement.</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OM Background</w:t>
      </w:r>
      <w:r>
        <w:rPr>
          <w:rFonts w:ascii="Times New Roman" w:cs="Times New Roman" w:eastAsia="Times New Roman" w:hAnsi="Times New Roman"/>
          <w:sz w:val="17"/>
          <w:szCs w:val="17"/>
          <w:color w:val="auto"/>
        </w:rPr>
        <w:t>” means OMT Background and if applicable OMM Background.</w:t>
      </w:r>
    </w:p>
    <w:p>
      <w:pPr>
        <w:spacing w:after="0" w:line="224" w:lineRule="exact"/>
        <w:rPr>
          <w:sz w:val="20"/>
          <w:szCs w:val="20"/>
          <w:color w:val="auto"/>
        </w:rPr>
      </w:pPr>
    </w:p>
    <w:p>
      <w:pPr>
        <w:jc w:val="both"/>
        <w:ind w:left="600" w:hanging="595"/>
        <w:spacing w:after="0" w:line="270" w:lineRule="auto"/>
        <w:tabs>
          <w:tab w:leader="none" w:pos="58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OMM Background</w:t>
      </w:r>
      <w:r>
        <w:rPr>
          <w:rFonts w:ascii="Times New Roman" w:cs="Times New Roman" w:eastAsia="Times New Roman" w:hAnsi="Times New Roman"/>
          <w:sz w:val="18"/>
          <w:szCs w:val="18"/>
          <w:color w:val="auto"/>
        </w:rPr>
        <w:t>” means all right, title and interest in any and all Patent Rights, Know-How and other IPR that are (i) Controlled by OMM as of the Effective Date or during the Term and contributed by OMM, other than those generated in the course of the performance of a R&amp;D Program, pursuant to the Clinical Supply Agreement or any commercial supply agreement; and (ii) necessary or reasonably useful for the Manufacture of Collaboration Products;</w:t>
      </w:r>
    </w:p>
    <w:p>
      <w:pPr>
        <w:spacing w:after="0" w:line="170" w:lineRule="exact"/>
        <w:rPr>
          <w:sz w:val="20"/>
          <w:szCs w:val="20"/>
          <w:color w:val="auto"/>
        </w:rPr>
      </w:pPr>
    </w:p>
    <w:p>
      <w:pPr>
        <w:jc w:val="both"/>
        <w:ind w:left="600" w:hanging="595"/>
        <w:spacing w:after="0" w:line="269" w:lineRule="auto"/>
        <w:tabs>
          <w:tab w:leader="none" w:pos="58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OMT Background</w:t>
      </w:r>
      <w:r>
        <w:rPr>
          <w:rFonts w:ascii="Times New Roman" w:cs="Times New Roman" w:eastAsia="Times New Roman" w:hAnsi="Times New Roman"/>
          <w:sz w:val="18"/>
          <w:szCs w:val="18"/>
          <w:color w:val="auto"/>
        </w:rPr>
        <w:t>” means all right, title and interest in any and all Patent Rights, Know-How and other IPR that are (i) Controlled by OMT as of the Effective Date or during the Term and contributed by OMT, other than those generated in the course of the performance of a R&amp;D Program, pursuant to this Agreement, and (ii) necessary or reasonably useful for the research, Development, Manufacture or Commercialization of Collaboration Products. For the sake of clarity, OMT Background includes without limitation the TAT Technology, as well as any Alternative Technology Controlled by OMT, but does not include OMM Background.</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OMT Foreground</w:t>
      </w:r>
      <w:r>
        <w:rPr>
          <w:rFonts w:ascii="Times New Roman" w:cs="Times New Roman" w:eastAsia="Times New Roman" w:hAnsi="Times New Roman"/>
          <w:sz w:val="17"/>
          <w:szCs w:val="17"/>
          <w:color w:val="auto"/>
        </w:rPr>
        <w:t>” shall have the meaning set forth in Section 9.2(a)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OMT Patents</w:t>
      </w:r>
      <w:r>
        <w:rPr>
          <w:rFonts w:ascii="Times New Roman" w:cs="Times New Roman" w:eastAsia="Times New Roman" w:hAnsi="Times New Roman"/>
          <w:sz w:val="17"/>
          <w:szCs w:val="17"/>
          <w:color w:val="auto"/>
        </w:rPr>
        <w:t>” shall have the meaning set forth in Section 9.2(b) of this Agreement.</w:t>
      </w:r>
    </w:p>
    <w:p>
      <w:pPr>
        <w:spacing w:after="0" w:line="2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Opt-In</w:t>
      </w:r>
      <w:r>
        <w:rPr>
          <w:rFonts w:ascii="Times New Roman" w:cs="Times New Roman" w:eastAsia="Times New Roman" w:hAnsi="Times New Roman"/>
          <w:sz w:val="17"/>
          <w:szCs w:val="17"/>
          <w:color w:val="auto"/>
        </w:rPr>
        <w:t>” shall have the meaning set forth in Section 5.2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Opt-In Date</w:t>
      </w:r>
      <w:r>
        <w:rPr>
          <w:rFonts w:ascii="Times New Roman" w:cs="Times New Roman" w:eastAsia="Times New Roman" w:hAnsi="Times New Roman"/>
          <w:sz w:val="17"/>
          <w:szCs w:val="17"/>
          <w:color w:val="auto"/>
        </w:rPr>
        <w:t>” shall have the meaning set forth in Section 5.4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Opt-In Notice</w:t>
      </w:r>
      <w:r>
        <w:rPr>
          <w:rFonts w:ascii="Times New Roman" w:cs="Times New Roman" w:eastAsia="Times New Roman" w:hAnsi="Times New Roman"/>
          <w:sz w:val="17"/>
          <w:szCs w:val="17"/>
          <w:color w:val="auto"/>
        </w:rPr>
        <w:t>” shall have the meaning set forth in Section 5.2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Opt-In Product</w:t>
      </w:r>
      <w:r>
        <w:rPr>
          <w:rFonts w:ascii="Times New Roman" w:cs="Times New Roman" w:eastAsia="Times New Roman" w:hAnsi="Times New Roman"/>
          <w:sz w:val="17"/>
          <w:szCs w:val="17"/>
          <w:color w:val="auto"/>
        </w:rPr>
        <w:t>” shall have the meaning set forth in Section 5.2 of this Agreement.</w:t>
      </w:r>
    </w:p>
    <w:p>
      <w:pPr>
        <w:spacing w:after="0" w:line="2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Opt-In Sum</w:t>
      </w:r>
      <w:r>
        <w:rPr>
          <w:rFonts w:ascii="Times New Roman" w:cs="Times New Roman" w:eastAsia="Times New Roman" w:hAnsi="Times New Roman"/>
          <w:sz w:val="17"/>
          <w:szCs w:val="17"/>
          <w:color w:val="auto"/>
        </w:rPr>
        <w:t>” shall have the meaning set forth in Section 5.5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Product Specific IPR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have the meaning set forth in Section 9.2(d)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R&amp;D Budget</w:t>
      </w:r>
      <w:r>
        <w:rPr>
          <w:rFonts w:ascii="Times New Roman" w:cs="Times New Roman" w:eastAsia="Times New Roman" w:hAnsi="Times New Roman"/>
          <w:sz w:val="17"/>
          <w:szCs w:val="17"/>
          <w:color w:val="auto"/>
        </w:rPr>
        <w:t>” shall have the meaning set forth in Section 4.2(a) of this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R&amp;D Plan</w:t>
      </w:r>
      <w:r>
        <w:rPr>
          <w:rFonts w:ascii="Times New Roman" w:cs="Times New Roman" w:eastAsia="Times New Roman" w:hAnsi="Times New Roman"/>
          <w:sz w:val="17"/>
          <w:szCs w:val="17"/>
          <w:color w:val="auto"/>
        </w:rPr>
        <w:t>” shall have the meaning set forth in Section 4.2(a) of this Agreement.</w:t>
      </w:r>
    </w:p>
    <w:p>
      <w:pPr>
        <w:spacing w:after="0" w:line="21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R&amp;D Program</w:t>
      </w:r>
      <w:r>
        <w:rPr>
          <w:rFonts w:ascii="Times New Roman" w:cs="Times New Roman" w:eastAsia="Times New Roman" w:hAnsi="Times New Roman"/>
          <w:sz w:val="17"/>
          <w:szCs w:val="17"/>
          <w:color w:val="auto"/>
        </w:rPr>
        <w:t>” shall have the meaning set forth in Section 4.1 of this Agreement.</w:t>
      </w:r>
    </w:p>
    <w:p>
      <w:pPr>
        <w:spacing w:after="0" w:line="224" w:lineRule="exact"/>
        <w:rPr>
          <w:sz w:val="20"/>
          <w:szCs w:val="20"/>
          <w:color w:val="auto"/>
        </w:rPr>
      </w:pPr>
    </w:p>
    <w:p>
      <w:pPr>
        <w:jc w:val="both"/>
        <w:ind w:left="600" w:hanging="595"/>
        <w:spacing w:after="0" w:line="281" w:lineRule="auto"/>
        <w:tabs>
          <w:tab w:leader="none" w:pos="58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Exclusivity</w:t>
      </w:r>
      <w:r>
        <w:rPr>
          <w:rFonts w:ascii="Times New Roman" w:cs="Times New Roman" w:eastAsia="Times New Roman" w:hAnsi="Times New Roman"/>
          <w:sz w:val="18"/>
          <w:szCs w:val="18"/>
          <w:color w:val="auto"/>
        </w:rPr>
        <w:t>” shall mean any exclusive marketing rights or data exclusivity rights conferred by an applicable Regulatory Authority or other governmental authority in a particular country or jurisdiction within the Territory, including any regulatory data protection exclusivity, orphan drug exclusivity and paediatric exclusivity and any extensions to such exclusivity rights.</w:t>
      </w:r>
    </w:p>
    <w:p>
      <w:pPr>
        <w:spacing w:after="0" w:line="159" w:lineRule="exact"/>
        <w:rPr>
          <w:sz w:val="20"/>
          <w:szCs w:val="20"/>
          <w:color w:val="auto"/>
        </w:rPr>
      </w:pPr>
    </w:p>
    <w:p>
      <w:pPr>
        <w:jc w:val="both"/>
        <w:ind w:left="600" w:hanging="595"/>
        <w:spacing w:after="0" w:line="283" w:lineRule="auto"/>
        <w:tabs>
          <w:tab w:leader="none" w:pos="58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Research Term</w:t>
      </w:r>
      <w:r>
        <w:rPr>
          <w:rFonts w:ascii="Times New Roman" w:cs="Times New Roman" w:eastAsia="Times New Roman" w:hAnsi="Times New Roman"/>
          <w:sz w:val="18"/>
          <w:szCs w:val="18"/>
          <w:color w:val="auto"/>
        </w:rPr>
        <w:t>” means the period that starts on the Effective Date and ends on the [***] anniversary thereof, unless otherwise extended by the Parties.</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00" w:hanging="595"/>
        <w:spacing w:after="0" w:line="275" w:lineRule="auto"/>
        <w:tabs>
          <w:tab w:leader="none" w:pos="58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Product</w:t>
      </w:r>
      <w:r>
        <w:rPr>
          <w:rFonts w:ascii="Times New Roman" w:cs="Times New Roman" w:eastAsia="Times New Roman" w:hAnsi="Times New Roman"/>
          <w:sz w:val="18"/>
          <w:szCs w:val="18"/>
          <w:color w:val="auto"/>
        </w:rPr>
        <w:t>” means, subject always to Section 2.2(g) (which shall continue to operate), (i) the first New Candidate that comprises a Collaboration Product under this Agreement; and (ii) one other New Candidate or Collaboration Product that Molecular Partners has designated as a “</w:t>
      </w:r>
      <w:r>
        <w:rPr>
          <w:rFonts w:ascii="Times New Roman" w:cs="Times New Roman" w:eastAsia="Times New Roman" w:hAnsi="Times New Roman"/>
          <w:sz w:val="18"/>
          <w:szCs w:val="18"/>
          <w:b w:val="1"/>
          <w:bCs w:val="1"/>
          <w:color w:val="auto"/>
        </w:rPr>
        <w:t>Restricted Product</w:t>
      </w:r>
      <w:r>
        <w:rPr>
          <w:rFonts w:ascii="Times New Roman" w:cs="Times New Roman" w:eastAsia="Times New Roman" w:hAnsi="Times New Roman"/>
          <w:sz w:val="18"/>
          <w:szCs w:val="18"/>
          <w:color w:val="auto"/>
        </w:rPr>
        <w:t>” in accordance with the terms of this Agreement, which New Candidate or Collaboration Product shall not be subject to an Opt-In.</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Sole Ownership</w:t>
      </w:r>
      <w:r>
        <w:rPr>
          <w:rFonts w:ascii="Times New Roman" w:cs="Times New Roman" w:eastAsia="Times New Roman" w:hAnsi="Times New Roman"/>
          <w:sz w:val="17"/>
          <w:szCs w:val="17"/>
          <w:color w:val="auto"/>
        </w:rPr>
        <w:t>” refers generally to Molecular Partners Foreground and OMT Foreground, as the context may require.</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Target Exclusivity Provisions</w:t>
      </w:r>
      <w:r>
        <w:rPr>
          <w:rFonts w:ascii="Times New Roman" w:cs="Times New Roman" w:eastAsia="Times New Roman" w:hAnsi="Times New Roman"/>
          <w:sz w:val="17"/>
          <w:szCs w:val="17"/>
          <w:color w:val="auto"/>
        </w:rPr>
        <w:t>” shall mean Section 2.5(a)(ii) of this Agreement and, for Opt-In Products, Section 2.4(a)(ii) of the RDC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Target Notice</w:t>
      </w:r>
      <w:r>
        <w:rPr>
          <w:rFonts w:ascii="Times New Roman" w:cs="Times New Roman" w:eastAsia="Times New Roman" w:hAnsi="Times New Roman"/>
          <w:sz w:val="17"/>
          <w:szCs w:val="17"/>
          <w:color w:val="auto"/>
        </w:rPr>
        <w:t>” shall have the meaning set forth in Section 2.2(a) of this Agreement.</w:t>
      </w:r>
    </w:p>
    <w:p>
      <w:pPr>
        <w:spacing w:after="0" w:line="224" w:lineRule="exact"/>
        <w:rPr>
          <w:sz w:val="20"/>
          <w:szCs w:val="20"/>
          <w:color w:val="auto"/>
        </w:rPr>
      </w:pPr>
    </w:p>
    <w:p>
      <w:pPr>
        <w:jc w:val="both"/>
        <w:ind w:left="600" w:hanging="595"/>
        <w:spacing w:after="0" w:line="297" w:lineRule="auto"/>
        <w:tabs>
          <w:tab w:leader="none" w:pos="58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TAT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OMT’s IPR pertaining to the 212Pb, including its use for targeted alpha-emitter therapy, its production, and chelating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design and production for targeted alpha-emitter therapy using 212Pb, but excluding [***].</w:t>
      </w:r>
    </w:p>
    <w:p>
      <w:pPr>
        <w:spacing w:after="0" w:line="1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Technology Exclusivity Provisions</w:t>
      </w:r>
      <w:r>
        <w:rPr>
          <w:rFonts w:ascii="Times New Roman" w:cs="Times New Roman" w:eastAsia="Times New Roman" w:hAnsi="Times New Roman"/>
          <w:sz w:val="17"/>
          <w:szCs w:val="17"/>
          <w:color w:val="auto"/>
        </w:rPr>
        <w:t>” shall mean Section 2.5(a)(i) of this Agreement and Section 2.4(a)(i) of the RDC Agreement.</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w:t>
      </w:r>
      <w:r>
        <w:rPr>
          <w:rFonts w:ascii="Times New Roman" w:cs="Times New Roman" w:eastAsia="Times New Roman" w:hAnsi="Times New Roman"/>
          <w:sz w:val="17"/>
          <w:szCs w:val="17"/>
          <w:color w:val="auto"/>
        </w:rPr>
        <w:t>” shall have the meaning set forth in Section 11.1 hereunder.</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Territory</w:t>
      </w:r>
      <w:r>
        <w:rPr>
          <w:rFonts w:ascii="Times New Roman" w:cs="Times New Roman" w:eastAsia="Times New Roman" w:hAnsi="Times New Roman"/>
          <w:sz w:val="17"/>
          <w:szCs w:val="17"/>
          <w:color w:val="auto"/>
        </w:rPr>
        <w:t>” means worldwide.</w:t>
      </w:r>
    </w:p>
    <w:p>
      <w:pPr>
        <w:spacing w:after="0" w:line="22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Total Studies Cap</w:t>
      </w:r>
      <w:r>
        <w:rPr>
          <w:rFonts w:ascii="Times New Roman" w:cs="Times New Roman" w:eastAsia="Times New Roman" w:hAnsi="Times New Roman"/>
          <w:sz w:val="17"/>
          <w:szCs w:val="17"/>
          <w:color w:val="auto"/>
        </w:rPr>
        <w:t>” shall have the meaning set forth in Section 2.3(a)(i)(1) hereunder.</w:t>
      </w:r>
    </w:p>
    <w:p>
      <w:pPr>
        <w:spacing w:after="0" w:line="211" w:lineRule="exact"/>
        <w:rPr>
          <w:sz w:val="20"/>
          <w:szCs w:val="20"/>
          <w:color w:val="auto"/>
        </w:rPr>
      </w:pPr>
    </w:p>
    <w:p>
      <w:pPr>
        <w:jc w:val="both"/>
        <w:ind w:left="600" w:hanging="595"/>
        <w:spacing w:after="0" w:line="297" w:lineRule="auto"/>
        <w:tabs>
          <w:tab w:leader="none" w:pos="58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Triggering Date</w:t>
      </w:r>
      <w:r>
        <w:rPr>
          <w:rFonts w:ascii="Times New Roman" w:cs="Times New Roman" w:eastAsia="Times New Roman" w:hAnsi="Times New Roman"/>
          <w:sz w:val="18"/>
          <w:szCs w:val="18"/>
          <w:color w:val="auto"/>
        </w:rPr>
        <w:t>” shall mean for a Collaboration Product targeting the same target as that of the Competing Program, with respect to a Party or its Affiliates, [***].</w:t>
      </w:r>
    </w:p>
    <w:p>
      <w:pPr>
        <w:spacing w:after="0" w:line="146" w:lineRule="exact"/>
        <w:rPr>
          <w:sz w:val="20"/>
          <w:szCs w:val="20"/>
          <w:color w:val="auto"/>
        </w:rPr>
      </w:pPr>
    </w:p>
    <w:p>
      <w:pPr>
        <w:jc w:val="both"/>
        <w:ind w:left="600" w:hanging="595"/>
        <w:spacing w:after="0" w:line="265" w:lineRule="auto"/>
        <w:tabs>
          <w:tab w:leader="none" w:pos="58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Valid Claim</w:t>
      </w:r>
      <w:r>
        <w:rPr>
          <w:rFonts w:ascii="Times New Roman" w:cs="Times New Roman" w:eastAsia="Times New Roman" w:hAnsi="Times New Roman"/>
          <w:sz w:val="18"/>
          <w:szCs w:val="18"/>
          <w:color w:val="auto"/>
        </w:rPr>
        <w:t>” means, with respect to a particular Collaboration Product in a given country in the Territory, a claim of any of: an issued Patent or Patent application that has not: (a) expired, irretrievably lapsed or been abandoned, revoked, dedicated to the public or disclaimed; or (b) been found to be unpatentable, invalid or unenforceable by an unreversed and unappealable final decision of a Governmental Authority in such country. Notwithstanding the foregoing, if a claim of a pending application for a patent has not issued as a claim of an issued patent within [***] years after the earliest effective filing date from which such claim takes priority, such pending claim shall not be a Valid Claim for purposes of this Agreement, unless and until such claim issues as a claim of an issued and unexpired patent (from and after which time the same shall be deemed a Valid Claim subject to the foregoing).</w:t>
      </w:r>
    </w:p>
    <w:p>
      <w:pPr>
        <w:spacing w:after="0" w:line="175" w:lineRule="exact"/>
        <w:rPr>
          <w:sz w:val="20"/>
          <w:szCs w:val="20"/>
          <w:color w:val="auto"/>
        </w:rPr>
      </w:pPr>
    </w:p>
    <w:p>
      <w:pPr>
        <w:ind w:left="600" w:hanging="599"/>
        <w:spacing w:after="0"/>
        <w:tabs>
          <w:tab w:leader="none" w:pos="60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SCOPE</w:t>
      </w:r>
    </w:p>
    <w:p>
      <w:pPr>
        <w:spacing w:after="0" w:line="226" w:lineRule="exact"/>
        <w:rPr>
          <w:sz w:val="20"/>
          <w:szCs w:val="20"/>
          <w:color w:val="auto"/>
        </w:rPr>
      </w:pPr>
    </w:p>
    <w:p>
      <w:pPr>
        <w:jc w:val="both"/>
        <w:ind w:left="600" w:hanging="595"/>
        <w:spacing w:after="0" w:line="267" w:lineRule="auto"/>
        <w:tabs>
          <w:tab w:leader="none" w:pos="5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Development scope</w:t>
      </w:r>
      <w:r>
        <w:rPr>
          <w:rFonts w:ascii="Times New Roman" w:cs="Times New Roman" w:eastAsia="Times New Roman" w:hAnsi="Times New Roman"/>
          <w:sz w:val="18"/>
          <w:szCs w:val="18"/>
          <w:color w:val="auto"/>
        </w:rPr>
        <w:t>. The objective of this Agreement is to enable the Parties to Develop a number of radiopharmaceutical drug candidates with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radioligand payload targeting such targets as the applicable Party may nominate. The Parties agree that such candidates (“</w:t>
      </w:r>
      <w:r>
        <w:rPr>
          <w:rFonts w:ascii="Times New Roman" w:cs="Times New Roman" w:eastAsia="Times New Roman" w:hAnsi="Times New Roman"/>
          <w:sz w:val="18"/>
          <w:szCs w:val="18"/>
          <w:b w:val="1"/>
          <w:bCs w:val="1"/>
          <w:color w:val="auto"/>
        </w:rPr>
        <w:t>New Candidates</w:t>
      </w:r>
      <w:r>
        <w:rPr>
          <w:rFonts w:ascii="Times New Roman" w:cs="Times New Roman" w:eastAsia="Times New Roman" w:hAnsi="Times New Roman"/>
          <w:sz w:val="18"/>
          <w:szCs w:val="18"/>
          <w:color w:val="auto"/>
        </w:rPr>
        <w:t>”, as provided below) shall be Developed under this Agreement either as Exclusive Products or as Non-Exclusive Products. The Parties further agree that the Parties’ respective technology contribution to each New Candidate is not limited to either DARPin Technology or TAT Technology (as applicable) and may extend to any Alternative Technology.</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New Candidates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Research Term, a Party will propose targets by way of notice in writing to the other Party including sufficient information with respect to the scientific and commercial potential of the target (each a “</w:t>
      </w:r>
      <w:r>
        <w:rPr>
          <w:rFonts w:ascii="Times New Roman" w:cs="Times New Roman" w:eastAsia="Times New Roman" w:hAnsi="Times New Roman"/>
          <w:sz w:val="18"/>
          <w:szCs w:val="18"/>
          <w:b w:val="1"/>
          <w:bCs w:val="1"/>
          <w:i w:val="1"/>
          <w:iCs w:val="1"/>
          <w:color w:val="auto"/>
        </w:rPr>
        <w:t>Target Notice</w:t>
      </w:r>
      <w:r>
        <w:rPr>
          <w:rFonts w:ascii="Times New Roman" w:cs="Times New Roman" w:eastAsia="Times New Roman" w:hAnsi="Times New Roman"/>
          <w:sz w:val="18"/>
          <w:szCs w:val="18"/>
          <w:color w:val="auto"/>
        </w:rPr>
        <w:t>”) so that the Parties can work on constructs for radiopharmaceutical products combining DARPin Technology and TAT Technology using 212Pb or using or combining (whether with DARPin Technology or TAT Technology) an Alternative Technology proposed by a Party under a MTA as set forth below. Molecular Partners may, but is not required to at this stage, indicate in the Target Notice whether the target is a Restricted Target.</w:t>
      </w:r>
    </w:p>
    <w:p>
      <w:pPr>
        <w:spacing w:after="0" w:line="178"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target proposed by a Party under a Target Notice and within [***] of the Target Notice:</w:t>
      </w:r>
    </w:p>
    <w:p>
      <w:pPr>
        <w:spacing w:after="0" w:line="221" w:lineRule="exact"/>
        <w:rPr>
          <w:rFonts w:ascii="Times New Roman" w:cs="Times New Roman" w:eastAsia="Times New Roman" w:hAnsi="Times New Roman"/>
          <w:sz w:val="18"/>
          <w:szCs w:val="18"/>
          <w:color w:val="auto"/>
        </w:rPr>
      </w:pPr>
    </w:p>
    <w:p>
      <w:pPr>
        <w:jc w:val="both"/>
        <w:ind w:left="1800" w:hanging="602"/>
        <w:spacing w:after="0" w:line="269" w:lineRule="auto"/>
        <w:tabs>
          <w:tab w:leader="none" w:pos="179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Party (the </w:t>
      </w:r>
      <w:r>
        <w:rPr>
          <w:rFonts w:ascii="Times New Roman" w:cs="Times New Roman" w:eastAsia="Times New Roman" w:hAnsi="Times New Roman"/>
          <w:sz w:val="18"/>
          <w:szCs w:val="18"/>
          <w:b w:val="1"/>
          <w:bCs w:val="1"/>
          <w:color w:val="auto"/>
        </w:rPr>
        <w:t>“Rejecting Party”</w:t>
      </w:r>
      <w:r>
        <w:rPr>
          <w:rFonts w:ascii="Times New Roman" w:cs="Times New Roman" w:eastAsia="Times New Roman" w:hAnsi="Times New Roman"/>
          <w:sz w:val="18"/>
          <w:szCs w:val="18"/>
          <w:color w:val="auto"/>
        </w:rPr>
        <w:t>) may notify the JSC in writing that it refuses to work on such target (the “</w:t>
      </w:r>
      <w:r>
        <w:rPr>
          <w:rFonts w:ascii="Times New Roman" w:cs="Times New Roman" w:eastAsia="Times New Roman" w:hAnsi="Times New Roman"/>
          <w:sz w:val="18"/>
          <w:szCs w:val="18"/>
          <w:b w:val="1"/>
          <w:bCs w:val="1"/>
          <w:color w:val="auto"/>
        </w:rPr>
        <w:t>Rejected Target</w:t>
      </w:r>
      <w:r>
        <w:rPr>
          <w:rFonts w:ascii="Times New Roman" w:cs="Times New Roman" w:eastAsia="Times New Roman" w:hAnsi="Times New Roman"/>
          <w:sz w:val="18"/>
          <w:szCs w:val="18"/>
          <w:color w:val="auto"/>
        </w:rPr>
        <w:t>”) and in doing so shall provide a reasonable justification for such refusal which may only be based on the following criteria, provided that if evidence is required by the JSC, a Rejecting Party will provide it and may do so, if it deems it necessary via a third party under terms reasonably acceptable to each Party to preserve confidentiality:</w:t>
      </w:r>
    </w:p>
    <w:p>
      <w:pPr>
        <w:spacing w:after="0" w:line="175" w:lineRule="exact"/>
        <w:rPr>
          <w:rFonts w:ascii="Times New Roman" w:cs="Times New Roman" w:eastAsia="Times New Roman" w:hAnsi="Times New Roman"/>
          <w:sz w:val="18"/>
          <w:szCs w:val="18"/>
          <w:color w:val="auto"/>
        </w:rPr>
      </w:pPr>
    </w:p>
    <w:p>
      <w:pPr>
        <w:ind w:left="2400" w:hanging="603"/>
        <w:spacing w:after="0" w:line="293" w:lineRule="auto"/>
        <w:tabs>
          <w:tab w:leader="none" w:pos="2389"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work is conflicting with, and would lead to a potential breach of, then current binding agreement(s) between the Rejecting Party and a Third Party;</w:t>
      </w:r>
    </w:p>
    <w:p>
      <w:pPr>
        <w:spacing w:after="0" w:line="140" w:lineRule="exact"/>
        <w:rPr>
          <w:rFonts w:ascii="Times New Roman" w:cs="Times New Roman" w:eastAsia="Times New Roman" w:hAnsi="Times New Roman"/>
          <w:sz w:val="18"/>
          <w:szCs w:val="18"/>
          <w:color w:val="auto"/>
        </w:rPr>
      </w:pPr>
    </w:p>
    <w:p>
      <w:pPr>
        <w:ind w:left="2380" w:hanging="583"/>
        <w:spacing w:after="0"/>
        <w:tabs>
          <w:tab w:leader="none" w:pos="2380" w:val="left"/>
        </w:tabs>
        <w:numPr>
          <w:ilvl w:val="2"/>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Rejecting Party can demonstrate that it has a previously established and still ongoing internal program on such target; or</w:t>
      </w:r>
    </w:p>
    <w:p>
      <w:pPr>
        <w:spacing w:after="0" w:line="235" w:lineRule="exact"/>
        <w:rPr>
          <w:rFonts w:ascii="Times New Roman" w:cs="Times New Roman" w:eastAsia="Times New Roman" w:hAnsi="Times New Roman"/>
          <w:sz w:val="17"/>
          <w:szCs w:val="17"/>
          <w:color w:val="auto"/>
        </w:rPr>
      </w:pPr>
    </w:p>
    <w:p>
      <w:pPr>
        <w:ind w:left="2400" w:hanging="603"/>
        <w:spacing w:after="0" w:line="293" w:lineRule="auto"/>
        <w:tabs>
          <w:tab w:leader="none" w:pos="2389"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Rejecting Party considers, on the basis of a reasonable and objective scientific and commercial assessment of the target proposal that such targets are unlikely to be successful.</w:t>
      </w:r>
    </w:p>
    <w:p>
      <w:pPr>
        <w:spacing w:after="0" w:line="1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JSC shall be convened by the Collaboration Coordinators to discuss the above.</w:t>
      </w:r>
    </w:p>
    <w:p>
      <w:pPr>
        <w:spacing w:after="0" w:line="224" w:lineRule="exact"/>
        <w:rPr>
          <w:sz w:val="20"/>
          <w:szCs w:val="20"/>
          <w:color w:val="auto"/>
        </w:rPr>
      </w:pPr>
    </w:p>
    <w:p>
      <w:pPr>
        <w:ind w:left="1800" w:hanging="602"/>
        <w:spacing w:after="0" w:line="278" w:lineRule="auto"/>
        <w:tabs>
          <w:tab w:leader="none" w:pos="179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Party sends the notice referenced in 2.2(b)(i), OMT shall promptly indicate in writing to Molecular Partners whether OMT intends to work on such target:</w:t>
      </w:r>
    </w:p>
    <w:p>
      <w:pPr>
        <w:spacing w:after="0" w:line="166" w:lineRule="exact"/>
        <w:rPr>
          <w:rFonts w:ascii="Times New Roman" w:cs="Times New Roman" w:eastAsia="Times New Roman" w:hAnsi="Times New Roman"/>
          <w:sz w:val="18"/>
          <w:szCs w:val="18"/>
          <w:color w:val="auto"/>
        </w:rPr>
      </w:pPr>
    </w:p>
    <w:p>
      <w:pPr>
        <w:jc w:val="both"/>
        <w:ind w:left="2400" w:hanging="603"/>
        <w:spacing w:after="0" w:line="266" w:lineRule="auto"/>
        <w:tabs>
          <w:tab w:leader="none" w:pos="2389"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present agreement or under the RDC Agreement provided that OMT shall not be entitled to opt for such work to be undertaken under the RDC Agreement: (a) if the target is already designated as a Restricted Target; or (b) without prejudice to OMT’s rights of Opt-In under this Agreement, where Molecular Partners has performed validation of a target prior to Molecular Partners issuing a Target Notice for that target, and Molecular Partners notifies OMT that Molecular Partners does not agree to that target being brought under the RDC Agreement; or (c) if the addition of the target to the RDC Agreement would lead to the number of Additional Candidates under the RDC Agreement increasing above [***] in total. For the avoidance of doubt, (i) all targets for which OMT has</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800"/>
        <w:spacing w:after="0" w:line="278" w:lineRule="auto"/>
        <w:rPr>
          <w:sz w:val="20"/>
          <w:szCs w:val="20"/>
          <w:color w:val="auto"/>
        </w:rPr>
      </w:pPr>
      <w:r>
        <w:rPr>
          <w:rFonts w:ascii="Times New Roman" w:cs="Times New Roman" w:eastAsia="Times New Roman" w:hAnsi="Times New Roman"/>
          <w:sz w:val="18"/>
          <w:szCs w:val="18"/>
          <w:color w:val="auto"/>
        </w:rPr>
        <w:t>opted to work on under the RDC Agreement shall be subject to that agreement only, and the following terms under this Agreement shall only apply in relation to other targets; and (ii) such targets will not be counted against the two Opt-In targets pursuant to Section 5 below; and</w:t>
      </w:r>
    </w:p>
    <w:p>
      <w:pPr>
        <w:spacing w:after="0" w:line="167" w:lineRule="exact"/>
        <w:rPr>
          <w:sz w:val="20"/>
          <w:szCs w:val="20"/>
          <w:color w:val="auto"/>
        </w:rPr>
      </w:pPr>
    </w:p>
    <w:p>
      <w:pPr>
        <w:jc w:val="both"/>
        <w:ind w:left="1800" w:hanging="603"/>
        <w:spacing w:after="0" w:line="289" w:lineRule="auto"/>
        <w:tabs>
          <w:tab w:leader="none" w:pos="1789" w:val="left"/>
        </w:tabs>
        <w:numPr>
          <w:ilvl w:val="2"/>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Exclusive Product or as a Non-Exclusive Product hereunder, provided that the scope of any exclusivity restriction applicable to any Alternative Technology and any other core commercial terms relevant to such Alternative Technology shall be agreed in writing on a case by case basis by the Parties, before any target incorporating such Alternative Technology can be designated an Exclusive Product or a Non-Exclusive Product hereunder (“</w:t>
      </w:r>
      <w:r>
        <w:rPr>
          <w:rFonts w:ascii="Times New Roman" w:cs="Times New Roman" w:eastAsia="Times New Roman" w:hAnsi="Times New Roman"/>
          <w:sz w:val="17"/>
          <w:szCs w:val="17"/>
          <w:b w:val="1"/>
          <w:bCs w:val="1"/>
          <w:color w:val="auto"/>
        </w:rPr>
        <w:t>Alternative Technology Terms</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1200" w:hanging="602"/>
        <w:spacing w:after="0" w:line="267" w:lineRule="auto"/>
        <w:tabs>
          <w:tab w:leader="none" w:pos="119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Rejecting Party refuses to work on a target no Target Exclusivity Provisions shall apply to that target for either Party. Further, if requested by the Party that submitted the Target Notice, the Rejecting Party shall consider in good faith removing the Technology Exclusivity Provisions in respect of such target. In the absence of an agreement, both Parties shall continue to be subject to Section 2.4(a)(i) of the RDC Agreement, for so long as the RDC Agreement remains in force, or unless otherwise agreed by the Parties.</w:t>
      </w:r>
    </w:p>
    <w:p>
      <w:pPr>
        <w:spacing w:after="0" w:line="178" w:lineRule="exact"/>
        <w:rPr>
          <w:rFonts w:ascii="Times New Roman" w:cs="Times New Roman" w:eastAsia="Times New Roman" w:hAnsi="Times New Roman"/>
          <w:sz w:val="18"/>
          <w:szCs w:val="18"/>
          <w:color w:val="auto"/>
        </w:rPr>
      </w:pPr>
    </w:p>
    <w:p>
      <w:pPr>
        <w:jc w:val="both"/>
        <w:ind w:left="600" w:hanging="600"/>
        <w:spacing w:after="0" w:line="271" w:lineRule="auto"/>
        <w:tabs>
          <w:tab w:leader="none" w:pos="59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target is not accepted as a New Candidate under this Section 2.2 then the Agreement shall terminate with respect to such target, subject to Sections 2.2(b)(iii) 11.5(a) and 11.5(b). For the avoidance of doubt, all licenses granted under Section 9 shall terminate with respect to such target.</w:t>
      </w:r>
    </w:p>
    <w:p>
      <w:pPr>
        <w:spacing w:after="0" w:line="173" w:lineRule="exact"/>
        <w:rPr>
          <w:sz w:val="20"/>
          <w:szCs w:val="20"/>
          <w:color w:val="auto"/>
        </w:rPr>
      </w:pPr>
    </w:p>
    <w:p>
      <w:pPr>
        <w:jc w:val="both"/>
        <w:ind w:left="600" w:hanging="600"/>
        <w:spacing w:after="0" w:line="285" w:lineRule="auto"/>
        <w:tabs>
          <w:tab w:leader="none" w:pos="591"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 Business Days of the other Party’s acceptance to work on a target, the Parties shall enter into a Material Transfer Agreement substantially in the form of the MTA entered into by the Parties in relation to DLL3 (the “</w:t>
      </w:r>
      <w:r>
        <w:rPr>
          <w:rFonts w:ascii="Times New Roman" w:cs="Times New Roman" w:eastAsia="Times New Roman" w:hAnsi="Times New Roman"/>
          <w:sz w:val="17"/>
          <w:szCs w:val="17"/>
          <w:b w:val="1"/>
          <w:bCs w:val="1"/>
          <w:i w:val="1"/>
          <w:iCs w:val="1"/>
          <w:color w:val="auto"/>
        </w:rPr>
        <w:t>MTA</w:t>
      </w:r>
      <w:r>
        <w:rPr>
          <w:rFonts w:ascii="Times New Roman" w:cs="Times New Roman" w:eastAsia="Times New Roman" w:hAnsi="Times New Roman"/>
          <w:sz w:val="17"/>
          <w:szCs w:val="17"/>
          <w:color w:val="auto"/>
        </w:rPr>
        <w:t>”), provided that (i) the [***] (ii) the standard term of an MTA shall be [***], but may be longer or subsequently extended by mutual agreement of the Parties such agreement not to be unreasonably withheld, delayed or conditioned and (iii) the terms of Section 9 (Intellectual Property) and 12 (</w:t>
      </w: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 shall be applied with respect to all matters concerning IPR and confidentiality and necessary adjustments shall be made to reflect applicable materials flows. A target shall be referred to as a New Candidate once a corresponding MTA has been entered into by the Parties.</w:t>
      </w:r>
    </w:p>
    <w:p>
      <w:pPr>
        <w:spacing w:after="0" w:line="152" w:lineRule="exact"/>
        <w:rPr>
          <w:rFonts w:ascii="Times New Roman" w:cs="Times New Roman" w:eastAsia="Times New Roman" w:hAnsi="Times New Roman"/>
          <w:sz w:val="17"/>
          <w:szCs w:val="17"/>
          <w:color w:val="auto"/>
        </w:rPr>
      </w:pPr>
    </w:p>
    <w:p>
      <w:pPr>
        <w:jc w:val="both"/>
        <w:ind w:left="600" w:hanging="600"/>
        <w:spacing w:after="0" w:line="273" w:lineRule="auto"/>
        <w:tabs>
          <w:tab w:leader="none" w:pos="5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limitation on the number of targets proposed by the Parties, provided however that (i) the Parties shall not be obliged to work under this Agreement (including MTAs pursuant to this Section 2.2) on more than [***] targets under a MTA and on more than [***] New Candidates (in vivo) in parallel and (ii) with respect to a New Candidate that is an Exclusive Product (including those proposed by OMT under a Target Notice), such work remains subject to the Total Studies Cap.</w:t>
      </w:r>
    </w:p>
    <w:p>
      <w:pPr>
        <w:spacing w:after="0" w:line="172" w:lineRule="exact"/>
        <w:rPr>
          <w:rFonts w:ascii="Times New Roman" w:cs="Times New Roman" w:eastAsia="Times New Roman" w:hAnsi="Times New Roman"/>
          <w:sz w:val="18"/>
          <w:szCs w:val="18"/>
          <w:color w:val="auto"/>
        </w:rPr>
      </w:pPr>
    </w:p>
    <w:p>
      <w:pPr>
        <w:jc w:val="both"/>
        <w:ind w:left="600" w:hanging="600"/>
        <w:spacing w:after="0" w:line="271" w:lineRule="auto"/>
        <w:tabs>
          <w:tab w:leader="none" w:pos="59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substitute a target in the R&amp;D Program provided that both Parties agree on such substitution (each acting reasonably). To effect such substitution, the Party proposing a substitution shall notify the other Party in writing and shall provide all relevant technical, scientific, safety and therapeutic information about the proposed</w:t>
      </w:r>
    </w:p>
    <w:p>
      <w:pPr>
        <w:sectPr>
          <w:pgSz w:w="11900" w:h="16838" w:orient="portrait"/>
          <w:cols w:equalWidth="0" w:num="1">
            <w:col w:w="10640"/>
          </w:cols>
          <w:pgMar w:left="9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substitution target, including how it will impact the R&amp;D Program and the benefits and risks of substitution over the target it will replace.</w:t>
      </w:r>
    </w:p>
    <w:p>
      <w:pPr>
        <w:spacing w:after="0" w:line="224" w:lineRule="exact"/>
        <w:rPr>
          <w:sz w:val="20"/>
          <w:szCs w:val="20"/>
          <w:color w:val="auto"/>
        </w:rPr>
      </w:pPr>
    </w:p>
    <w:p>
      <w:pPr>
        <w:jc w:val="both"/>
        <w:ind w:left="1200" w:hanging="600"/>
        <w:spacing w:after="0" w:line="269" w:lineRule="auto"/>
        <w:tabs>
          <w:tab w:leader="none" w:pos="119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of the earlier of (i) the completion of the preclinical activities contemplated in the MTA with respect to any given New Candidate and (ii) the term of the MTA with respect to such New Candidate, Molecular Partners can notify OMT that the New Candidate is nominated as a Collaboration Product, by serving a notice in writing on OMT (each a “</w:t>
      </w:r>
      <w:r>
        <w:rPr>
          <w:rFonts w:ascii="Times New Roman" w:cs="Times New Roman" w:eastAsia="Times New Roman" w:hAnsi="Times New Roman"/>
          <w:sz w:val="18"/>
          <w:szCs w:val="18"/>
          <w:b w:val="1"/>
          <w:bCs w:val="1"/>
          <w:i w:val="1"/>
          <w:iCs w:val="1"/>
          <w:color w:val="auto"/>
        </w:rPr>
        <w:t>Collaboration Product Notice</w:t>
      </w:r>
      <w:r>
        <w:rPr>
          <w:rFonts w:ascii="Times New Roman" w:cs="Times New Roman" w:eastAsia="Times New Roman" w:hAnsi="Times New Roman"/>
          <w:sz w:val="18"/>
          <w:szCs w:val="18"/>
          <w:color w:val="auto"/>
        </w:rPr>
        <w:t>”), with respect to up to a maximum of [***] Collaboration Products.</w:t>
      </w:r>
    </w:p>
    <w:p>
      <w:pPr>
        <w:spacing w:after="0" w:line="173"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shall indicate in the Collaboration Product Notice, or in response to an Opt-In Notice in accordance with Section 5.3, whether a Collaboration Product is a Restricted Product. Molecular Partners shall not designate as a Restricted Product:</w:t>
      </w:r>
    </w:p>
    <w:p>
      <w:pPr>
        <w:spacing w:after="0" w:line="153" w:lineRule="exact"/>
        <w:rPr>
          <w:rFonts w:ascii="Times New Roman" w:cs="Times New Roman" w:eastAsia="Times New Roman" w:hAnsi="Times New Roman"/>
          <w:sz w:val="18"/>
          <w:szCs w:val="18"/>
          <w:color w:val="auto"/>
        </w:rPr>
      </w:pPr>
    </w:p>
    <w:p>
      <w:pPr>
        <w:ind w:left="1800" w:hanging="602"/>
        <w:spacing w:after="0" w:line="293" w:lineRule="auto"/>
        <w:tabs>
          <w:tab w:leader="none" w:pos="179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immediately successive Collaboration Product for which OMT wishes to Opt-In as follows a Collaboration Product designated as a Restricted Product; or</w:t>
      </w:r>
    </w:p>
    <w:p>
      <w:pPr>
        <w:spacing w:after="0" w:line="140" w:lineRule="exact"/>
        <w:rPr>
          <w:rFonts w:ascii="Times New Roman" w:cs="Times New Roman" w:eastAsia="Times New Roman" w:hAnsi="Times New Roman"/>
          <w:sz w:val="18"/>
          <w:szCs w:val="18"/>
          <w:color w:val="auto"/>
        </w:rPr>
      </w:pPr>
    </w:p>
    <w:p>
      <w:pPr>
        <w:jc w:val="both"/>
        <w:ind w:left="1800" w:hanging="602"/>
        <w:spacing w:after="0" w:line="278" w:lineRule="auto"/>
        <w:tabs>
          <w:tab w:leader="none" w:pos="179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Product that corresponds to a target proposed by OMT in a Target Notice, provided that where a target proposed by OMT is substituted in accordance with Section 2.2(e) with a target proposed by Molecular Partners, the prohibition in this Section 2.2(g)(ii) shall not apply to the substituted target,</w:t>
      </w:r>
    </w:p>
    <w:p>
      <w:pPr>
        <w:spacing w:after="0" w:line="167" w:lineRule="exact"/>
        <w:rPr>
          <w:rFonts w:ascii="Times New Roman" w:cs="Times New Roman" w:eastAsia="Times New Roman" w:hAnsi="Times New Roman"/>
          <w:sz w:val="18"/>
          <w:szCs w:val="18"/>
          <w:color w:val="auto"/>
        </w:rPr>
      </w:pPr>
    </w:p>
    <w:p>
      <w:pPr>
        <w:jc w:val="both"/>
        <w:ind w:left="180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always that if a New Candidate or Collaboration Product that has been designated as a Restricted Product fails and is terminated hereunder, Molecular Partners’ right to designate an additional New Candidate or Collaboration Product as a Restricted Product shall be renewed on and always subject to this Section (g). For the avoidance of doubt, this renewal right is not limited to a single use (i.e., where multiple Restricted Products have failed).</w:t>
      </w:r>
    </w:p>
    <w:p>
      <w:pPr>
        <w:spacing w:after="0" w:line="173" w:lineRule="exact"/>
        <w:rPr>
          <w:rFonts w:ascii="Times New Roman" w:cs="Times New Roman" w:eastAsia="Times New Roman" w:hAnsi="Times New Roman"/>
          <w:sz w:val="18"/>
          <w:szCs w:val="18"/>
          <w:color w:val="auto"/>
        </w:rPr>
      </w:pPr>
    </w:p>
    <w:p>
      <w:pPr>
        <w:jc w:val="both"/>
        <w:ind w:left="1200" w:hanging="600"/>
        <w:spacing w:after="0" w:line="278" w:lineRule="auto"/>
        <w:tabs>
          <w:tab w:leader="none" w:pos="118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Candidate notified to OMT under a Collaboration Product Notice shall be considered a Collaboration Product. A Collaboration Product will remain subject to its Exclusive Product or Non-Exclusive Product, Restricted Product designation, as applicable, and all rights and obligations in relation thereto under this Agreement shall apply unless otherwise agreed.</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1200" w:hanging="600"/>
        <w:spacing w:after="0" w:line="293" w:lineRule="auto"/>
        <w:tabs>
          <w:tab w:leader="none" w:pos="119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Research Term, the Parties shall conduct the R&amp;D Program pursuant to the terms and conditions set forth in Section 4, whereby the Parties agree that:</w:t>
      </w:r>
    </w:p>
    <w:p>
      <w:pPr>
        <w:spacing w:after="0" w:line="153"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w:t>
      </w:r>
    </w:p>
    <w:p>
      <w:pPr>
        <w:spacing w:after="0" w:line="223" w:lineRule="exact"/>
        <w:rPr>
          <w:rFonts w:ascii="Times New Roman" w:cs="Times New Roman" w:eastAsia="Times New Roman" w:hAnsi="Times New Roman"/>
          <w:sz w:val="18"/>
          <w:szCs w:val="18"/>
          <w:color w:val="auto"/>
        </w:rPr>
      </w:pPr>
    </w:p>
    <w:p>
      <w:pPr>
        <w:ind w:left="2380" w:hanging="583"/>
        <w:spacing w:after="0"/>
        <w:tabs>
          <w:tab w:leader="none" w:pos="238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Exclusive [***] contribute and [***] all [***] described in the R&amp;D Plan, in each case up to determination of the</w:t>
      </w:r>
    </w:p>
    <w:p>
      <w:pPr>
        <w:spacing w:after="0" w:line="24" w:lineRule="exact"/>
        <w:rPr>
          <w:rFonts w:ascii="Times New Roman" w:cs="Times New Roman" w:eastAsia="Times New Roman" w:hAnsi="Times New Roman"/>
          <w:sz w:val="18"/>
          <w:szCs w:val="18"/>
          <w:color w:val="auto"/>
        </w:rPr>
      </w:pPr>
    </w:p>
    <w:p>
      <w:pPr>
        <w:ind w:left="2400" w:hanging="5"/>
        <w:spacing w:after="0" w:line="273" w:lineRule="auto"/>
        <w:tabs>
          <w:tab w:leader="none" w:pos="2843" w:val="left"/>
        </w:tabs>
        <w:numPr>
          <w:ilvl w:val="3"/>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Exclusive Product as required under the R&amp;D Program for that Exclusive Product, within the limits of the aggregate time and resources set out in Exhibit B ( “</w:t>
      </w:r>
      <w:r>
        <w:rPr>
          <w:rFonts w:ascii="Times New Roman" w:cs="Times New Roman" w:eastAsia="Times New Roman" w:hAnsi="Times New Roman"/>
          <w:sz w:val="18"/>
          <w:szCs w:val="18"/>
          <w:b w:val="1"/>
          <w:bCs w:val="1"/>
          <w:i w:val="1"/>
          <w:iCs w:val="1"/>
          <w:color w:val="auto"/>
        </w:rPr>
        <w:t>Total Studies Cap</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color w:val="auto"/>
        </w:rPr>
      </w:pPr>
    </w:p>
    <w:p>
      <w:pPr>
        <w:ind w:left="2380" w:hanging="583"/>
        <w:spacing w:after="0"/>
        <w:tabs>
          <w:tab w:leader="none" w:pos="238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Non-Exclusive Product, [***] but no more than [***] each for [***].</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800" w:hanging="602"/>
        <w:spacing w:after="0" w:line="273" w:lineRule="auto"/>
        <w:tabs>
          <w:tab w:leader="none" w:pos="179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shall contribute and complete all Development activity time and resource (including both internal and external cost and expense) under the R&amp;D Program for Exclusive Products and Non-Exclusive Products including by being responsible for the conduct of [***]. The Parties share the objective that the final report and full data package of the [***] be received by both Parties no later than [***] after conclusion of such study.</w:t>
      </w:r>
    </w:p>
    <w:p>
      <w:pPr>
        <w:spacing w:after="0" w:line="159" w:lineRule="exact"/>
        <w:rPr>
          <w:rFonts w:ascii="Times New Roman" w:cs="Times New Roman" w:eastAsia="Times New Roman" w:hAnsi="Times New Roman"/>
          <w:sz w:val="18"/>
          <w:szCs w:val="18"/>
          <w:color w:val="auto"/>
        </w:rPr>
      </w:pPr>
    </w:p>
    <w:p>
      <w:pPr>
        <w:jc w:val="both"/>
        <w:ind w:left="1800" w:hanging="602"/>
        <w:spacing w:after="0" w:line="278" w:lineRule="auto"/>
        <w:tabs>
          <w:tab w:leader="none" w:pos="179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perform the respective activities allocated to them under the R&amp;D Program in good scientific manner and in compliance with all Applicable Laws, and, subject to the limits provided above, shall allocate sufficient time, effort, equipment, and skilled personnel as necessary to complete such activities successfully and promptly.</w:t>
      </w:r>
    </w:p>
    <w:p>
      <w:pPr>
        <w:spacing w:after="0" w:line="167"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be entitled to exercise the Opt-In (on a maximum of two occasions) in accordance with Section 5 in relation to Collaboration Products that are Exclusive Products and that are not Restricted Products, and provided that [***] until the [***].</w:t>
      </w:r>
    </w:p>
    <w:p>
      <w:pPr>
        <w:spacing w:after="0" w:line="140"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 has [***] (other than to the extent [***] will be construed [***] in which case, [***] may (i) [***] or, alternatively, or cumulatively if after [***] from the Target Notice (ii) elect [***];</w:t>
      </w:r>
    </w:p>
    <w:p>
      <w:pPr>
        <w:spacing w:after="0" w:line="153" w:lineRule="exact"/>
        <w:rPr>
          <w:rFonts w:ascii="Times New Roman" w:cs="Times New Roman" w:eastAsia="Times New Roman" w:hAnsi="Times New Roman"/>
          <w:sz w:val="18"/>
          <w:szCs w:val="18"/>
          <w:color w:val="auto"/>
        </w:rPr>
      </w:pPr>
    </w:p>
    <w:p>
      <w:pPr>
        <w:jc w:val="both"/>
        <w:ind w:left="1200" w:hanging="600"/>
        <w:spacing w:after="0" w:line="267" w:lineRule="auto"/>
        <w:tabs>
          <w:tab w:leader="none" w:pos="118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given Collaboration Product that is not an Opt-In Product and subject to the Collaboration Product receiving MAA and appropriate reimbursement approvals in a country of the Territory, Molecular Partners shall use Commercially Reasonable Efforts to Commercialize such Collaboration Product in such part of the Territory as Molecular Partners shall reasonably nominate (taking due account of all dependencies upon OMT or its Affiliates for the fulfilment of such Commercialization obligations (including as to supply and associated logistics)).</w:t>
      </w:r>
    </w:p>
    <w:p>
      <w:pPr>
        <w:spacing w:after="0" w:line="178" w:lineRule="exact"/>
        <w:rPr>
          <w:rFonts w:ascii="Times New Roman" w:cs="Times New Roman" w:eastAsia="Times New Roman" w:hAnsi="Times New Roman"/>
          <w:sz w:val="18"/>
          <w:szCs w:val="18"/>
          <w:color w:val="auto"/>
        </w:rPr>
      </w:pPr>
    </w:p>
    <w:p>
      <w:pPr>
        <w:ind w:left="1200" w:hanging="600"/>
        <w:spacing w:after="0" w:line="278" w:lineRule="auto"/>
        <w:tabs>
          <w:tab w:leader="none" w:pos="119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procure that OMM shall enter into the Clinical Supply Agreement and any commercial supply agreement agreed between OMM and Molecular Partners under the RDC Agreement and in accordance with Section 6.</w:t>
      </w:r>
    </w:p>
    <w:p>
      <w:pPr>
        <w:spacing w:after="0" w:line="166" w:lineRule="exact"/>
        <w:rPr>
          <w:rFonts w:ascii="Times New Roman" w:cs="Times New Roman" w:eastAsia="Times New Roman" w:hAnsi="Times New Roman"/>
          <w:sz w:val="18"/>
          <w:szCs w:val="18"/>
          <w:color w:val="auto"/>
        </w:rPr>
      </w:pPr>
    </w:p>
    <w:p>
      <w:pPr>
        <w:jc w:val="both"/>
        <w:ind w:left="1200" w:hanging="600"/>
        <w:spacing w:after="0" w:line="266" w:lineRule="auto"/>
        <w:tabs>
          <w:tab w:leader="none" w:pos="119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may at any time, notify OMT of Molecular Partners’ decision to terminate a R&amp;D Program with respect to a New Candidate or Collaboration Product based on a reasonable and objective scientific assessment of the R&amp;D Program, that the R&amp;D Program is unlikely to lead to a successful Collaboration Product or that Molecular Partners has a bona fide concern regarding the commercial viability of a Collaboration Product, provided that such notice shall include reasonable justification of Molecular Partners’ determination. Any such decision shall first be referred to the JSC for discussion as to whether such termination shall be subject to an Agreed Release Confirmation, but failing agreement of any Agreed Release Confirmation, Molecular Partners can unilaterally end an R&amp;D Program, which will terminate the Agreement with respect to such New Candidate or Collaboration Product, subject to Sections 2.5(c) and 2.5(e).</w:t>
      </w:r>
    </w:p>
    <w:p>
      <w:pPr>
        <w:spacing w:after="0" w:line="18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Application of RDC Agreement Terms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1200" w:hanging="600"/>
        <w:spacing w:after="0" w:line="293" w:lineRule="auto"/>
        <w:tabs>
          <w:tab w:leader="none" w:pos="119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as set out in Exhibit C, which are included by reference to the RDC Agreement Section numbers (and modify those underlying RDC Agreement provisions, as necessary) shall apply to this Agreement.</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200" w:hanging="600"/>
        <w:spacing w:after="0" w:line="267" w:lineRule="auto"/>
        <w:tabs>
          <w:tab w:leader="none" w:pos="11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provisions referred to in Exhibit C, references to the “R&amp;D Plan”, “Collaboration Coordinators(s)”,”Collaboration Products(s)”,“Clinical Supply Agreement” and this “Agreement” are references to the equivalent defined terms under this Agreement, and references to “Exhibit”, “hereto” and “herein” are references to provisions in this Agreement and its Exhibits. Further, references to “OMM” should be interpreted so as to also extend to any other OMT Affiliate who is a party to the Clinical Supply Agreement and any Commercial Supply Agreement from time to time.</w:t>
      </w:r>
    </w:p>
    <w:p>
      <w:pPr>
        <w:spacing w:after="0" w:line="17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Exclusivity for Exclusive Products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designation of exclusivity for a New Candidate pursuant to Section 2.2(b)(ii), as from [***] until the [***], unless with respect to a Party, to the extent the exclusivity described herein (or a part thereof) is specifically terminated in accordance with this Agreement, the Parties shall each respectively procure that they and/or their respective Affiliates shall exclusively (both on a direct and indirect basis) undertake research and Development activities on, and undertake not to directly or indirectly conduct (including through the grant of a license), participate in, fund, on its own or in collaboration with any Third Party or Affiliate, any programs directed to (i) [***] or an [***]; and/or (ii) [***].</w:t>
      </w:r>
    </w:p>
    <w:p>
      <w:pPr>
        <w:spacing w:after="0" w:line="176"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8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JSC determines that the results of the R&amp;D Program with respect to any New Candidate or Collaboration Product are unsatisfactory, the Parties shall consider in good faith terminating this Agreement with respect to the New Candidate or Collaboration Product and if it is an Exclusive Product, releasing Target Exclusivity Provisions and the Technology Exclusivity Provisions with respect to such New Candidate or Collaboration Product (each an “</w:t>
      </w:r>
      <w:r>
        <w:rPr>
          <w:rFonts w:ascii="Times New Roman" w:cs="Times New Roman" w:eastAsia="Times New Roman" w:hAnsi="Times New Roman"/>
          <w:sz w:val="18"/>
          <w:szCs w:val="18"/>
          <w:b w:val="1"/>
          <w:bCs w:val="1"/>
          <w:color w:val="auto"/>
        </w:rPr>
        <w:t>Agreed Release Confirmation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1200" w:hanging="600"/>
        <w:spacing w:after="0" w:line="260" w:lineRule="auto"/>
        <w:tabs>
          <w:tab w:leader="none" w:pos="119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an Agreed Release Confirmation, in the event that a New Candidate is not nominated as a Collaboration Product or that this Agreement is terminated with respect to a New Candidate or Collaboration Product and provided that:(x) such termination is not pursuant to Section 11.2 for OMT’s uncured material breach of its obligations hereunder with respect to such a New Candidate or Collaboration Product; and(y) such termination occurred after successful completion of IND enabling studies for such Collaboration Product, and a candidate on the same target as such New Candidate or Collaboration Product is then subsequently developed by Molecular Partners (on its own or with a Third Party) with an isotope other than Pb212, OMT shall be entitled to a royalty constituting</w:t>
      </w:r>
    </w:p>
    <w:p>
      <w:pPr>
        <w:ind w:left="1200" w:hanging="2"/>
        <w:spacing w:after="0" w:line="288" w:lineRule="auto"/>
        <w:tabs>
          <w:tab w:leader="none" w:pos="164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Royalty Payment hereunder for such candidate (whether a Non Exclusive Product or an Exclusive Product) on and subject to equivalent terms to the provisions of Section 7 (including the applicable step-downs).</w:t>
      </w:r>
    </w:p>
    <w:p>
      <w:pPr>
        <w:spacing w:after="0" w:line="157"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8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OMT acknowledges that Molecular Partners has existing agreements with Third Parties in the Exclusive Field as summarized in Exhibit A (such agreements in their current form being referred to as the “</w:t>
      </w:r>
      <w:r>
        <w:rPr>
          <w:rFonts w:ascii="Times New Roman" w:cs="Times New Roman" w:eastAsia="Times New Roman" w:hAnsi="Times New Roman"/>
          <w:sz w:val="18"/>
          <w:szCs w:val="18"/>
          <w:b w:val="1"/>
          <w:bCs w:val="1"/>
          <w:color w:val="auto"/>
        </w:rPr>
        <w:t>Existing Contracts</w:t>
      </w:r>
      <w:r>
        <w:rPr>
          <w:rFonts w:ascii="Times New Roman" w:cs="Times New Roman" w:eastAsia="Times New Roman" w:hAnsi="Times New Roman"/>
          <w:sz w:val="18"/>
          <w:szCs w:val="18"/>
          <w:color w:val="auto"/>
        </w:rPr>
        <w:t>”) and agrees that Molecular Partners remains entitled to perform its obligations under the Existing Contracts and that such performance shall not constitute a breach of the exclusivity obligations hereunder as long as such Existing Contracts are not expanded.</w:t>
      </w:r>
    </w:p>
    <w:p>
      <w:pPr>
        <w:spacing w:after="0" w:line="173"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Molecular Partners has terminated an R&amp;D Program pursuant to Section 2.3(f), and provided that such termination is not pursuant to Section 11.2 for OMT’s uncured material breach of its obligations hereunder with respect to such a New Candidate or Collaboration</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0"/>
        <w:spacing w:after="0" w:line="293" w:lineRule="auto"/>
        <w:rPr>
          <w:sz w:val="20"/>
          <w:szCs w:val="20"/>
          <w:color w:val="auto"/>
        </w:rPr>
      </w:pPr>
      <w:r>
        <w:rPr>
          <w:rFonts w:ascii="Times New Roman" w:cs="Times New Roman" w:eastAsia="Times New Roman" w:hAnsi="Times New Roman"/>
          <w:sz w:val="18"/>
          <w:szCs w:val="18"/>
          <w:color w:val="auto"/>
        </w:rPr>
        <w:t>Product or any uncured material breach by OMM of the Clinical Supply Agreement, OMT may notify Molecular Partners that it wishes to continue to Develop and potentially Commercialize such New Candidate or Collaboration Product, and elect, at its discretion, to:</w:t>
      </w:r>
    </w:p>
    <w:p>
      <w:pPr>
        <w:spacing w:after="0" w:line="153" w:lineRule="exact"/>
        <w:rPr>
          <w:sz w:val="20"/>
          <w:szCs w:val="20"/>
          <w:color w:val="auto"/>
        </w:rPr>
      </w:pPr>
    </w:p>
    <w:p>
      <w:pPr>
        <w:jc w:val="both"/>
        <w:ind w:left="1200" w:hanging="602"/>
        <w:spacing w:after="0" w:line="260" w:lineRule="auto"/>
        <w:tabs>
          <w:tab w:leader="none" w:pos="119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such Development outside of this Agreement, in which case: (x) Molecular Partners’ performance obligations under this Agreement pursuant to such New Candidate or Collaboration Product shall be deemed terminated; such New Candidate or Collaboration Product shall cease to be a New Candidate or Collaboration Product under this Agreement; and (y) OMT shall pay</w:t>
      </w:r>
    </w:p>
    <w:p>
      <w:pPr>
        <w:spacing w:after="0" w:line="2" w:lineRule="exact"/>
        <w:rPr>
          <w:rFonts w:ascii="Times New Roman" w:cs="Times New Roman" w:eastAsia="Times New Roman" w:hAnsi="Times New Roman"/>
          <w:sz w:val="18"/>
          <w:szCs w:val="18"/>
          <w:color w:val="auto"/>
        </w:rPr>
      </w:pPr>
    </w:p>
    <w:p>
      <w:pPr>
        <w:jc w:val="both"/>
        <w:ind w:left="1200" w:hanging="3"/>
        <w:spacing w:after="0" w:line="272" w:lineRule="auto"/>
        <w:tabs>
          <w:tab w:leader="none" w:pos="1646"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New Candidate or Collaboration Product. If a candidate on the same target as such New Candidate or Collaboration Product is then subsequently Commercialized by OMT (on its own or with a Third Party), Molecular Partners shall be entitled to a royalty constituting [***] on and subject to equivalent terms to the provisions of Section 7 (including the applicable step-downs); or</w:t>
      </w:r>
    </w:p>
    <w:p>
      <w:pPr>
        <w:spacing w:after="0" w:line="159" w:lineRule="exact"/>
        <w:rPr>
          <w:rFonts w:ascii="Times New Roman" w:cs="Times New Roman" w:eastAsia="Times New Roman" w:hAnsi="Times New Roman"/>
          <w:sz w:val="18"/>
          <w:szCs w:val="18"/>
          <w:color w:val="auto"/>
        </w:rPr>
      </w:pPr>
    </w:p>
    <w:p>
      <w:pPr>
        <w:jc w:val="both"/>
        <w:ind w:left="1200" w:hanging="602"/>
        <w:spacing w:after="0" w:line="264" w:lineRule="auto"/>
        <w:tabs>
          <w:tab w:leader="none" w:pos="119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the lead for the Development of such New Candidate or Collaboration Product under this Agreement, in which case OMT shall have the applicable rights and assume the applicable obligations of Molecular Partners pursuant to Sections 2.3, 3 and 4 each applied mutatis mutandis and Molecular Partners shall have the applicable rights and assume the applicable obligations of OMT pursuant to Sections 2.3, 3 and 4 each applied mutatis mutandis provided that the Parties will discuss in good faith to reach an agreement as to their respective responsibilities under this new structure (including as to the approach to exclusivity). Unless otherwise agreed by Molecular Partners, OMT may not exercise it rights of Opt-In in respect of such Collaboration Product. For the purposes of Section 7, OMT shall be the Exploiting Party in respect of such New Candidate or Collaboration Product. For the avoidance of doubt, Molecular Partners shall provide DARPins to OMT and related support consistent with its obligations under the Commercial Supply Agreement or Clinical Supply Agreement (as applicable), which shall continue to apply mutatis mutandis solely with respect to such activities.</w:t>
      </w:r>
    </w:p>
    <w:p>
      <w:pPr>
        <w:spacing w:after="0" w:line="179" w:lineRule="exact"/>
        <w:rPr>
          <w:rFonts w:ascii="Times New Roman" w:cs="Times New Roman" w:eastAsia="Times New Roman" w:hAnsi="Times New Roman"/>
          <w:sz w:val="18"/>
          <w:szCs w:val="18"/>
          <w:color w:val="auto"/>
        </w:rPr>
      </w:pPr>
    </w:p>
    <w:p>
      <w:pPr>
        <w:jc w:val="both"/>
        <w:ind w:left="600" w:hanging="600"/>
        <w:spacing w:after="0" w:line="264" w:lineRule="auto"/>
        <w:tabs>
          <w:tab w:leader="none" w:pos="59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pursuant to Section 11.2 and an Agreed Release Confirmation has not been agreed by the Parties for any New Candidate or Collaboration Product that is an Exclusive Product, the Target Exclusivity Provisions and Technology Exclusivity Provisions under Section 2.5(a)(i) of this Agreement shall survive for the Party in default for a period of [***] following the default (and for the avoidance of doubt, the Technology Exclusivity Provisions under Section 2.4(a)(i) of the RDC Agreement shall survive as long as the RDC Agreement is in force), while the non-defaulting Party shall be released from its obligations under the Target Exclusivity Provisions and Technology Exclusivity Provisions provided always that the [***], or is [***]. If an Agreed Release Confirmation has been agreed by the Parties for any New Candidate or Collaboration Product that is an Exclusive Product, then the terms of that Agreed Release Confirmation shall take priority over this Section 2.5(f).</w:t>
      </w:r>
    </w:p>
    <w:p>
      <w:pPr>
        <w:sectPr>
          <w:pgSz w:w="11900" w:h="16838" w:orient="portrait"/>
          <w:cols w:equalWidth="0" w:num="1">
            <w:col w:w="10640"/>
          </w:cols>
          <w:pgMar w:left="920" w:top="1440" w:right="339"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Exclusivity Obligations in case of Change of Control</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Party becomes subject to a Change of Control after the Effective Date, and (ii), as of the closing date of such transaction or the date such Party enters into such transaction, the Third Party involved in the Change of Control or its Affiliates at such time (the “</w:t>
      </w:r>
      <w:r>
        <w:rPr>
          <w:rFonts w:ascii="Times New Roman" w:cs="Times New Roman" w:eastAsia="Times New Roman" w:hAnsi="Times New Roman"/>
          <w:sz w:val="18"/>
          <w:szCs w:val="18"/>
          <w:b w:val="1"/>
          <w:bCs w:val="1"/>
          <w:i w:val="1"/>
          <w:iCs w:val="1"/>
          <w:color w:val="auto"/>
        </w:rPr>
        <w:t>Acquiror Group</w:t>
      </w:r>
      <w:r>
        <w:rPr>
          <w:rFonts w:ascii="Times New Roman" w:cs="Times New Roman" w:eastAsia="Times New Roman" w:hAnsi="Times New Roman"/>
          <w:sz w:val="18"/>
          <w:szCs w:val="18"/>
          <w:color w:val="auto"/>
        </w:rPr>
        <w:t>”) is engaged in the Development manufacture, or Commercialization of a Competing Program (such Change of Control, a “</w:t>
      </w:r>
      <w:r>
        <w:rPr>
          <w:rFonts w:ascii="Times New Roman" w:cs="Times New Roman" w:eastAsia="Times New Roman" w:hAnsi="Times New Roman"/>
          <w:sz w:val="18"/>
          <w:szCs w:val="18"/>
          <w:b w:val="1"/>
          <w:bCs w:val="1"/>
          <w:i w:val="1"/>
          <w:iCs w:val="1"/>
          <w:color w:val="auto"/>
        </w:rPr>
        <w:t>Competing CoC</w:t>
      </w:r>
      <w:r>
        <w:rPr>
          <w:rFonts w:ascii="Times New Roman" w:cs="Times New Roman" w:eastAsia="Times New Roman" w:hAnsi="Times New Roman"/>
          <w:sz w:val="18"/>
          <w:szCs w:val="18"/>
          <w:color w:val="auto"/>
        </w:rPr>
        <w:t>”), such Party shall notify the other Party as soon as reasonably possible after the first public disclosure or signing of the transaction (provided this may be disclosed without breaching regulatory requirements).</w:t>
      </w:r>
    </w:p>
    <w:p>
      <w:pPr>
        <w:spacing w:after="0" w:line="178"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Competing CoC becoming effective:</w:t>
      </w:r>
    </w:p>
    <w:p>
      <w:pPr>
        <w:spacing w:after="0" w:line="223"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being subject to the Competing CoC shall [***] or [***];</w:t>
      </w:r>
    </w:p>
    <w:p>
      <w:pPr>
        <w:spacing w:after="0" w:line="223"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 the Party being subject to the Competing CoC [***], or Commercialization of a Competing Program;</w:t>
      </w:r>
    </w:p>
    <w:p>
      <w:pPr>
        <w:spacing w:after="0" w:line="210"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circumstances, the Parties shall [***] are subject to [***]; and</w:t>
      </w:r>
    </w:p>
    <w:p>
      <w:pPr>
        <w:spacing w:after="0" w:line="223" w:lineRule="exact"/>
        <w:rPr>
          <w:rFonts w:ascii="Times New Roman" w:cs="Times New Roman" w:eastAsia="Times New Roman" w:hAnsi="Times New Roman"/>
          <w:sz w:val="18"/>
          <w:szCs w:val="18"/>
          <w:color w:val="auto"/>
        </w:rPr>
      </w:pPr>
    </w:p>
    <w:p>
      <w:pPr>
        <w:ind w:left="1800" w:hanging="602"/>
        <w:spacing w:after="0" w:line="293" w:lineRule="auto"/>
        <w:tabs>
          <w:tab w:leader="none" w:pos="1799"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Party being subject to the Competing CoC [***] of the [***]. If the Remaining Party is [***] for the [***]. For the avoidance of doubt, the Party being subject to the [***]</w:t>
      </w:r>
    </w:p>
    <w:p>
      <w:pPr>
        <w:spacing w:after="0" w:line="151" w:lineRule="exact"/>
        <w:rPr>
          <w:rFonts w:ascii="Times New Roman" w:cs="Times New Roman" w:eastAsia="Times New Roman" w:hAnsi="Times New Roman"/>
          <w:sz w:val="18"/>
          <w:szCs w:val="18"/>
          <w:color w:val="auto"/>
        </w:rPr>
      </w:pPr>
    </w:p>
    <w:p>
      <w:pPr>
        <w:ind w:left="600" w:hanging="599"/>
        <w:spacing w:after="0"/>
        <w:tabs>
          <w:tab w:leader="none" w:pos="60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GOVERNANCE</w:t>
      </w:r>
    </w:p>
    <w:p>
      <w:pPr>
        <w:spacing w:after="0" w:line="21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Collaboration Coordinators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600" w:firstLine="9"/>
        <w:spacing w:after="0" w:line="271" w:lineRule="auto"/>
        <w:tabs>
          <w:tab w:leader="none" w:pos="120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Collaboration Coordinators shall be appointed by the Parties under this Agreement at the Effective Date, matching those individuals currently appointed by the Parties under the RDC Agreement. Each Party may in its sole discretion replace its Collaboration Coordinator under this Agreement at any time by notice in writing to the other Party. In addition to the roles and responsibilities of the Collaboration Coordinators set out in the RDC Agreement (as effective under this agreement pursuant to Section 2.4), the Collaboration Coordinators shall ensure that the Parties coordinate the governance activity across each of the RDC Agreement and this Agreement to avoid duplication and minimise conflicts.</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Joint Steering Committee</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jc w:val="both"/>
        <w:ind w:left="1200" w:hanging="600"/>
        <w:spacing w:after="0" w:line="279" w:lineRule="auto"/>
        <w:tabs>
          <w:tab w:leader="none" w:pos="119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Responsibilities</w:t>
      </w:r>
      <w:r>
        <w:rPr>
          <w:rFonts w:ascii="Times New Roman" w:cs="Times New Roman" w:eastAsia="Times New Roman" w:hAnsi="Times New Roman"/>
          <w:sz w:val="18"/>
          <w:szCs w:val="18"/>
          <w:color w:val="auto"/>
        </w:rPr>
        <w:t xml:space="preserve">. The Parties representatives under the </w:t>
      </w:r>
      <w:r>
        <w:rPr>
          <w:rFonts w:ascii="Times New Roman" w:cs="Times New Roman" w:eastAsia="Times New Roman" w:hAnsi="Times New Roman"/>
          <w:sz w:val="18"/>
          <w:szCs w:val="18"/>
          <w:i w:val="1"/>
          <w:iCs w:val="1"/>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JSC</w:t>
      </w:r>
      <w:r>
        <w:rPr>
          <w:rFonts w:ascii="Times New Roman" w:cs="Times New Roman" w:eastAsia="Times New Roman" w:hAnsi="Times New Roman"/>
          <w:sz w:val="18"/>
          <w:szCs w:val="18"/>
          <w:color w:val="auto"/>
        </w:rPr>
        <w:t>” for this Agreement shall consist of the [***] representatives appointed by each of OMT and Molecular Partners under the RDC Agreement and they shall have the following responsibility for coordinating all activities under, and pursuant to, this Agreement.</w:t>
      </w:r>
    </w:p>
    <w:p>
      <w:pPr>
        <w:spacing w:after="0" w:line="166" w:lineRule="exact"/>
        <w:rPr>
          <w:rFonts w:ascii="Times New Roman" w:cs="Times New Roman" w:eastAsia="Times New Roman" w:hAnsi="Times New Roman"/>
          <w:sz w:val="18"/>
          <w:szCs w:val="18"/>
          <w:color w:val="auto"/>
        </w:rPr>
      </w:pPr>
    </w:p>
    <w:p>
      <w:pPr>
        <w:jc w:val="both"/>
        <w:ind w:left="1800" w:hanging="602"/>
        <w:spacing w:after="0" w:line="271" w:lineRule="auto"/>
        <w:tabs>
          <w:tab w:leader="none" w:pos="1799"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coordinate and facilitate the exchange of information between the Parties in compliance with this Agreement in order to ensure that significant regulatory, technical scientific or safety issues concerning the activities hereunder are addressed consistently and in a timely manner.</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0" w:hanging="602"/>
        <w:spacing w:after="0" w:line="293" w:lineRule="auto"/>
        <w:tabs>
          <w:tab w:leader="none" w:pos="119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discuss the then current R&amp;D Plan for each New Candidate and Collaboration Product and any updates thereto pursuant to Section 4.2(c).</w:t>
      </w:r>
    </w:p>
    <w:p>
      <w:pPr>
        <w:spacing w:after="0" w:line="153" w:lineRule="exact"/>
        <w:rPr>
          <w:rFonts w:ascii="Times New Roman" w:cs="Times New Roman" w:eastAsia="Times New Roman" w:hAnsi="Times New Roman"/>
          <w:sz w:val="18"/>
          <w:szCs w:val="18"/>
          <w:color w:val="auto"/>
        </w:rPr>
      </w:pPr>
    </w:p>
    <w:p>
      <w:pPr>
        <w:jc w:val="both"/>
        <w:ind w:left="1200" w:hanging="603"/>
        <w:spacing w:after="0" w:line="271" w:lineRule="auto"/>
        <w:tabs>
          <w:tab w:leader="none" w:pos="119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(without prejudicing any pre-agreed timelines and subject to Section 4.2(c)) review, comment on and approve all regulatory filings and communications for the Collaboration Products and shall discuss and decide on matters concerning Clinical Trials performed under a R&amp;D Plan.</w:t>
      </w:r>
    </w:p>
    <w:p>
      <w:pPr>
        <w:spacing w:after="0" w:line="172" w:lineRule="exact"/>
        <w:rPr>
          <w:rFonts w:ascii="Times New Roman" w:cs="Times New Roman" w:eastAsia="Times New Roman" w:hAnsi="Times New Roman"/>
          <w:sz w:val="18"/>
          <w:szCs w:val="18"/>
          <w:color w:val="auto"/>
        </w:rPr>
      </w:pPr>
    </w:p>
    <w:p>
      <w:pPr>
        <w:ind w:left="1200" w:hanging="603"/>
        <w:spacing w:after="0" w:line="293" w:lineRule="auto"/>
        <w:tabs>
          <w:tab w:leader="none" w:pos="119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may discuss issues relating to any proposed publication, communication or other disclosure regarding a New Candidate, Collaboration Product or activities conducted under this Agreement.</w:t>
      </w:r>
    </w:p>
    <w:p>
      <w:pPr>
        <w:spacing w:after="0" w:line="153" w:lineRule="exact"/>
        <w:rPr>
          <w:rFonts w:ascii="Times New Roman" w:cs="Times New Roman" w:eastAsia="Times New Roman" w:hAnsi="Times New Roman"/>
          <w:sz w:val="18"/>
          <w:szCs w:val="18"/>
          <w:color w:val="auto"/>
        </w:rPr>
      </w:pPr>
    </w:p>
    <w:p>
      <w:pPr>
        <w:jc w:val="both"/>
        <w:ind w:left="1200" w:hanging="603"/>
        <w:spacing w:after="0" w:line="271" w:lineRule="auto"/>
        <w:tabs>
          <w:tab w:leader="none" w:pos="118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discuss and, as applicable, try to resolve any disputed financial aspects arising from Royalty Payments and more generally, the JSC shall try to resolve any dispute or claim arising out of, relating to or in connection with any provision of this Agreement.</w:t>
      </w:r>
    </w:p>
    <w:p>
      <w:pPr>
        <w:spacing w:after="0" w:line="172" w:lineRule="exact"/>
        <w:rPr>
          <w:rFonts w:ascii="Times New Roman" w:cs="Times New Roman" w:eastAsia="Times New Roman" w:hAnsi="Times New Roman"/>
          <w:sz w:val="18"/>
          <w:szCs w:val="18"/>
          <w:color w:val="auto"/>
        </w:rPr>
      </w:pPr>
    </w:p>
    <w:p>
      <w:pPr>
        <w:jc w:val="both"/>
        <w:ind w:left="1200" w:hanging="603"/>
        <w:spacing w:after="0" w:line="278" w:lineRule="auto"/>
        <w:tabs>
          <w:tab w:leader="none" w:pos="119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may agree to establish one or more subcommittees operating under its authority to address technical, financial, intellectual property and operational issues arising from activities conducted under this Agreement and establish the operating rules and delegated competencies thereof.</w:t>
      </w:r>
    </w:p>
    <w:p>
      <w:pPr>
        <w:spacing w:after="0" w:line="155" w:lineRule="exact"/>
        <w:rPr>
          <w:sz w:val="20"/>
          <w:szCs w:val="20"/>
          <w:color w:val="auto"/>
        </w:rPr>
      </w:pPr>
    </w:p>
    <w:p>
      <w:pPr>
        <w:ind w:left="600"/>
        <w:spacing w:after="0" w:line="293" w:lineRule="auto"/>
        <w:rPr>
          <w:sz w:val="20"/>
          <w:szCs w:val="20"/>
          <w:color w:val="auto"/>
        </w:rPr>
      </w:pPr>
      <w:r>
        <w:rPr>
          <w:rFonts w:ascii="Times New Roman" w:cs="Times New Roman" w:eastAsia="Times New Roman" w:hAnsi="Times New Roman"/>
          <w:sz w:val="18"/>
          <w:szCs w:val="18"/>
          <w:color w:val="auto"/>
        </w:rPr>
        <w:t>For the avoidance of doubt, as long as both the RDC Agreement and this Agreement are in effect, the JSC shall be the same under both agreements.</w:t>
      </w:r>
    </w:p>
    <w:p>
      <w:pPr>
        <w:spacing w:after="0" w:line="153" w:lineRule="exact"/>
        <w:rPr>
          <w:sz w:val="20"/>
          <w:szCs w:val="20"/>
          <w:color w:val="auto"/>
        </w:rPr>
      </w:pPr>
    </w:p>
    <w:p>
      <w:pPr>
        <w:jc w:val="both"/>
        <w:ind w:left="600" w:hanging="600"/>
        <w:spacing w:after="0" w:line="267" w:lineRule="auto"/>
        <w:tabs>
          <w:tab w:leader="none" w:pos="5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Consensus</w:t>
      </w:r>
      <w:r>
        <w:rPr>
          <w:rFonts w:ascii="Times New Roman" w:cs="Times New Roman" w:eastAsia="Times New Roman" w:hAnsi="Times New Roman"/>
          <w:sz w:val="18"/>
          <w:szCs w:val="18"/>
          <w:color w:val="auto"/>
        </w:rPr>
        <w:t>. [***] of the JSC will constitute a quorum for any meeting, provided that at least [***] representative from each Party is present. Decisions of the JSC shall be based on the consensus of representatives of both Parties. In the event that the JSC cannot agree on a matter at a JSC meeting or within a period of [***] thereafter, such matter or dispute shall be escalated to OMT and Molecular Partners’ respective Executive Officers, who shall confer in good faith on the resolution of the issue and attempt to decide on such matter or settle such dispute within [***], or such longer period as may be mutually agreed. Any final decision mutually agreed to by the Executive Officers shall be conclusive and binding on the Parties.</w:t>
      </w:r>
    </w:p>
    <w:p>
      <w:pPr>
        <w:spacing w:after="0" w:line="176" w:lineRule="exact"/>
        <w:rPr>
          <w:sz w:val="20"/>
          <w:szCs w:val="20"/>
          <w:color w:val="auto"/>
        </w:rPr>
      </w:pPr>
    </w:p>
    <w:p>
      <w:pPr>
        <w:ind w:hanging="595"/>
        <w:spacing w:after="0" w:line="293" w:lineRule="auto"/>
        <w:rPr>
          <w:sz w:val="20"/>
          <w:szCs w:val="20"/>
          <w:color w:val="auto"/>
        </w:rPr>
      </w:pPr>
      <w:r>
        <w:rPr>
          <w:rFonts w:ascii="Times New Roman" w:cs="Times New Roman" w:eastAsia="Times New Roman" w:hAnsi="Times New Roman"/>
          <w:sz w:val="18"/>
          <w:szCs w:val="18"/>
          <w:color w:val="auto"/>
        </w:rPr>
        <w:t>3.3</w:t>
      </w:r>
      <w:r>
        <w:rPr>
          <w:sz w:val="20"/>
          <w:szCs w:val="20"/>
          <w:color w:val="auto"/>
        </w:rPr>
        <w:t xml:space="preserve"> </w:t>
      </w: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In the event that the respective Executive Officers cannot decide on the matter or settle such dispute within the designated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period set forth in Section 3.2(b), the following shall apply during the Term with respect to any given New Candidate or Collaboration Product:</w:t>
      </w:r>
    </w:p>
    <w:p>
      <w:pPr>
        <w:spacing w:after="0" w:line="140" w:lineRule="exact"/>
        <w:rPr>
          <w:sz w:val="20"/>
          <w:szCs w:val="20"/>
          <w:color w:val="auto"/>
        </w:rPr>
      </w:pPr>
    </w:p>
    <w:p>
      <w:pPr>
        <w:ind w:left="600" w:hanging="600"/>
        <w:spacing w:after="0" w:line="293" w:lineRule="auto"/>
        <w:tabs>
          <w:tab w:leader="none" w:pos="59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shall have final decision-making authority for all [***] and any [***], provided that [***]. For the avoidance of doubt [***] shall have sole decision making authority with respect to, without limitation:</w:t>
      </w:r>
    </w:p>
    <w:p>
      <w:pPr>
        <w:spacing w:after="0" w:line="153"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updated by the Parties by mutual written agreement, if applicable);</w:t>
      </w:r>
    </w:p>
    <w:p>
      <w:pPr>
        <w:spacing w:after="0" w:line="223"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0640"/>
          </w:cols>
          <w:pgMar w:left="920" w:top="1440" w:right="33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780" w:hanging="582"/>
        <w:spacing w:after="0"/>
        <w:tabs>
          <w:tab w:leader="none" w:pos="178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3"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 shall have final decision-making authority with respect to the [***] and the [***], provided that [***], in each case, as long as the [***].</w:t>
      </w:r>
    </w:p>
    <w:p>
      <w:pPr>
        <w:spacing w:after="0" w:line="140" w:lineRule="exact"/>
        <w:rPr>
          <w:rFonts w:ascii="Times New Roman" w:cs="Times New Roman" w:eastAsia="Times New Roman" w:hAnsi="Times New Roman"/>
          <w:sz w:val="18"/>
          <w:szCs w:val="18"/>
          <w:color w:val="auto"/>
        </w:rPr>
      </w:pPr>
    </w:p>
    <w:p>
      <w:pPr>
        <w:jc w:val="both"/>
        <w:ind w:left="1200" w:hanging="600"/>
        <w:spacing w:after="0" w:line="278" w:lineRule="auto"/>
        <w:tabs>
          <w:tab w:leader="none" w:pos="119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resolve the matter of dispute through their Executive Officers as set forth in Section 3.2(b), and subject to [***] final decision making authority pursuant to Section 3.2(a), OMT and Molecular Partners shall submit the matter to a mediation by experts in accordance with the procedure agreed under Section 3.3(e) of the RDC Agreement (applying mutatis mutandis).</w:t>
      </w:r>
    </w:p>
    <w:p>
      <w:pPr>
        <w:spacing w:after="0" w:line="167" w:lineRule="exact"/>
        <w:rPr>
          <w:rFonts w:ascii="Times New Roman" w:cs="Times New Roman" w:eastAsia="Times New Roman" w:hAnsi="Times New Roman"/>
          <w:sz w:val="18"/>
          <w:szCs w:val="18"/>
          <w:color w:val="auto"/>
        </w:rPr>
      </w:pPr>
    </w:p>
    <w:p>
      <w:pPr>
        <w:jc w:val="both"/>
        <w:ind w:left="1200" w:hanging="600"/>
        <w:spacing w:after="0" w:line="271" w:lineRule="auto"/>
        <w:tabs>
          <w:tab w:leader="none" w:pos="118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exercising its final decision making pursuant to this Section 3.3, neither Party shall have the authority to increase the obligations of the other Party, diminish the rights of the other Party or otherwise modify the MTA, this Agreement, the Clinical Supply Agreement or any commercial supply agreement.</w:t>
      </w:r>
    </w:p>
    <w:p>
      <w:pPr>
        <w:spacing w:after="0" w:line="173" w:lineRule="exact"/>
        <w:rPr>
          <w:sz w:val="20"/>
          <w:szCs w:val="20"/>
          <w:color w:val="auto"/>
        </w:rPr>
      </w:pPr>
    </w:p>
    <w:p>
      <w:pPr>
        <w:ind w:left="600" w:hanging="595"/>
        <w:spacing w:after="0" w:line="293" w:lineRule="auto"/>
        <w:tabs>
          <w:tab w:leader="none" w:pos="5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Dissolution of the JSC</w:t>
      </w:r>
      <w:r>
        <w:rPr>
          <w:rFonts w:ascii="Times New Roman" w:cs="Times New Roman" w:eastAsia="Times New Roman" w:hAnsi="Times New Roman"/>
          <w:sz w:val="18"/>
          <w:szCs w:val="18"/>
          <w:color w:val="auto"/>
        </w:rPr>
        <w:t>. The JSC shall extend to the subsequent Development (including conduct of Clinical Trials), of subsequent New Candidates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Collaboration Products.</w:t>
      </w:r>
    </w:p>
    <w:p>
      <w:pPr>
        <w:spacing w:after="0" w:line="151" w:lineRule="exact"/>
        <w:rPr>
          <w:sz w:val="20"/>
          <w:szCs w:val="20"/>
          <w:color w:val="auto"/>
        </w:rPr>
      </w:pPr>
    </w:p>
    <w:p>
      <w:pPr>
        <w:ind w:left="600" w:hanging="599"/>
        <w:spacing w:after="0"/>
        <w:tabs>
          <w:tab w:leader="none" w:pos="60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R&amp;D PROGRAM</w:t>
      </w:r>
    </w:p>
    <w:p>
      <w:pPr>
        <w:spacing w:after="0" w:line="21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R&amp;D Program</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Irrespective of which Party submitted a Target Notice, Molecular Partners shall research and Develop the New Candidates and Collaboration Products and OMT shall contribute to that research and Development as agreed in the MTA and the R&amp;D Plan, subject always to Section 2.3(a) (with respect to each New Candidate or Collaboration Product a “</w:t>
      </w:r>
      <w:r>
        <w:rPr>
          <w:rFonts w:ascii="Times New Roman" w:cs="Times New Roman" w:eastAsia="Times New Roman" w:hAnsi="Times New Roman"/>
          <w:sz w:val="18"/>
          <w:szCs w:val="18"/>
          <w:b w:val="1"/>
          <w:bCs w:val="1"/>
          <w:i w:val="1"/>
          <w:iCs w:val="1"/>
          <w:color w:val="auto"/>
        </w:rPr>
        <w:t>R&amp;D Program</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R&amp;D Plans and Budgets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2" w:lineRule="auto"/>
        <w:tabs>
          <w:tab w:leader="none" w:pos="119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Program shall be performed, on a New Candidate by New Candidate and Collaboration Product-by-Collaboration Product basis and, where relevant, a country-by-country basis, in accordance with a general work plan which shall describe, in reasonable detail, the research and Development activities and phases to be performed under the R&amp;D Program for the relevant product, including pre-clinical study designs, clinical trial descriptions for all proposed targets, specific activities and deliverables to be performed and provided by the Parties, estimated timelines, and key milestones (“</w:t>
      </w:r>
      <w:r>
        <w:rPr>
          <w:rFonts w:ascii="Times New Roman" w:cs="Times New Roman" w:eastAsia="Times New Roman" w:hAnsi="Times New Roman"/>
          <w:sz w:val="18"/>
          <w:szCs w:val="18"/>
          <w:b w:val="1"/>
          <w:bCs w:val="1"/>
          <w:i w:val="1"/>
          <w:iCs w:val="1"/>
          <w:color w:val="auto"/>
        </w:rPr>
        <w:t>R&amp;D Plan</w:t>
      </w:r>
      <w:r>
        <w:rPr>
          <w:rFonts w:ascii="Times New Roman" w:cs="Times New Roman" w:eastAsia="Times New Roman" w:hAnsi="Times New Roman"/>
          <w:sz w:val="18"/>
          <w:szCs w:val="18"/>
          <w:color w:val="auto"/>
        </w:rPr>
        <w:t>”) as well as the associated estimated costs per study, subject to the Total Studies Cap (“</w:t>
      </w:r>
      <w:r>
        <w:rPr>
          <w:rFonts w:ascii="Times New Roman" w:cs="Times New Roman" w:eastAsia="Times New Roman" w:hAnsi="Times New Roman"/>
          <w:sz w:val="18"/>
          <w:szCs w:val="18"/>
          <w:b w:val="1"/>
          <w:bCs w:val="1"/>
          <w:i w:val="1"/>
          <w:iCs w:val="1"/>
          <w:color w:val="auto"/>
        </w:rPr>
        <w:t>R&amp;D Budget</w:t>
      </w:r>
      <w:r>
        <w:rPr>
          <w:rFonts w:ascii="Times New Roman" w:cs="Times New Roman" w:eastAsia="Times New Roman" w:hAnsi="Times New Roman"/>
          <w:sz w:val="18"/>
          <w:szCs w:val="18"/>
          <w:color w:val="auto"/>
        </w:rPr>
        <w:t>”). The R&amp;D Budget shall include the estimated costs and expenses of Development (including external and internal, and notably CMC development costs) for the relevant product in each Calendar Year of the corresponding Term, including the Clinical Transfer Price and all Logistics Costs which shall borne by Molecular Partners on and subject to the terms of the Clinical Supply Agreement. The initial R&amp;D Budget will cover the [***] period from the first target nomination; provided that, if the assumptions set out in the R&amp;D Budget were to vary without OMT’s agreement, OMT shall not be bound to continue performing the affected activities and the Parties shall confer to discuss how to adjust the R&amp;D Budget accordingly.</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hanging="600"/>
        <w:spacing w:after="0" w:line="293" w:lineRule="auto"/>
        <w:tabs>
          <w:tab w:leader="none" w:pos="11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each target nomination and subject to Section 3.3(a), the Parties will agree on a R&amp;D Plan and corresponding R&amp;D Budget for the applicable New Candidate and Collaboration Product.</w:t>
      </w:r>
    </w:p>
    <w:p>
      <w:pPr>
        <w:spacing w:after="0" w:line="153"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review and, as required, update the then current R&amp;D Plans at least [***] provided that such revisions shall be always consistent with applicable industry standards for that New Candidate or Collaboration Product;</w:t>
      </w:r>
    </w:p>
    <w:p>
      <w:pPr>
        <w:spacing w:after="0" w:line="140"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R&amp;D Program and prior to any Opt-In by OMT:</w:t>
      </w:r>
    </w:p>
    <w:p>
      <w:pPr>
        <w:spacing w:after="0" w:line="223" w:lineRule="exact"/>
        <w:rPr>
          <w:rFonts w:ascii="Times New Roman" w:cs="Times New Roman" w:eastAsia="Times New Roman" w:hAnsi="Times New Roman"/>
          <w:sz w:val="18"/>
          <w:szCs w:val="18"/>
          <w:color w:val="auto"/>
        </w:rPr>
      </w:pPr>
    </w:p>
    <w:p>
      <w:pPr>
        <w:jc w:val="both"/>
        <w:ind w:left="1800" w:hanging="602"/>
        <w:spacing w:after="0" w:line="273" w:lineRule="auto"/>
        <w:tabs>
          <w:tab w:leader="none" w:pos="179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shall be responsible for certain pre-clinical/clinical and other Development activities with respect to the New Candidates and Collaboration Products subject to OMT providing input with respect to Development and integration of the TAT Technology or Alternative Technology under its Control and such other Development activity as assigned to OMT in the corresponding R&amp;D Plan;</w:t>
      </w:r>
    </w:p>
    <w:p>
      <w:pPr>
        <w:spacing w:after="0" w:line="159" w:lineRule="exact"/>
        <w:rPr>
          <w:rFonts w:ascii="Times New Roman" w:cs="Times New Roman" w:eastAsia="Times New Roman" w:hAnsi="Times New Roman"/>
          <w:sz w:val="18"/>
          <w:szCs w:val="18"/>
          <w:color w:val="auto"/>
        </w:rPr>
      </w:pPr>
    </w:p>
    <w:p>
      <w:pPr>
        <w:jc w:val="both"/>
        <w:ind w:left="1800" w:hanging="602"/>
        <w:spacing w:after="0" w:line="273" w:lineRule="auto"/>
        <w:tabs>
          <w:tab w:leader="none" w:pos="179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be responsible for certain pre-clinical/clinical and other Development activities with respect to the New Candidates and Collaboration Products as assigned to OMT in the corresponding R&amp;D Plan subject to Molecular Partners providing input with respect to Development and integration of the DARPin Technology and its Alternative Technology (if applicable) as set out in the corresponding R&amp;D Plan; and</w:t>
      </w:r>
    </w:p>
    <w:p>
      <w:pPr>
        <w:spacing w:after="0" w:line="159" w:lineRule="exact"/>
        <w:rPr>
          <w:rFonts w:ascii="Times New Roman" w:cs="Times New Roman" w:eastAsia="Times New Roman" w:hAnsi="Times New Roman"/>
          <w:sz w:val="18"/>
          <w:szCs w:val="18"/>
          <w:color w:val="auto"/>
        </w:rPr>
      </w:pPr>
    </w:p>
    <w:p>
      <w:pPr>
        <w:jc w:val="both"/>
        <w:ind w:left="1800" w:hanging="602"/>
        <w:spacing w:after="0" w:line="273" w:lineRule="auto"/>
        <w:tabs>
          <w:tab w:leader="none" w:pos="179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Opt-In, Molecular Partners shall be the regulatory lead for any Clinical Trials and any subsequent CTA/IND/BLA submissions and OMT shall not have a role in the Development or regulatory affairs of the Collaboration Products beyond the Development activities set out in the R&amp;D Plan, provided however Molecular Partners shall provide regular updates and seek input from OMT especially for Exclusive Products.</w:t>
      </w:r>
    </w:p>
    <w:p>
      <w:pPr>
        <w:spacing w:after="0" w:line="16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Clinical Trials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9" w:lineRule="auto"/>
        <w:tabs>
          <w:tab w:leader="none" w:pos="119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Opt-In by OMT, Molecular Partners shall be the Sponsor for all Clinical Trials of the Collaboration Products, with sole discretion as to the clinical trial design or protocol development for any Clinical Trial or the Clinical Trial footprint (site mapping). Molecular Partners shall provide OMT through the JSC with regular updates as to the design, results and progress of such Clinical Trials and will consider and seek to include OMT’s comments in good faith.</w:t>
      </w:r>
    </w:p>
    <w:p>
      <w:pPr>
        <w:spacing w:after="0" w:line="173"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w:t>
      </w:r>
    </w:p>
    <w:p>
      <w:pPr>
        <w:spacing w:after="0" w:line="223" w:lineRule="exact"/>
        <w:rPr>
          <w:rFonts w:ascii="Times New Roman" w:cs="Times New Roman" w:eastAsia="Times New Roman" w:hAnsi="Times New Roman"/>
          <w:sz w:val="18"/>
          <w:szCs w:val="18"/>
          <w:color w:val="auto"/>
        </w:rPr>
      </w:pPr>
    </w:p>
    <w:p>
      <w:pPr>
        <w:jc w:val="both"/>
        <w:ind w:left="1800" w:hanging="602"/>
        <w:spacing w:after="0" w:line="267" w:lineRule="auto"/>
        <w:tabs>
          <w:tab w:leader="none" w:pos="179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provision of all reasonably necessary support (including technical, CMC and consulting support) as is required with respect to CTA/IND/BLA submissions and their respective activities designated in the R&amp;D Plan, including setting up the supply chain for the supply of the Collaboration Products, to the exclusion of those components supplied by Molecular Partners or its subcontractors, including as to [***] (as the case may be), [***] (and associated logistics arrangements) in compliance with Nuclear Activity Laws all subject to a reasonable agreed lead time for initiation of Clinical Trials.</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0" w:hanging="602"/>
        <w:spacing w:after="0" w:line="293" w:lineRule="auto"/>
        <w:tabs>
          <w:tab w:leader="none" w:pos="179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Molecular Partners with any reasonable assistance as required by any interactions with Regulatory Authorities in relation to a Collaboration Product;</w:t>
      </w:r>
    </w:p>
    <w:p>
      <w:pPr>
        <w:spacing w:after="0" w:line="153" w:lineRule="exact"/>
        <w:rPr>
          <w:rFonts w:ascii="Times New Roman" w:cs="Times New Roman" w:eastAsia="Times New Roman" w:hAnsi="Times New Roman"/>
          <w:sz w:val="18"/>
          <w:szCs w:val="18"/>
          <w:color w:val="auto"/>
        </w:rPr>
      </w:pPr>
    </w:p>
    <w:p>
      <w:pPr>
        <w:ind w:left="1800" w:hanging="602"/>
        <w:spacing w:after="0" w:line="293" w:lineRule="auto"/>
        <w:tabs>
          <w:tab w:leader="none" w:pos="179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or procure its relevant Affiliates or subcontractors are available, for the auditing or qualification activities, under such terms as may be agreed between the Parties with respect to such Affiliates; and</w:t>
      </w:r>
    </w:p>
    <w:p>
      <w:pPr>
        <w:spacing w:after="0" w:line="140"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any other responsibilities as may be agreed upon by the Parties.</w:t>
      </w:r>
    </w:p>
    <w:p>
      <w:pPr>
        <w:spacing w:after="0" w:line="224" w:lineRule="exact"/>
        <w:rPr>
          <w:sz w:val="20"/>
          <w:szCs w:val="20"/>
          <w:color w:val="auto"/>
        </w:rPr>
      </w:pPr>
    </w:p>
    <w:p>
      <w:pPr>
        <w:ind w:left="1200" w:hanging="600"/>
        <w:spacing w:after="0" w:line="293" w:lineRule="auto"/>
        <w:tabs>
          <w:tab w:leader="none" w:pos="119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ensure compliance with all Applicable Laws pertaining to safety reporting for the Clinical Trials set forth in an R&amp;D Plan and related safety activities in relation to a Collaboration Product.</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Regulatory Filings, Ownership</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Subject to any Opt-In by OMT with respect to an applicable Collaboration Product, Molecular Partners will be responsible for the preparation and filing of all Regulatory Documentation under the relevant R&amp;D Program, including (as applicable) filing the CTA/IND/BLA, and other regulatory filings, and for all regulatory communications concerning the Collaboration Products (subject to OMM’s right and obligation, as long as it is the Manufacturer of the Collaboration Product, to submit filings comprising Regulatory Documentation relating to the Manufacturing of the Collaboration Product or as relates to 212Pb).</w:t>
      </w:r>
    </w:p>
    <w:p>
      <w:pPr>
        <w:spacing w:after="0" w:line="166" w:lineRule="exact"/>
        <w:rPr>
          <w:sz w:val="20"/>
          <w:szCs w:val="20"/>
          <w:color w:val="auto"/>
        </w:rPr>
      </w:pPr>
    </w:p>
    <w:p>
      <w:pPr>
        <w:jc w:val="both"/>
        <w:ind w:left="600" w:hanging="595"/>
        <w:spacing w:after="0" w:line="273" w:lineRule="auto"/>
        <w:tabs>
          <w:tab w:leader="none" w:pos="5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Drug Master Files; Rights of Reference</w:t>
      </w:r>
      <w:r>
        <w:rPr>
          <w:rFonts w:ascii="Times New Roman" w:cs="Times New Roman" w:eastAsia="Times New Roman" w:hAnsi="Times New Roman"/>
          <w:sz w:val="18"/>
          <w:szCs w:val="18"/>
          <w:color w:val="auto"/>
        </w:rPr>
        <w:t>. OMT shall procure that Molecular Partners is afforded rights of access and reference with respect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Regulatory Documentation of OMT and its Affiliates (other than OMM) to the extent such Regulatory Documentation falls within OMT Background, equivalent to those granted to Molecular Partners under the Clinical Supply Agreement by OMM and that, where necessary, it shall provide appropriate notification of such access and reference rights to the applicable Regulatory Authorities.</w:t>
      </w:r>
    </w:p>
    <w:p>
      <w:pPr>
        <w:spacing w:after="0" w:line="160" w:lineRule="exact"/>
        <w:rPr>
          <w:sz w:val="20"/>
          <w:szCs w:val="20"/>
          <w:color w:val="auto"/>
        </w:rPr>
      </w:pPr>
    </w:p>
    <w:p>
      <w:pPr>
        <w:jc w:val="both"/>
        <w:ind w:left="600" w:hanging="595"/>
        <w:spacing w:after="0" w:line="273" w:lineRule="auto"/>
        <w:tabs>
          <w:tab w:leader="none" w:pos="5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Notwithstanding Section 9, the Parties agree that any and all Data shall be jointly owned in equal shares by the Parties to the extent such Data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are related to joint activities and not either Party’s Background IPR. The Parties shall grant to each other the right to use the Data, in such manner as set forth in Section 4.1. The Parties acknowledge and agree that any use of the Data which requires the consent of a patient must comply with the terms of the corresponding Patient’s Informed Consent Form (“</w:t>
      </w:r>
      <w:r>
        <w:rPr>
          <w:rFonts w:ascii="Times New Roman" w:cs="Times New Roman" w:eastAsia="Times New Roman" w:hAnsi="Times New Roman"/>
          <w:sz w:val="18"/>
          <w:szCs w:val="18"/>
          <w:i w:val="1"/>
          <w:iCs w:val="1"/>
          <w:color w:val="auto"/>
        </w:rPr>
        <w:t>ICF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0" w:hanging="599"/>
        <w:spacing w:after="0"/>
        <w:tabs>
          <w:tab w:leader="none" w:pos="60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OPT-IN AND CONSEQUENCES OF OPT-IN EXERCISE</w:t>
      </w:r>
    </w:p>
    <w:p>
      <w:pPr>
        <w:spacing w:after="0" w:line="226" w:lineRule="exact"/>
        <w:rPr>
          <w:sz w:val="20"/>
          <w:szCs w:val="20"/>
          <w:color w:val="auto"/>
        </w:rPr>
      </w:pPr>
    </w:p>
    <w:p>
      <w:pPr>
        <w:jc w:val="both"/>
        <w:ind w:left="600" w:hanging="595"/>
        <w:spacing w:after="0" w:line="273" w:lineRule="auto"/>
        <w:tabs>
          <w:tab w:leader="none" w:pos="5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Molecular Partners shall notify OMT [***] of the cost and expense incurred by Molecular Partners with respect to each Exclusive Product and keep OMT regularly informed through the JSC of Development Data and results to each Exclusive Product which is not a Restricted Product in each case from the Effective Date to the Opt-In Date for such Exclusive Product or the Opt-In Date of the second effective Opt-In under this Agreement, if earlier.</w:t>
      </w:r>
    </w:p>
    <w:p>
      <w:pPr>
        <w:spacing w:after="0" w:line="158" w:lineRule="exact"/>
        <w:rPr>
          <w:sz w:val="20"/>
          <w:szCs w:val="20"/>
          <w:color w:val="auto"/>
        </w:rPr>
      </w:pPr>
    </w:p>
    <w:p>
      <w:pPr>
        <w:jc w:val="both"/>
        <w:ind w:left="600" w:hanging="595"/>
        <w:spacing w:after="0" w:line="279" w:lineRule="auto"/>
        <w:tabs>
          <w:tab w:leader="none" w:pos="5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With respect to up to [***] Exclusive Products that are not Restricted Products (each an “</w:t>
      </w:r>
      <w:r>
        <w:rPr>
          <w:rFonts w:ascii="Times New Roman" w:cs="Times New Roman" w:eastAsia="Times New Roman" w:hAnsi="Times New Roman"/>
          <w:sz w:val="18"/>
          <w:szCs w:val="18"/>
          <w:b w:val="1"/>
          <w:bCs w:val="1"/>
          <w:color w:val="auto"/>
        </w:rPr>
        <w:t>Opt-In Product</w:t>
      </w:r>
      <w:r>
        <w:rPr>
          <w:rFonts w:ascii="Times New Roman" w:cs="Times New Roman" w:eastAsia="Times New Roman" w:hAnsi="Times New Roman"/>
          <w:sz w:val="18"/>
          <w:szCs w:val="18"/>
          <w:color w:val="auto"/>
        </w:rPr>
        <w:t>”), OMT shall have the right during the Exclusive Opt-In Period, subject to Section 5.3, to increase its participation in the Development and Commercialization of that Opt-In Product by converting such Opt-In Product to a Collaboration Product that will, from the Opt-In Date,</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8"/>
          <w:szCs w:val="18"/>
          <w:color w:val="auto"/>
        </w:rPr>
        <w:t>comprise a Collaboration Product under the RDC Agreement with OMT as the Sponsor or the then potential applicable Exploiting Party (with the first right to exercise the Option thereunder, subject to satisfaction of Section 6 of the RDC Agreement) for such Collaboration Product (the “</w:t>
      </w:r>
      <w:r>
        <w:rPr>
          <w:rFonts w:ascii="Times New Roman" w:cs="Times New Roman" w:eastAsia="Times New Roman" w:hAnsi="Times New Roman"/>
          <w:sz w:val="18"/>
          <w:szCs w:val="18"/>
          <w:b w:val="1"/>
          <w:bCs w:val="1"/>
          <w:color w:val="auto"/>
        </w:rPr>
        <w:t>Opt-In</w:t>
      </w:r>
      <w:r>
        <w:rPr>
          <w:rFonts w:ascii="Times New Roman" w:cs="Times New Roman" w:eastAsia="Times New Roman" w:hAnsi="Times New Roman"/>
          <w:sz w:val="18"/>
          <w:szCs w:val="18"/>
          <w:color w:val="auto"/>
        </w:rPr>
        <w:t>”). OM shall exercise its rights to Opt-In by providing to Molecular Partners during the Exclusive Opt-In Period, a written notice of proposed Opt-In for the applicable Opt-In Product (“</w:t>
      </w:r>
      <w:r>
        <w:rPr>
          <w:rFonts w:ascii="Times New Roman" w:cs="Times New Roman" w:eastAsia="Times New Roman" w:hAnsi="Times New Roman"/>
          <w:sz w:val="18"/>
          <w:szCs w:val="18"/>
          <w:b w:val="1"/>
          <w:bCs w:val="1"/>
          <w:color w:val="auto"/>
        </w:rPr>
        <w:t>Opt-In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0" w:hanging="595"/>
        <w:spacing w:after="0" w:line="273" w:lineRule="auto"/>
        <w:tabs>
          <w:tab w:leader="none" w:pos="5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Promptly upon receipt of the Opt-In Notice, Molecular Partners shall, to the extent it has not designated a second New Candidate as a Restricted Product and subject to Section 2.2(g) have the right to reject such application in writing with respect to no more than [***] Opt-In Product (subject to any renewal of Molecular Partners’ rights under Section 2.2(g)) by designating that Opt-In Product as a Restricted Product. The first New Candidate shall automatically be a Restricted Product and cannot without specific agreement between the Parties be subject to an Opt-In Notice.</w:t>
      </w:r>
    </w:p>
    <w:p>
      <w:pPr>
        <w:spacing w:after="0" w:line="173" w:lineRule="exact"/>
        <w:rPr>
          <w:sz w:val="20"/>
          <w:szCs w:val="20"/>
          <w:color w:val="auto"/>
        </w:rPr>
      </w:pPr>
    </w:p>
    <w:p>
      <w:pPr>
        <w:jc w:val="both"/>
        <w:ind w:left="600" w:hanging="595"/>
        <w:spacing w:after="0" w:line="278" w:lineRule="auto"/>
        <w:tabs>
          <w:tab w:leader="none" w:pos="5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With respect to an Opt-In Product that is subject to an Opt-In by OMT, such Opt-In shall only be complete and effective once OMT has paid Molecular Partners (and Molecular Partners has received) the Opt-In Sum (the “</w:t>
      </w:r>
      <w:r>
        <w:rPr>
          <w:rFonts w:ascii="Times New Roman" w:cs="Times New Roman" w:eastAsia="Times New Roman" w:hAnsi="Times New Roman"/>
          <w:sz w:val="18"/>
          <w:szCs w:val="18"/>
          <w:b w:val="1"/>
          <w:bCs w:val="1"/>
          <w:color w:val="auto"/>
        </w:rPr>
        <w:t>Opt-In Date</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left="600" w:hanging="595"/>
        <w:spacing w:after="0" w:line="269" w:lineRule="auto"/>
        <w:tabs>
          <w:tab w:leader="none" w:pos="5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consideration payable by OMT with respect to its right to exercise the Opt-In shall be payment to Molecular Partners of [***] of the Development cost and expense incurred by Molecular Partners with respect to the Opt-In Product from the Effective Date to the Opt-In Date (“</w:t>
      </w:r>
      <w:r>
        <w:rPr>
          <w:rFonts w:ascii="Times New Roman" w:cs="Times New Roman" w:eastAsia="Times New Roman" w:hAnsi="Times New Roman"/>
          <w:sz w:val="18"/>
          <w:szCs w:val="18"/>
          <w:b w:val="1"/>
          <w:bCs w:val="1"/>
          <w:color w:val="auto"/>
        </w:rPr>
        <w:t>Opt-In Sum</w:t>
      </w:r>
      <w:r>
        <w:rPr>
          <w:rFonts w:ascii="Times New Roman" w:cs="Times New Roman" w:eastAsia="Times New Roman" w:hAnsi="Times New Roman"/>
          <w:sz w:val="18"/>
          <w:szCs w:val="18"/>
          <w:color w:val="auto"/>
        </w:rPr>
        <w:t>”). Such payment shall be made by OMT to Molecular Partners within forty five (45) days following receipt of a corresponding invoice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Molecular Partners unless otherwise agreed between the Parties.</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On the Opt-In Date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180" w:hanging="580"/>
        <w:spacing w:after="0"/>
        <w:tabs>
          <w:tab w:leader="none" w:pos="11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terminate with respect to the relevant Opt-In Product;</w:t>
      </w:r>
    </w:p>
    <w:p>
      <w:pPr>
        <w:spacing w:after="0" w:line="223" w:lineRule="exact"/>
        <w:rPr>
          <w:rFonts w:ascii="Times New Roman" w:cs="Times New Roman" w:eastAsia="Times New Roman" w:hAnsi="Times New Roman"/>
          <w:sz w:val="18"/>
          <w:szCs w:val="18"/>
          <w:color w:val="auto"/>
        </w:rPr>
      </w:pPr>
    </w:p>
    <w:p>
      <w:pPr>
        <w:jc w:val="both"/>
        <w:ind w:left="1200" w:hanging="600"/>
        <w:spacing w:after="0" w:line="264" w:lineRule="auto"/>
        <w:tabs>
          <w:tab w:leader="none" w:pos="118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be responsible for (at its sole cost and expense) the preparation and filing of all Regulatory Documentation to the extent required to effect to the transfer of Development and Commercialization responsibility for the Opt-In Product undertaken under this Agreement to OMT and any associated data or know how transfer costs; provided that Molecular Partners will use Commercially Reasonable Efforts to transfer the IND and other Regulatory Filings related to the Opt-In Product to OMT within [***] of the Opt-In Date, and shall provide all necessary assistance and documents to OMT so that OMT can act as the sponsor of the Opt-In Product and perform other Development activities assigned to it;</w:t>
      </w:r>
    </w:p>
    <w:p>
      <w:pPr>
        <w:spacing w:after="0" w:line="178" w:lineRule="exact"/>
        <w:rPr>
          <w:rFonts w:ascii="Times New Roman" w:cs="Times New Roman" w:eastAsia="Times New Roman" w:hAnsi="Times New Roman"/>
          <w:sz w:val="18"/>
          <w:szCs w:val="18"/>
          <w:color w:val="auto"/>
        </w:rPr>
      </w:pPr>
    </w:p>
    <w:p>
      <w:pPr>
        <w:jc w:val="both"/>
        <w:ind w:left="1200" w:hanging="600"/>
        <w:spacing w:after="0" w:line="267" w:lineRule="auto"/>
        <w:tabs>
          <w:tab w:leader="none" w:pos="119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RDC Agreement shall be deemed to apply to the Opt-In Product as if it were a Collaboration Product under the RDC Agreement with OMT as the applicable Exploiting Party thereunder, taking responsibility for Sponsorship of Clinical Trials and Commercialization of the Opt-In Product and an amendment of the RDC Agreement shall be agreed to reflect the addition of an additional Collaboration Product. For the avoidance of doubt the Collaboration Cost and profit sharing under the RDC Agreement for the Opt-In Product shall commence on the Opt-In Date; and</w:t>
      </w:r>
    </w:p>
    <w:p>
      <w:pPr>
        <w:spacing w:after="0" w:line="178"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be responsible for the Manufacture of the Opt-In Product and submission of the Manufacturing and Logistics Requirements unless otherwise agreed by the Parties in writing or provided in the Clinical Supply Agreement or Commercial Supply Agreement.</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0" w:hanging="599"/>
        <w:spacing w:after="0"/>
        <w:tabs>
          <w:tab w:leader="none" w:pos="60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AND SUPPLY</w:t>
      </w:r>
    </w:p>
    <w:p>
      <w:pPr>
        <w:spacing w:after="0" w:line="226" w:lineRule="exact"/>
        <w:rPr>
          <w:sz w:val="20"/>
          <w:szCs w:val="20"/>
          <w:color w:val="auto"/>
        </w:rPr>
      </w:pPr>
    </w:p>
    <w:p>
      <w:pPr>
        <w:jc w:val="both"/>
        <w:ind w:left="600" w:hanging="595"/>
        <w:spacing w:after="0" w:line="284" w:lineRule="auto"/>
        <w:tabs>
          <w:tab w:leader="none" w:pos="5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Clinical Supply</w:t>
      </w:r>
      <w:r>
        <w:rPr>
          <w:rFonts w:ascii="Times New Roman" w:cs="Times New Roman" w:eastAsia="Times New Roman" w:hAnsi="Times New Roman"/>
          <w:sz w:val="17"/>
          <w:szCs w:val="17"/>
          <w:color w:val="auto"/>
        </w:rPr>
        <w:t>. The Parties shall ensure Molecular Partners and OMM expand the Clinical Supply Agreement and associated Quality Agreement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negotiated pursuant to the RDC Agreement (on equivalent terms to products that are subject to the RDC Agreement) for each Collaboration Product and, subject to OMM executing the Clinical Supply Agreement (once agreed by the Parties thereto), OMM shall have the exclusive right to Manufacture each Collaboration Product, using Molecular Partners’ supplied DARPin proteins or such other Alternative Technology as may be applicable during the Term on and subject to the terms of the Clinical Supply Agreement. For the avoidance of doubt, if this Agreement is terminated with respect to any Collaboration Product (other than by Molecular Partners under Sections 11.2 or 11.3) , the Clinical Supply Agreement will be terminated with respect to such Collaboration Product, provided that if Molecular Partners is the Sponsor of any ongoing Clinical Trial at the time, the Clinical Supply Agreement will stay in force as long as needed for Molecular Partners to unwind or complete such Clinical Trial .</w:t>
      </w:r>
    </w:p>
    <w:p>
      <w:pPr>
        <w:spacing w:after="0" w:line="150" w:lineRule="exact"/>
        <w:rPr>
          <w:sz w:val="20"/>
          <w:szCs w:val="20"/>
          <w:color w:val="auto"/>
        </w:rPr>
      </w:pPr>
    </w:p>
    <w:p>
      <w:pPr>
        <w:jc w:val="both"/>
        <w:ind w:left="600" w:hanging="595"/>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Commercial Supply</w:t>
      </w:r>
      <w:r>
        <w:rPr>
          <w:rFonts w:ascii="Times New Roman" w:cs="Times New Roman" w:eastAsia="Times New Roman" w:hAnsi="Times New Roman"/>
          <w:sz w:val="18"/>
          <w:szCs w:val="18"/>
          <w:color w:val="auto"/>
        </w:rPr>
        <w:t>. The Parties shall ensure that the Collaboration Products are included in the Commercial Supply Agreement, Quality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pharmacovigilance agreement negotiated pursuant to the RDC Agreement (on equivalent terms to products that are subject to the RDC Agreement) pursuant to which OMM shall have the exclusive right to Manufacture each Collaboration Product, using Molecular Partners’ supplied DARPin proteins or such other Alternative Technology as may be applicable during the Term on and subject to the terms of the Commercial Supply Agreement. For the avoidance of doubt, if this Agreement is terminated (other than by Molecular Partners under Sections 11.2 or 11.3) with respect to any Collaboration Product, the Commercial Supply Agreement will be terminated with respect to such Collaboration Product, subject to any requirements under that agreement relating to termination and any regulatory requirements.</w:t>
      </w:r>
    </w:p>
    <w:p>
      <w:pPr>
        <w:spacing w:after="0" w:line="18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Continuity of supply</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case of a Supply Exit, all Royalty Payments hereunder shall be reduced by thirty-five per cent. (35%) for such impacted Collaboration Product(s). For the avoidance of doubt, in case of a Supply Exit concerning certain Collaboration Products only, OMM shall no longer be the exclusive supplier for such Collaboration Products concerned by the Supply Exit.</w:t>
      </w:r>
    </w:p>
    <w:p>
      <w:pPr>
        <w:spacing w:after="0" w:line="165" w:lineRule="exact"/>
        <w:rPr>
          <w:sz w:val="20"/>
          <w:szCs w:val="20"/>
          <w:color w:val="auto"/>
        </w:rPr>
      </w:pPr>
    </w:p>
    <w:p>
      <w:pPr>
        <w:ind w:left="600" w:hanging="599"/>
        <w:spacing w:after="0"/>
        <w:tabs>
          <w:tab w:leader="none" w:pos="60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FINANCIALS</w:t>
      </w:r>
    </w:p>
    <w:p>
      <w:pPr>
        <w:spacing w:after="0" w:line="22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Royalty Payments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89" w:lineRule="auto"/>
        <w:tabs>
          <w:tab w:leader="none" w:pos="1191"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Royalties</w:t>
      </w:r>
      <w:r>
        <w:rPr>
          <w:rFonts w:ascii="Times New Roman" w:cs="Times New Roman" w:eastAsia="Times New Roman" w:hAnsi="Times New Roman"/>
          <w:sz w:val="17"/>
          <w:szCs w:val="17"/>
          <w:color w:val="auto"/>
        </w:rPr>
        <w:t>. On (i) an Exclusive Product-by-Exclusive Product basis, with respect to Exclusive Products and (ii) a Non-Exclusive Product-by-Non-Exclusive Product basis, with respect to Non-Exclusive Products, the Exploiting Party shall pay royalties (the “</w:t>
      </w:r>
      <w:r>
        <w:rPr>
          <w:rFonts w:ascii="Times New Roman" w:cs="Times New Roman" w:eastAsia="Times New Roman" w:hAnsi="Times New Roman"/>
          <w:sz w:val="17"/>
          <w:szCs w:val="17"/>
          <w:b w:val="1"/>
          <w:bCs w:val="1"/>
          <w:color w:val="auto"/>
        </w:rPr>
        <w:t>Royalty Payment</w:t>
      </w:r>
      <w:r>
        <w:rPr>
          <w:rFonts w:ascii="Times New Roman" w:cs="Times New Roman" w:eastAsia="Times New Roman" w:hAnsi="Times New Roman"/>
          <w:sz w:val="17"/>
          <w:szCs w:val="17"/>
          <w:color w:val="auto"/>
        </w:rPr>
        <w:t>”) to the other Party on the applicable portion of Annual Net Sales of each Exclusive Product or Non-Exclusive Product (as applicable) in the Territory by the Exploiting Party, its Affiliates, and sublicensees at the applicable rate(s) set forth in the applicable tables below:</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30" w:type="dxa"/>
        <w:tblCellMar>
          <w:top w:w="0" w:type="dxa"/>
          <w:left w:w="0" w:type="dxa"/>
          <w:bottom w:w="0" w:type="dxa"/>
          <w:right w:w="0" w:type="dxa"/>
        </w:tblCellMar>
      </w:tblPr>
      <w:tr>
        <w:trPr>
          <w:trHeight w:val="251"/>
        </w:trPr>
        <w:tc>
          <w:tcPr>
            <w:tcW w:w="41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Portion of Annual Net Sales of Exclusive Products in</w:t>
            </w:r>
          </w:p>
        </w:tc>
        <w:tc>
          <w:tcPr>
            <w:tcW w:w="53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Royalty Payment</w:t>
            </w:r>
          </w:p>
        </w:tc>
      </w:tr>
      <w:tr>
        <w:trPr>
          <w:trHeight w:val="234"/>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the Territory</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an 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an 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an 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bl>
    <w:p>
      <w:pPr>
        <w:spacing w:after="0" w:line="322" w:lineRule="exact"/>
        <w:rPr>
          <w:sz w:val="20"/>
          <w:szCs w:val="20"/>
          <w:color w:val="auto"/>
        </w:rPr>
      </w:pPr>
    </w:p>
    <w:tbl>
      <w:tblPr>
        <w:tblLayout w:type="fixed"/>
        <w:tblInd w:w="130" w:type="dxa"/>
        <w:tblCellMar>
          <w:top w:w="0" w:type="dxa"/>
          <w:left w:w="0" w:type="dxa"/>
          <w:bottom w:w="0" w:type="dxa"/>
          <w:right w:w="0" w:type="dxa"/>
        </w:tblCellMar>
      </w:tblPr>
      <w:tr>
        <w:trPr>
          <w:trHeight w:val="251"/>
        </w:trPr>
        <w:tc>
          <w:tcPr>
            <w:tcW w:w="41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Portion of Annual Net Sales of Non- Exclusive</w:t>
            </w:r>
          </w:p>
        </w:tc>
        <w:tc>
          <w:tcPr>
            <w:tcW w:w="53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Royalty Payment</w:t>
            </w:r>
          </w:p>
        </w:tc>
      </w:tr>
      <w:tr>
        <w:trPr>
          <w:trHeight w:val="234"/>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Products in the Territory</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 Non-Exclusive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 Non-Exclusive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r>
        <w:trPr>
          <w:trHeight w:val="335"/>
        </w:trPr>
        <w:tc>
          <w:tcPr>
            <w:tcW w:w="41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33"/>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portion of Annual Net Sales for a Non-Exclusive</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Product in the Territory that is [***]</w:t>
            </w:r>
          </w:p>
        </w:tc>
        <w:tc>
          <w:tcPr>
            <w:tcW w:w="5360" w:type="dxa"/>
            <w:vAlign w:val="bottom"/>
            <w:tcBorders>
              <w:right w:val="single" w:sz="8" w:color="auto"/>
            </w:tcBorders>
          </w:tcPr>
          <w:p>
            <w:pPr>
              <w:spacing w:after="0"/>
              <w:rPr>
                <w:sz w:val="20"/>
                <w:szCs w:val="20"/>
                <w:color w:val="auto"/>
              </w:rPr>
            </w:pPr>
          </w:p>
        </w:tc>
      </w:tr>
      <w:tr>
        <w:trPr>
          <w:trHeight w:val="35"/>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r>
    </w:tbl>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Royalties under this Section 7.1 shall be payable during the period of time commencing on the First Commercial Sale of a Collaboration Product in a country and, on a Collaboration Product-by-Collaboration Product basis, ending upon the later of: (i) ten (10) years from the date of First Commercial Sale of such Collaboration Product in such country; and (ii) the date of expiration of the last-to-expire Valid Claim covering the Collaboration Product in such country and (iii) the date of expiration of the last-to-expire Regulatory Exclusivity related to such Collaboration Product in such country (the “</w:t>
      </w:r>
      <w:r>
        <w:rPr>
          <w:rFonts w:ascii="Times New Roman" w:cs="Times New Roman" w:eastAsia="Times New Roman" w:hAnsi="Times New Roman"/>
          <w:sz w:val="18"/>
          <w:szCs w:val="18"/>
          <w:b w:val="1"/>
          <w:bCs w:val="1"/>
          <w:i w:val="1"/>
          <w:iCs w:val="1"/>
          <w:color w:val="auto"/>
        </w:rPr>
        <w:t>Royalty Term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hanging="595"/>
        <w:spacing w:after="0" w:line="269" w:lineRule="auto"/>
        <w:rPr>
          <w:sz w:val="20"/>
          <w:szCs w:val="20"/>
          <w:color w:val="auto"/>
        </w:rPr>
      </w:pPr>
      <w:r>
        <w:rPr>
          <w:rFonts w:ascii="Times New Roman" w:cs="Times New Roman" w:eastAsia="Times New Roman" w:hAnsi="Times New Roman"/>
          <w:sz w:val="18"/>
          <w:szCs w:val="18"/>
          <w:color w:val="auto"/>
        </w:rPr>
        <w:t>7.2</w:t>
      </w:r>
      <w:r>
        <w:rPr>
          <w:sz w:val="20"/>
          <w:szCs w:val="20"/>
          <w:color w:val="auto"/>
        </w:rPr>
        <w:t xml:space="preserve"> </w:t>
      </w:r>
      <w:r>
        <w:rPr>
          <w:rFonts w:ascii="Times New Roman" w:cs="Times New Roman" w:eastAsia="Times New Roman" w:hAnsi="Times New Roman"/>
          <w:sz w:val="18"/>
          <w:szCs w:val="18"/>
          <w:u w:val="single" w:color="auto"/>
          <w:color w:val="auto"/>
        </w:rPr>
        <w:t>Reduced Royalty Payments; Royalty Stacking</w:t>
      </w:r>
      <w:r>
        <w:rPr>
          <w:rFonts w:ascii="Times New Roman" w:cs="Times New Roman" w:eastAsia="Times New Roman" w:hAnsi="Times New Roman"/>
          <w:sz w:val="18"/>
          <w:szCs w:val="18"/>
          <w:color w:val="auto"/>
        </w:rPr>
        <w:t>. Notwithstanding Section 7.1 above, in the event that one of the following events described below</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happens during the Royalty Term for a Collaboration Product, on a Collaboration Product-by-Collaboration Product basis, the Exploiting Party’s Royalty Payment payable to the other Party shall be reduced as set forth below (for as long as there is no such Valid Claim or there is such a biosimilar product of the Collaboration Product, as applicable, at the time of the applicable Collaboration Product sale):</w:t>
      </w:r>
    </w:p>
    <w:p>
      <w:pPr>
        <w:sectPr>
          <w:pgSz w:w="11900" w:h="16838" w:orient="portrait"/>
          <w:cols w:equalWidth="0" w:num="1">
            <w:col w:w="10640"/>
          </w:cols>
          <w:pgMar w:left="920" w:top="1440" w:right="339" w:bottom="1440" w:gutter="0" w:footer="0" w:header="0"/>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3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Event</w:t>
            </w:r>
          </w:p>
        </w:tc>
        <w:tc>
          <w:tcPr>
            <w:tcW w:w="3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Royalty Rate reduction percentage</w:t>
            </w:r>
          </w:p>
        </w:tc>
      </w:tr>
      <w:tr>
        <w:trPr>
          <w:trHeight w:val="35"/>
        </w:trPr>
        <w:tc>
          <w:tcPr>
            <w:tcW w:w="6340" w:type="dxa"/>
            <w:vAlign w:val="bottom"/>
            <w:tcBorders>
              <w:left w:val="single" w:sz="8" w:color="auto"/>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37"/>
        </w:trPr>
        <w:tc>
          <w:tcPr>
            <w:tcW w:w="6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of the applicable Royalty Payment</w:t>
            </w:r>
          </w:p>
        </w:tc>
      </w:tr>
      <w:tr>
        <w:trPr>
          <w:trHeight w:val="35"/>
        </w:trPr>
        <w:tc>
          <w:tcPr>
            <w:tcW w:w="6340" w:type="dxa"/>
            <w:vAlign w:val="bottom"/>
            <w:tcBorders>
              <w:left w:val="single" w:sz="8" w:color="auto"/>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37"/>
        </w:trPr>
        <w:tc>
          <w:tcPr>
            <w:tcW w:w="6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Biosimilar competition for such Collaboration Product reaches [***] in a country.</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of the applicable Royalty Payment</w:t>
            </w:r>
          </w:p>
        </w:tc>
      </w:tr>
      <w:tr>
        <w:trPr>
          <w:trHeight w:val="35"/>
        </w:trPr>
        <w:tc>
          <w:tcPr>
            <w:tcW w:w="6340" w:type="dxa"/>
            <w:vAlign w:val="bottom"/>
            <w:tcBorders>
              <w:left w:val="single" w:sz="8" w:color="auto"/>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37"/>
        </w:trPr>
        <w:tc>
          <w:tcPr>
            <w:tcW w:w="6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Biosimilar competition for such Collaboration Product reaches [***] in a country.</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of the applicable Royalty Payment</w:t>
            </w:r>
          </w:p>
        </w:tc>
      </w:tr>
      <w:tr>
        <w:trPr>
          <w:trHeight w:val="35"/>
        </w:trPr>
        <w:tc>
          <w:tcPr>
            <w:tcW w:w="6340" w:type="dxa"/>
            <w:vAlign w:val="bottom"/>
            <w:tcBorders>
              <w:left w:val="single" w:sz="8" w:color="auto"/>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r>
        <w:trPr>
          <w:trHeight w:val="237"/>
        </w:trPr>
        <w:tc>
          <w:tcPr>
            <w:tcW w:w="6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Biosimilar competition for such Collaboration Product reaches [***], in a country.</w:t>
            </w:r>
          </w:p>
        </w:tc>
        <w:tc>
          <w:tcPr>
            <w:tcW w:w="3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of the applicable Royalty Payment</w:t>
            </w:r>
          </w:p>
        </w:tc>
      </w:tr>
      <w:tr>
        <w:trPr>
          <w:trHeight w:val="35"/>
        </w:trPr>
        <w:tc>
          <w:tcPr>
            <w:tcW w:w="6340" w:type="dxa"/>
            <w:vAlign w:val="bottom"/>
            <w:tcBorders>
              <w:left w:val="single" w:sz="8" w:color="auto"/>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r>
    </w:tbl>
    <w:p>
      <w:pPr>
        <w:spacing w:after="0" w:line="30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For purposes of the foregoing table, biosimilar competition means the sale of biosimilars of a Collaboration Product commercially launched in such country by a Third Party not authorized by the Exploiting Party, as compared to the sale of such Collaboration Products in that country.</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 addition, if, during the Royalty Term for Collaboration Product, the Exploiting Party enters into a license under or acquires any Patent right of a Third Party that is necessary for the Exploiting Party, its Affiliates or its or their (direct or indirect) sublicensees to Develop Collaboration Products or otherwise Exploit the </w:t>
      </w:r>
      <w:r>
        <w:rPr>
          <w:rFonts w:ascii="Times New Roman" w:cs="Times New Roman" w:eastAsia="Times New Roman" w:hAnsi="Times New Roman"/>
          <w:sz w:val="18"/>
          <w:szCs w:val="18"/>
          <w:i w:val="1"/>
          <w:iCs w:val="1"/>
          <w:color w:val="auto"/>
        </w:rPr>
        <w:t>Collaboration Products in the Exclusive Field</w:t>
      </w:r>
      <w:r>
        <w:rPr>
          <w:rFonts w:ascii="Times New Roman" w:cs="Times New Roman" w:eastAsia="Times New Roman" w:hAnsi="Times New Roman"/>
          <w:sz w:val="18"/>
          <w:szCs w:val="18"/>
          <w:color w:val="auto"/>
        </w:rPr>
        <w:t xml:space="preserve"> in any country of the Territory, provided that the Exploiting Party shall notify the other Party prior to entering such Third Party license, Royalty Payments payable to the other Party under Section 7.1 during the applicable Calendar Year shall be reduced by the amount equal to [***] of the royalty payable to such Third Party in connection with the sale of Collaboration Products in the Exclusive Field during the same Calendar Year under such Third Party license. If the Parties are unable to agree upon whether such license is necessary for the Exploiting Party, its Affiliates or Sublicensees to exercise the Exploiting Party’s rights under this Agreement, the dispute shall be submitted for determination by an independent intellectual property attorney mutually selected by the Parties (or, if the Parties cannot agree, then the Parties shall each appoint one (1) independent intellectual property attorney and the two (2) independent intellectual property attorneys thus appointed shall choose the third independent intellectual property attorney), and the decision of such attorney shall be final and binding on the Parties with respect to whether such license is necessary in accordance with this Section 7.2.</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Royalty Payments pursuant to Section 7.1 shall not be reduced by more than [***] of the amounts set forth in Section 7.1 as a result of the reductions set forth in Section 7.2.</w:t>
      </w:r>
    </w:p>
    <w:p>
      <w:pPr>
        <w:spacing w:after="0" w:line="153" w:lineRule="exact"/>
        <w:rPr>
          <w:sz w:val="20"/>
          <w:szCs w:val="20"/>
          <w:color w:val="auto"/>
        </w:rPr>
      </w:pPr>
    </w:p>
    <w:p>
      <w:pPr>
        <w:jc w:val="both"/>
        <w:ind w:hanging="595"/>
        <w:spacing w:after="0" w:line="264" w:lineRule="auto"/>
        <w:rPr>
          <w:sz w:val="20"/>
          <w:szCs w:val="20"/>
          <w:color w:val="auto"/>
        </w:rPr>
      </w:pPr>
      <w:r>
        <w:rPr>
          <w:rFonts w:ascii="Times New Roman" w:cs="Times New Roman" w:eastAsia="Times New Roman" w:hAnsi="Times New Roman"/>
          <w:sz w:val="18"/>
          <w:szCs w:val="18"/>
          <w:color w:val="auto"/>
        </w:rPr>
        <w:t>7.3</w:t>
      </w:r>
      <w:r>
        <w:rPr>
          <w:sz w:val="20"/>
          <w:szCs w:val="20"/>
          <w:color w:val="auto"/>
        </w:rPr>
        <w:t xml:space="preserv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Royalty Payments and Other Consideration shall be calculated and reported for each Calendar Quarter within [***] after the end of each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Calendar Quarter (the “</w:t>
      </w:r>
      <w:r>
        <w:rPr>
          <w:rFonts w:ascii="Times New Roman" w:cs="Times New Roman" w:eastAsia="Times New Roman" w:hAnsi="Times New Roman"/>
          <w:sz w:val="18"/>
          <w:szCs w:val="18"/>
          <w:b w:val="1"/>
          <w:bCs w:val="1"/>
          <w:i w:val="1"/>
          <w:iCs w:val="1"/>
          <w:color w:val="auto"/>
        </w:rPr>
        <w:t>Financials Report</w:t>
      </w:r>
      <w:r>
        <w:rPr>
          <w:rFonts w:ascii="Times New Roman" w:cs="Times New Roman" w:eastAsia="Times New Roman" w:hAnsi="Times New Roman"/>
          <w:sz w:val="18"/>
          <w:szCs w:val="18"/>
          <w:color w:val="auto"/>
        </w:rPr>
        <w:t>”). With delivery of such report, the Exploiting Party shall also pay the corresponding amount of the Royalty Payment and Other Consideration due to the other Party, if any. Each Financials Report shall include quarterly Net Sales and separate details of any Other Consideration by the Exploiting Party, its Affiliates and Sublicensees in the Territory for each Exclusive Product during the applicable Calendar Year, which report shall include the gross amounts invoiced and Annual Net Sales, the royalties payable, how such royalties payable amounts were calculated (including an accounting of any reductions in applicable royalty rates and/or deductions in determining Annual Net Sales), and the exchange rates used.</w:t>
      </w:r>
    </w:p>
    <w:p>
      <w:pPr>
        <w:sectPr>
          <w:pgSz w:w="11900" w:h="16838" w:orient="portrait"/>
          <w:cols w:equalWidth="0" w:num="1">
            <w:col w:w="10640"/>
          </w:cols>
          <w:pgMar w:left="920" w:top="1440" w:right="339" w:bottom="1440" w:gutter="0" w:footer="0" w:header="0"/>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other Party has objections against the Financials Report provided to it by the Exploiting Party, it shall send a written objection notification to</w:t>
            </w:r>
          </w:p>
        </w:tc>
      </w:tr>
      <w:tr>
        <w:trPr>
          <w:trHeight w:val="228"/>
        </w:trPr>
        <w:tc>
          <w:tcPr>
            <w:tcW w:w="600" w:type="dxa"/>
            <w:vAlign w:val="bottom"/>
          </w:tcPr>
          <w:p>
            <w:pPr>
              <w:spacing w:after="0"/>
              <w:rPr>
                <w:sz w:val="19"/>
                <w:szCs w:val="19"/>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Exploiting Party which shall explain its reasoning for the objection. Upon the Exploiting Party receipt of the objection notification, the Parties</w:t>
            </w:r>
          </w:p>
        </w:tc>
      </w:tr>
      <w:tr>
        <w:trPr>
          <w:trHeight w:val="228"/>
        </w:trPr>
        <w:tc>
          <w:tcPr>
            <w:tcW w:w="600" w:type="dxa"/>
            <w:vAlign w:val="bottom"/>
          </w:tcPr>
          <w:p>
            <w:pPr>
              <w:spacing w:after="0"/>
              <w:rPr>
                <w:sz w:val="19"/>
                <w:szCs w:val="19"/>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shall promptly schedule a meeting of the Executive Officers to discuss and prepare a decision of the Parties to resolve or settle the dispute. If the</w:t>
            </w:r>
          </w:p>
        </w:tc>
      </w:tr>
      <w:tr>
        <w:trPr>
          <w:trHeight w:val="215"/>
        </w:trPr>
        <w:tc>
          <w:tcPr>
            <w:tcW w:w="600" w:type="dxa"/>
            <w:vAlign w:val="bottom"/>
          </w:tcPr>
          <w:p>
            <w:pPr>
              <w:spacing w:after="0"/>
              <w:rPr>
                <w:sz w:val="18"/>
                <w:szCs w:val="18"/>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Executive Officers cannot agree on a proposal for a respective decision or if the Parties cannot mutually agree to resolve or settle the dispute, the</w:t>
            </w:r>
          </w:p>
        </w:tc>
      </w:tr>
      <w:tr>
        <w:trPr>
          <w:trHeight w:val="232"/>
        </w:trPr>
        <w:tc>
          <w:tcPr>
            <w:tcW w:w="600" w:type="dxa"/>
            <w:vAlign w:val="bottom"/>
          </w:tcPr>
          <w:p>
            <w:pPr>
              <w:spacing w:after="0"/>
              <w:rPr>
                <w:sz w:val="20"/>
                <w:szCs w:val="20"/>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dispute shall be escalated to arbitration pursuant to Section 13.3.</w:t>
            </w:r>
          </w:p>
        </w:tc>
      </w:tr>
      <w:tr>
        <w:trPr>
          <w:trHeight w:val="42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Exploiting Party shall pay to the other Party an amount equal to the following percentage of any consideration (or the fair market value of any</w:t>
            </w:r>
          </w:p>
        </w:tc>
      </w:tr>
      <w:tr>
        <w:trPr>
          <w:trHeight w:val="228"/>
        </w:trPr>
        <w:tc>
          <w:tcPr>
            <w:tcW w:w="600" w:type="dxa"/>
            <w:vAlign w:val="bottom"/>
          </w:tcPr>
          <w:p>
            <w:pPr>
              <w:spacing w:after="0"/>
              <w:rPr>
                <w:sz w:val="19"/>
                <w:szCs w:val="19"/>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non-cash consideration) received by it or its Affiliates or successor, in return for the license, sublicense or assignment of the Exploiting Party’s rights</w:t>
            </w:r>
          </w:p>
        </w:tc>
      </w:tr>
      <w:tr>
        <w:trPr>
          <w:trHeight w:val="226"/>
        </w:trPr>
        <w:tc>
          <w:tcPr>
            <w:tcW w:w="600" w:type="dxa"/>
            <w:vAlign w:val="bottom"/>
          </w:tcPr>
          <w:p>
            <w:pPr>
              <w:spacing w:after="0"/>
              <w:rPr>
                <w:sz w:val="19"/>
                <w:szCs w:val="19"/>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Develop or Commercialize any Collaboration Product, including any upfront, development or commercial milestones but excluding any royalty</w:t>
            </w:r>
          </w:p>
        </w:tc>
      </w:tr>
      <w:tr>
        <w:trPr>
          <w:trHeight w:val="234"/>
        </w:trPr>
        <w:tc>
          <w:tcPr>
            <w:tcW w:w="600" w:type="dxa"/>
            <w:vAlign w:val="bottom"/>
          </w:tcPr>
          <w:p>
            <w:pPr>
              <w:spacing w:after="0"/>
              <w:rPr>
                <w:sz w:val="20"/>
                <w:szCs w:val="20"/>
                <w:color w:val="auto"/>
              </w:rPr>
            </w:pPr>
          </w:p>
        </w:tc>
        <w:tc>
          <w:tcPr>
            <w:tcW w:w="10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based on Net Sales of the Collaboration Product (together, in the aggregate over the Term, the “</w:t>
            </w:r>
            <w:r>
              <w:rPr>
                <w:rFonts w:ascii="Times New Roman" w:cs="Times New Roman" w:eastAsia="Times New Roman" w:hAnsi="Times New Roman"/>
                <w:sz w:val="18"/>
                <w:szCs w:val="18"/>
                <w:b w:val="1"/>
                <w:bCs w:val="1"/>
                <w:color w:val="auto"/>
              </w:rPr>
              <w:t>Other Consideration</w:t>
            </w:r>
            <w:r>
              <w:rPr>
                <w:rFonts w:ascii="Times New Roman" w:cs="Times New Roman" w:eastAsia="Times New Roman" w:hAnsi="Times New Roman"/>
                <w:sz w:val="18"/>
                <w:szCs w:val="18"/>
                <w:color w:val="auto"/>
              </w:rPr>
              <w:t>”):</w:t>
            </w:r>
          </w:p>
        </w:tc>
      </w:tr>
      <w:tr>
        <w:trPr>
          <w:trHeight w:val="225"/>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3140" w:type="dxa"/>
            <w:vAlign w:val="bottom"/>
          </w:tcPr>
          <w:p>
            <w:pPr>
              <w:spacing w:after="0"/>
              <w:rPr>
                <w:sz w:val="19"/>
                <w:szCs w:val="19"/>
                <w:color w:val="auto"/>
              </w:rPr>
            </w:pPr>
          </w:p>
        </w:tc>
        <w:tc>
          <w:tcPr>
            <w:tcW w:w="6400" w:type="dxa"/>
            <w:vAlign w:val="bottom"/>
            <w:gridSpan w:val="2"/>
          </w:tcPr>
          <w:p>
            <w:pPr>
              <w:spacing w:after="0"/>
              <w:rPr>
                <w:sz w:val="19"/>
                <w:szCs w:val="19"/>
                <w:color w:val="auto"/>
              </w:rPr>
            </w:pPr>
          </w:p>
        </w:tc>
      </w:tr>
      <w:tr>
        <w:trPr>
          <w:trHeight w:val="237"/>
        </w:trPr>
        <w:tc>
          <w:tcPr>
            <w:tcW w:w="6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Portion of the Other Consideration</w:t>
            </w:r>
          </w:p>
        </w:tc>
        <w:tc>
          <w:tcPr>
            <w:tcW w:w="53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40" w:type="dxa"/>
            <w:vAlign w:val="bottom"/>
          </w:tcPr>
          <w:p>
            <w:pPr>
              <w:spacing w:after="0"/>
              <w:rPr>
                <w:sz w:val="20"/>
                <w:szCs w:val="20"/>
                <w:color w:val="auto"/>
              </w:rPr>
            </w:pPr>
          </w:p>
        </w:tc>
      </w:tr>
      <w:tr>
        <w:trPr>
          <w:trHeight w:val="35"/>
        </w:trPr>
        <w:tc>
          <w:tcPr>
            <w:tcW w:w="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37"/>
        </w:trPr>
        <w:tc>
          <w:tcPr>
            <w:tcW w:w="6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On the portion of Other Consideration below [***]</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r>
      <w:tr>
        <w:trPr>
          <w:trHeight w:val="35"/>
        </w:trPr>
        <w:tc>
          <w:tcPr>
            <w:tcW w:w="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6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On the portion of the Other Consideration between</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r>
      <w:tr>
        <w:trPr>
          <w:trHeight w:val="232"/>
        </w:trPr>
        <w:tc>
          <w:tcPr>
            <w:tcW w:w="6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w:t>
            </w:r>
          </w:p>
        </w:tc>
        <w:tc>
          <w:tcPr>
            <w:tcW w:w="52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5"/>
        </w:trPr>
        <w:tc>
          <w:tcPr>
            <w:tcW w:w="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237"/>
        </w:trPr>
        <w:tc>
          <w:tcPr>
            <w:tcW w:w="6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On the portion of the Other Consideration above [***]</w:t>
            </w:r>
          </w:p>
        </w:tc>
        <w:tc>
          <w:tcPr>
            <w:tcW w:w="5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r>
      <w:tr>
        <w:trPr>
          <w:trHeight w:val="35"/>
        </w:trPr>
        <w:tc>
          <w:tcPr>
            <w:tcW w:w="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5360" w:type="dxa"/>
            <w:vAlign w:val="bottom"/>
            <w:tcBorders>
              <w:bottom w:val="single" w:sz="8" w:color="auto"/>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731"/>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PAYMENT TERMS</w:t>
            </w: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 Terms.</w:t>
            </w: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540" w:type="dxa"/>
            <w:vAlign w:val="bottom"/>
            <w:gridSpan w:val="3"/>
          </w:tcPr>
          <w:p>
            <w:pPr>
              <w:spacing w:after="0" w:line="20" w:lineRule="exact"/>
              <w:rPr>
                <w:sz w:val="1"/>
                <w:szCs w:val="1"/>
                <w:color w:val="auto"/>
              </w:rPr>
            </w:pPr>
          </w:p>
        </w:tc>
      </w:tr>
      <w:tr>
        <w:trPr>
          <w:trHeight w:val="435"/>
        </w:trPr>
        <w:tc>
          <w:tcPr>
            <w:tcW w:w="6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all payments or costs for which a Party (the “</w:t>
            </w:r>
            <w:r>
              <w:rPr>
                <w:rFonts w:ascii="Times New Roman" w:cs="Times New Roman" w:eastAsia="Times New Roman" w:hAnsi="Times New Roman"/>
                <w:sz w:val="18"/>
                <w:szCs w:val="18"/>
                <w:b w:val="1"/>
                <w:bCs w:val="1"/>
                <w:i w:val="1"/>
                <w:iCs w:val="1"/>
                <w:color w:val="auto"/>
              </w:rPr>
              <w:t>Owing Party</w:t>
            </w:r>
            <w:r>
              <w:rPr>
                <w:rFonts w:ascii="Times New Roman" w:cs="Times New Roman" w:eastAsia="Times New Roman" w:hAnsi="Times New Roman"/>
                <w:sz w:val="18"/>
                <w:szCs w:val="18"/>
                <w:color w:val="auto"/>
              </w:rPr>
              <w:t>”) is obligated to pay to or to reimburse the other Party (the “</w:t>
            </w:r>
            <w:r>
              <w:rPr>
                <w:rFonts w:ascii="Times New Roman" w:cs="Times New Roman" w:eastAsia="Times New Roman" w:hAnsi="Times New Roman"/>
                <w:sz w:val="18"/>
                <w:szCs w:val="18"/>
                <w:b w:val="1"/>
                <w:bCs w:val="1"/>
                <w:i w:val="1"/>
                <w:iCs w:val="1"/>
                <w:color w:val="auto"/>
              </w:rPr>
              <w:t>Owed Party</w:t>
            </w:r>
            <w:r>
              <w:rPr>
                <w:rFonts w:ascii="Times New Roman" w:cs="Times New Roman" w:eastAsia="Times New Roman" w:hAnsi="Times New Roman"/>
                <w:sz w:val="18"/>
                <w:szCs w:val="18"/>
                <w:color w:val="auto"/>
              </w:rPr>
              <w:t>”)</w:t>
            </w:r>
          </w:p>
        </w:tc>
      </w:t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this Agreement (and for which no specific provision is made hereunder for such payment), the Owed Party shall send to the</w:t>
            </w:r>
          </w:p>
        </w:tc>
      </w:t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Owing Party an invoice for such amount within [***] of (i) receipt of the relevant Financials Report or (ii) any other point in time on which</w:t>
            </w:r>
          </w:p>
        </w:tc>
      </w:t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 is determined under this Agreement that an amount is payable by the Owing Party to the Owed Party, which invoice shall include a</w:t>
            </w:r>
          </w:p>
        </w:tc>
      </w:tr>
      <w:tr>
        <w:trPr>
          <w:trHeight w:val="232"/>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reference to the section of this Agreement under which the Owed Party is requesting reimbursement or payment.</w:t>
            </w:r>
          </w:p>
        </w:tc>
      </w:tr>
      <w:tr>
        <w:trPr>
          <w:trHeight w:val="414"/>
        </w:trPr>
        <w:tc>
          <w:tcPr>
            <w:tcW w:w="6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Unless otherwise agreed between the Parties payment with respect to each such invoice shall be due within [***] after receipt by the Owing</w:t>
            </w:r>
          </w:p>
        </w:tc>
      </w:t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Party thereof. Any undisputed invoice which is not paid by its due date shall incur a late payment fee at the rate of [***] per month,</w:t>
            </w:r>
          </w:p>
        </w:tc>
      </w:tr>
      <w:tr>
        <w:trPr>
          <w:trHeight w:val="232"/>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compounded monthly, or at the highest rate permitted under the governing law as set forth in Section 13.2, if less.</w:t>
            </w:r>
          </w:p>
        </w:tc>
      </w:tr>
      <w:tr>
        <w:trPr>
          <w:trHeight w:val="414"/>
        </w:trPr>
        <w:tc>
          <w:tcPr>
            <w:tcW w:w="6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10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 amounts due hereunder shall be paid by the paying Party in Euros by electronic funds transmission to the receiving Party’s designated</w:t>
            </w:r>
          </w:p>
        </w:tc>
      </w:tr>
      <w:tr>
        <w:trPr>
          <w:trHeight w:val="228"/>
        </w:trPr>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bank account as indicated in the respective invoice or as the receiving Party may from time to time otherwise designate by written notice to</w:t>
            </w:r>
          </w:p>
        </w:tc>
      </w:tr>
      <w:tr>
        <w:trPr>
          <w:trHeight w:val="232"/>
        </w:trPr>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paying Party. Any costs of bank wire transfer shall be borne by the paying Party.</w:t>
            </w:r>
          </w:p>
        </w:tc>
      </w:tr>
    </w:tbl>
    <w:p>
      <w:pPr>
        <w:sectPr>
          <w:pgSz w:w="11900" w:h="16838" w:orient="portrait"/>
          <w:cols w:equalWidth="0" w:num="1">
            <w:col w:w="11240"/>
          </w:cols>
          <w:pgMar w:left="320" w:top="1440" w:right="339" w:bottom="1440" w:gutter="0" w:footer="0" w:header="0"/>
        </w:sectPr>
      </w:pPr>
    </w:p>
    <w:bookmarkStart w:id="284" w:name="page285"/>
    <w:bookmarkEnd w:id="284"/>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0" w:hanging="599"/>
        <w:spacing w:after="0"/>
        <w:tabs>
          <w:tab w:leader="none" w:pos="60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Background IPR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Each Party is and shall remain the sole and exclusive owner of all its Background IPR and this Agreement shall not affect such ownership. Except as expressly stated in this Agreement, no licenses nor any other rights, implied or otherwise, are granted by a Party to the other Party under its Background IPR. For clarity, each Party shall remain the sole and exclusive owner of all Patent Rights, Know-How and other IPR related to a New Candidate or Collaboration Product which the Party owns or otherwise Controls on or before the Effective Date or which is generated by a Party outside of the R&amp;D Program.</w:t>
      </w:r>
    </w:p>
    <w:p>
      <w:pPr>
        <w:spacing w:after="0" w:line="1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Foreground IPR (pre-Opt-In, or in the absence of an Opt-In)</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With respect to Opt-In Products that are subject to a successful Opt-In this Section 9.2 shall only apply up to the Opt-In Date.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OMT Foreground IPR:</w:t>
      </w:r>
    </w:p>
    <w:p>
      <w:pPr>
        <w:spacing w:after="0" w:line="226" w:lineRule="exact"/>
        <w:rPr>
          <w:sz w:val="20"/>
          <w:szCs w:val="20"/>
          <w:color w:val="auto"/>
        </w:rPr>
      </w:pPr>
    </w:p>
    <w:p>
      <w:pPr>
        <w:ind w:left="1200" w:hanging="600"/>
        <w:spacing w:after="0" w:line="293" w:lineRule="auto"/>
        <w:tabs>
          <w:tab w:leader="none" w:pos="119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Foreground IPR that are solely related to (or constitute a modification, improvement or refinement that is specific to): (i) [***]; and/or (ii) [***].</w:t>
      </w:r>
    </w:p>
    <w:p>
      <w:pPr>
        <w:spacing w:after="0" w:line="149"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8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solely own any Patent Rights that claim or that are directed to OMT Foreground (“</w:t>
      </w:r>
      <w:r>
        <w:rPr>
          <w:rFonts w:ascii="Times New Roman" w:cs="Times New Roman" w:eastAsia="Times New Roman" w:hAnsi="Times New Roman"/>
          <w:sz w:val="18"/>
          <w:szCs w:val="18"/>
          <w:b w:val="1"/>
          <w:bCs w:val="1"/>
          <w:i w:val="1"/>
          <w:iCs w:val="1"/>
          <w:color w:val="auto"/>
        </w:rPr>
        <w:t>OMT Patents</w:t>
      </w:r>
      <w:r>
        <w:rPr>
          <w:rFonts w:ascii="Times New Roman" w:cs="Times New Roman" w:eastAsia="Times New Roman" w:hAnsi="Times New Roman"/>
          <w:sz w:val="18"/>
          <w:szCs w:val="18"/>
          <w:color w:val="auto"/>
        </w:rPr>
        <w:t>”). OMT shall have the [***] to prepare, file, prosecute (including any proceedings relating to reissues, reexaminations, protests, interferences, oppositions, post-grant reviews or similar proceedings and requests for patent extensions) and maintain any OMT Patents at its own expense. If OMT elects not to prosecute any OMT Patents, it shall notify Molecular Partners where Molecular Partners is the Exploiting Party for a Collaboration Product, [***].</w:t>
      </w:r>
    </w:p>
    <w:p>
      <w:pPr>
        <w:spacing w:after="0" w:line="161" w:lineRule="exact"/>
        <w:rPr>
          <w:rFonts w:ascii="Times New Roman" w:cs="Times New Roman" w:eastAsia="Times New Roman" w:hAnsi="Times New Roman"/>
          <w:sz w:val="18"/>
          <w:szCs w:val="18"/>
          <w:color w:val="auto"/>
        </w:rPr>
      </w:pPr>
    </w:p>
    <w:p>
      <w:pPr>
        <w:jc w:val="both"/>
        <w:ind w:left="1200" w:hanging="600"/>
        <w:spacing w:after="0" w:line="271" w:lineRule="auto"/>
        <w:tabs>
          <w:tab w:leader="none" w:pos="119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shall fully disclose in writing to OMT any and all OMT Foreground, which is discovered, developed, or invented by or on behalf of Molecular Partners, independent of whether or not such is protectable under any Applicable Laws within [***] from Molecular Partners’ awareness of such discovery, development or invention. Molecular Partners agrees to transfer and assign, and to cause its Affiliates or subcontractors to transfer and assign, and herewith transfers and assigns to OMT all of Molecular Partners’ right, title and interest in and to all OMT Foreground. OMT herewith accepts such transfer and assignment.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Molecular Partners Foreground IPR:</w:t>
      </w:r>
    </w:p>
    <w:p>
      <w:pPr>
        <w:spacing w:after="0" w:line="226" w:lineRule="exact"/>
        <w:rPr>
          <w:sz w:val="20"/>
          <w:szCs w:val="20"/>
          <w:color w:val="auto"/>
        </w:rPr>
      </w:pPr>
    </w:p>
    <w:p>
      <w:pPr>
        <w:ind w:left="1200" w:hanging="600"/>
        <w:spacing w:after="0" w:line="293" w:lineRule="auto"/>
        <w:tabs>
          <w:tab w:leader="none" w:pos="118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Foreground IPR that are solely related to (or constitute a modification, improvement or refinement that is specific to): (i) [***]; and/or (iii) [***], or (ii) [***].</w:t>
      </w:r>
    </w:p>
    <w:p>
      <w:pPr>
        <w:spacing w:after="0" w:line="149" w:lineRule="exact"/>
        <w:rPr>
          <w:rFonts w:ascii="Times New Roman" w:cs="Times New Roman" w:eastAsia="Times New Roman" w:hAnsi="Times New Roman"/>
          <w:sz w:val="18"/>
          <w:szCs w:val="18"/>
          <w:color w:val="auto"/>
        </w:rPr>
      </w:pPr>
    </w:p>
    <w:p>
      <w:pPr>
        <w:jc w:val="both"/>
        <w:ind w:left="1200" w:hanging="600"/>
        <w:spacing w:after="0" w:line="270" w:lineRule="auto"/>
        <w:tabs>
          <w:tab w:leader="none" w:pos="119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shall solely own any Patent Rights that claim or that are directed to Molecular Partners Foreground (“</w:t>
      </w:r>
      <w:r>
        <w:rPr>
          <w:rFonts w:ascii="Times New Roman" w:cs="Times New Roman" w:eastAsia="Times New Roman" w:hAnsi="Times New Roman"/>
          <w:sz w:val="18"/>
          <w:szCs w:val="18"/>
          <w:b w:val="1"/>
          <w:bCs w:val="1"/>
          <w:i w:val="1"/>
          <w:iCs w:val="1"/>
          <w:color w:val="auto"/>
        </w:rPr>
        <w:t>Molecular Partners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Molecular Partners shall have the [***] to prepare, file, prosecute (including any proceedings relating to reissues, reexaminations,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protests, interferences, oppositions, post-grant reviews or similar proceedings and requests for patent extensions) and maintain any Molecular Partners Patents at its own expense. If Molecular Partners elects not to prosecute any Molecular</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Partners Patents, including any Product Specific IPR, which relate to any Exclusive Product, it shall notify OMT, [***].</w:t>
      </w:r>
    </w:p>
    <w:p>
      <w:pPr>
        <w:spacing w:after="0" w:line="224" w:lineRule="exact"/>
        <w:rPr>
          <w:sz w:val="20"/>
          <w:szCs w:val="20"/>
          <w:color w:val="auto"/>
        </w:rPr>
      </w:pPr>
    </w:p>
    <w:p>
      <w:pPr>
        <w:jc w:val="both"/>
        <w:ind w:left="1200" w:hanging="600"/>
        <w:spacing w:after="0" w:line="267" w:lineRule="auto"/>
        <w:tabs>
          <w:tab w:leader="none" w:pos="11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fully disclose in writing to Molecular Partners any and all Molecular Partners Foreground, which is discovered, developed, or invented by or on behalf of OMT, independent of whether or not such is protectable under any Applicable Laws within [***] from OMT’s awareness of such discovery, development or invention. OMT agrees to transfer and assign, and to cause its Affiliates or subcontractors to transfer and assign, and herewith transfers and assigns to Molecular Partners all of OMT’s right, title and interest in and to all Molecular Partners Foreground. Molecular Partners herewith accepts such transfer and assignment.</w:t>
      </w:r>
    </w:p>
    <w:p>
      <w:pPr>
        <w:spacing w:after="0" w:line="178" w:lineRule="exact"/>
        <w:rPr>
          <w:rFonts w:ascii="Times New Roman" w:cs="Times New Roman" w:eastAsia="Times New Roman" w:hAnsi="Times New Roman"/>
          <w:sz w:val="18"/>
          <w:szCs w:val="18"/>
          <w:color w:val="auto"/>
        </w:rPr>
      </w:pPr>
    </w:p>
    <w:p>
      <w:pPr>
        <w:jc w:val="both"/>
        <w:ind w:left="1200" w:hanging="600"/>
        <w:spacing w:after="0" w:line="264" w:lineRule="auto"/>
        <w:tabs>
          <w:tab w:leader="none" w:pos="118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 Party’s right to manage or restructure its business as it deems appropriate, a Party shall not license, assign or transfer its Background IPRs or Foreground IPRs, including, in the case of Molecular Partners, Product Specific IP, with the effect of circumnavigating its obligations under this Agreement which obligations require that Party to license, assign or transfer Intellectual Property Rights to the other Party, including, for the avoidance of doubt, the assignment or transfer by Molecular Partners of applicable Product Specific IP related to an Exclusive Product that is not a Restricted Product until the expiry of the Exclusive Opt-In Period with respect to such Exclusive Product. In the event a Party assigns or transfers any IPR in contravention of this Section 9.2(f)9.2(f) the other Party may impose on such assignee or transferee such obligations as are necessary so that the other Party retains and obtains all of the rights to which it is entitled with respect to IPR under this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Foreground IPR:</w:t>
      </w:r>
    </w:p>
    <w:p>
      <w:pPr>
        <w:spacing w:after="0" w:line="226" w:lineRule="exact"/>
        <w:rPr>
          <w:sz w:val="20"/>
          <w:szCs w:val="20"/>
          <w:color w:val="auto"/>
        </w:rPr>
      </w:pPr>
    </w:p>
    <w:p>
      <w:pPr>
        <w:ind w:left="1200" w:hanging="600"/>
        <w:spacing w:after="0" w:line="293" w:lineRule="auto"/>
        <w:tabs>
          <w:tab w:leader="none" w:pos="118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Foreground IPR that are related to (or constitute a modification, improvement or refinement that is specific to): (i) [***], and (ii) [***] shall be allocated to both Parties in equal shares and shall be jointly owned by the Parties.</w:t>
      </w:r>
    </w:p>
    <w:p>
      <w:pPr>
        <w:spacing w:after="0" w:line="153" w:lineRule="exact"/>
        <w:rPr>
          <w:rFonts w:ascii="Times New Roman" w:cs="Times New Roman" w:eastAsia="Times New Roman" w:hAnsi="Times New Roman"/>
          <w:sz w:val="18"/>
          <w:szCs w:val="18"/>
          <w:color w:val="auto"/>
        </w:rPr>
      </w:pPr>
    </w:p>
    <w:p>
      <w:pPr>
        <w:ind w:left="1200" w:hanging="600"/>
        <w:spacing w:after="0"/>
        <w:tabs>
          <w:tab w:leader="none" w:pos="12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shall jointly own in equal shares any Patent Rights that claim or that are directed to Joint Foreground IPR.</w:t>
      </w:r>
    </w:p>
    <w:p>
      <w:pPr>
        <w:spacing w:after="0" w:line="210" w:lineRule="exact"/>
        <w:rPr>
          <w:rFonts w:ascii="Times New Roman" w:cs="Times New Roman" w:eastAsia="Times New Roman" w:hAnsi="Times New Roman"/>
          <w:sz w:val="18"/>
          <w:szCs w:val="18"/>
          <w:color w:val="auto"/>
        </w:rPr>
      </w:pPr>
    </w:p>
    <w:p>
      <w:pPr>
        <w:jc w:val="both"/>
        <w:ind w:left="1200" w:hanging="600"/>
        <w:spacing w:after="0" w:line="278" w:lineRule="auto"/>
        <w:tabs>
          <w:tab w:leader="none" w:pos="119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agrees to transfer and assign, and to cause its Affiliates and Subcontractors to transfer and assign, and hereby transfers and assigns to the other Party, who accepts such transfer and assignment, such portion of its right, title, and interest in, to and under the Joint Foreground IPR as required for both Parties to jointly own an equal and undivided part of the Joint Foreground IPR.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Foreground IPR</w:t>
      </w:r>
    </w:p>
    <w:p>
      <w:pPr>
        <w:spacing w:after="0" w:line="226" w:lineRule="exact"/>
        <w:rPr>
          <w:sz w:val="20"/>
          <w:szCs w:val="20"/>
          <w:color w:val="auto"/>
        </w:rPr>
      </w:pPr>
    </w:p>
    <w:p>
      <w:pPr>
        <w:ind w:left="1200" w:hanging="600"/>
        <w:spacing w:after="0" w:line="278" w:lineRule="auto"/>
        <w:tabs>
          <w:tab w:leader="none" w:pos="118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Foreground IPR that does not fall within the scope of Molecular Partners Foreground, OMT Foreground or Joint Foreground IPR shall be owned by either or both Parties based on inventorship.</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Foreground IPR (post Opt-In)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00" w:hanging="600"/>
        <w:spacing w:after="0" w:line="293" w:lineRule="auto"/>
        <w:tabs>
          <w:tab w:leader="none" w:pos="119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5.6(c), the RDC Agreement shall be deemed to apply to any Opt-In Product as if it were a Collaboration Product under the RDC Agreement with OMT as the</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line="293" w:lineRule="auto"/>
        <w:rPr>
          <w:sz w:val="20"/>
          <w:szCs w:val="20"/>
          <w:color w:val="auto"/>
        </w:rPr>
      </w:pPr>
      <w:r>
        <w:rPr>
          <w:rFonts w:ascii="Times New Roman" w:cs="Times New Roman" w:eastAsia="Times New Roman" w:hAnsi="Times New Roman"/>
          <w:sz w:val="18"/>
          <w:szCs w:val="18"/>
          <w:color w:val="auto"/>
        </w:rPr>
        <w:t>applicable Exploiting Party thereunder. Accordingly, the provisions of the RDC Agreement shall apply to all Foreground IPR with respect to any Collaboration Product that is subject to a successful Opt-In from the Opt-In Date.</w:t>
      </w:r>
    </w:p>
    <w:p>
      <w:pPr>
        <w:spacing w:after="0" w:line="1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Additional Joint IPR (to be effective Post Opt-In)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With respect to Opt-In Products that are subject to a successful Opt-In this Section 9.4 shall apply.</w:t>
      </w:r>
    </w:p>
    <w:p>
      <w:pPr>
        <w:spacing w:after="0" w:line="224" w:lineRule="exact"/>
        <w:rPr>
          <w:sz w:val="20"/>
          <w:szCs w:val="20"/>
          <w:color w:val="auto"/>
        </w:rPr>
      </w:pPr>
    </w:p>
    <w:p>
      <w:pPr>
        <w:jc w:val="both"/>
        <w:ind w:left="1200" w:hanging="600"/>
        <w:spacing w:after="0" w:line="269" w:lineRule="auto"/>
        <w:tabs>
          <w:tab w:leader="none" w:pos="119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Specific IPR developed prior to the Opt-In Date, relating to, or discovered or invented during the Development of an Opt-In Product that is subject to a successful Opt-In, to the extent that such rights solely relate to (or constitute a modification, improvement or refinement that is specific to) such Opt-In Product (“</w:t>
      </w:r>
      <w:r>
        <w:rPr>
          <w:rFonts w:ascii="Times New Roman" w:cs="Times New Roman" w:eastAsia="Times New Roman" w:hAnsi="Times New Roman"/>
          <w:sz w:val="18"/>
          <w:szCs w:val="18"/>
          <w:b w:val="1"/>
          <w:bCs w:val="1"/>
          <w:i w:val="1"/>
          <w:iCs w:val="1"/>
          <w:color w:val="auto"/>
        </w:rPr>
        <w:t>Additional Joint IPR</w:t>
      </w:r>
      <w:r>
        <w:rPr>
          <w:rFonts w:ascii="Times New Roman" w:cs="Times New Roman" w:eastAsia="Times New Roman" w:hAnsi="Times New Roman"/>
          <w:sz w:val="18"/>
          <w:szCs w:val="18"/>
          <w:color w:val="auto"/>
        </w:rPr>
        <w:t>”), shall be allocated to both Parties in equal shares and shall be jointly owned by the Parties with effect from the Opt-In Date.</w:t>
      </w:r>
    </w:p>
    <w:p>
      <w:pPr>
        <w:spacing w:after="0" w:line="173"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8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hereby agrees to transfer and assign, and to cause its Affiliates and Subcontractors to transfer and assign, and hereby transfers and assigns to OMT, who accepts such transfer and assignment, such portion of its right, title, and interest in, to and under the Additional Joint IPR as required for both Parties to jointly own an equal and undivided part of the Additional Joint IPR with effect from the Opt-In Date.</w:t>
      </w:r>
    </w:p>
    <w:p>
      <w:pPr>
        <w:spacing w:after="0" w:line="173" w:lineRule="exact"/>
        <w:rPr>
          <w:rFonts w:ascii="Times New Roman" w:cs="Times New Roman" w:eastAsia="Times New Roman" w:hAnsi="Times New Roman"/>
          <w:sz w:val="18"/>
          <w:szCs w:val="18"/>
          <w:color w:val="auto"/>
        </w:rPr>
      </w:pPr>
    </w:p>
    <w:p>
      <w:pPr>
        <w:ind w:left="1200" w:hanging="600"/>
        <w:spacing w:after="0" w:line="278" w:lineRule="auto"/>
        <w:tabs>
          <w:tab w:leader="none" w:pos="119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RDC Agreement shall apply to Additional Joint IPR as if it was “Joint IPR” as defined in Section 12.4 of the RDC Agreement from the Opt-In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Inventorship; Employee Inventions.</w:t>
      </w:r>
    </w:p>
    <w:p>
      <w:pPr>
        <w:spacing w:after="0" w:line="226" w:lineRule="exact"/>
        <w:rPr>
          <w:sz w:val="20"/>
          <w:szCs w:val="20"/>
          <w:color w:val="auto"/>
        </w:rPr>
      </w:pPr>
    </w:p>
    <w:p>
      <w:pPr>
        <w:jc w:val="both"/>
        <w:ind w:left="600" w:hanging="595"/>
        <w:spacing w:after="0" w:line="293" w:lineRule="auto"/>
        <w:tabs>
          <w:tab w:leader="none" w:pos="5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Determination of inventorship will be made in accordance with US patent laws. The Parties will name only the true and real inventors according to their contributions to each invention.</w:t>
      </w:r>
    </w:p>
    <w:p>
      <w:pPr>
        <w:spacing w:after="0" w:line="153" w:lineRule="exact"/>
        <w:rPr>
          <w:sz w:val="20"/>
          <w:szCs w:val="20"/>
          <w:color w:val="auto"/>
        </w:rPr>
      </w:pPr>
    </w:p>
    <w:p>
      <w:pPr>
        <w:jc w:val="both"/>
        <w:ind w:left="600" w:hanging="595"/>
        <w:spacing w:after="0" w:line="264" w:lineRule="auto"/>
        <w:tabs>
          <w:tab w:leader="none" w:pos="5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To the extent in line with Applicable Laws and unless equivalent measures are already provided on the basis of Applicable Laws, each Party shall ensure that employees and subcontractors of such Party or its respective Affiliates performing activities under this Agreement shall, prior to commencing such work, be bound by written invention assignment obligations requiring: (i) prompt reporting of any Patent Rights, Know-How, or other Intellectual Property Rights arising from such work; (ii) assignment to the applicable Party or Affiliate of his or her rights, title, and interests in, to and under any Patent Rights, Know-How, or other Intellectual Property Rights arising from such work; and (iii) performance of all acts and signing, executing, acknowledging, and delivering any and all documents required for effecting the obligations and purposes of this Agreement. Each Party shall comply with and shall be solely responsible for all applicable country-specific inventor remuneration laws and regulations, if inventor remuneration obligations are triggered by an employee of such Party or its Affiliates.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Joint Foreground IPR.</w:t>
      </w:r>
    </w:p>
    <w:p>
      <w:pPr>
        <w:spacing w:after="0" w:line="226" w:lineRule="exact"/>
        <w:rPr>
          <w:sz w:val="20"/>
          <w:szCs w:val="20"/>
          <w:color w:val="auto"/>
        </w:rPr>
      </w:pPr>
    </w:p>
    <w:p>
      <w:pPr>
        <w:jc w:val="both"/>
        <w:ind w:left="600" w:hanging="595"/>
        <w:spacing w:after="0" w:line="274" w:lineRule="auto"/>
        <w:tabs>
          <w:tab w:leader="none" w:pos="58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Unless otherwise authorized under this Agreement, neither Party may sell, transfer or assign any Joint Foreground IPR without prior written consent of the other Party and provided that such consent shall not be required for an assignment by a Party (a) to an Affiliate of the assigning Party, or</w:t>
      </w:r>
    </w:p>
    <w:p>
      <w:pPr>
        <w:spacing w:after="0" w:line="1" w:lineRule="exact"/>
        <w:rPr>
          <w:sz w:val="20"/>
          <w:szCs w:val="20"/>
          <w:color w:val="auto"/>
        </w:rPr>
      </w:pPr>
    </w:p>
    <w:p>
      <w:pPr>
        <w:ind w:left="600" w:hanging="3"/>
        <w:spacing w:after="0" w:line="288" w:lineRule="auto"/>
        <w:tabs>
          <w:tab w:leader="none" w:pos="85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always to Section 2.6 above, in a Change of Control. Any such assignment of Joint Foreground IPR to an Affiliate shall be made only on the condition (to be recorded in such</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0"/>
        <w:spacing w:after="0" w:line="278" w:lineRule="auto"/>
        <w:rPr>
          <w:sz w:val="20"/>
          <w:szCs w:val="20"/>
          <w:color w:val="auto"/>
        </w:rPr>
      </w:pPr>
      <w:r>
        <w:rPr>
          <w:rFonts w:ascii="Times New Roman" w:cs="Times New Roman" w:eastAsia="Times New Roman" w:hAnsi="Times New Roman"/>
          <w:sz w:val="18"/>
          <w:szCs w:val="18"/>
          <w:color w:val="auto"/>
        </w:rPr>
        <w:t>assignment) that, if such Affiliate ceases to become an Affiliate of the assigning Party, then the Affiliate shall be obliged, at that time, to assign back to the assigning Party all of its rights to and in such Joint Foreground IPR at its own cost, and shall execute all necessary documents and take all necessary steps to record and perfect such assignment back.</w:t>
      </w:r>
    </w:p>
    <w:p>
      <w:pPr>
        <w:spacing w:after="0" w:line="167" w:lineRule="exact"/>
        <w:rPr>
          <w:sz w:val="20"/>
          <w:szCs w:val="20"/>
          <w:color w:val="auto"/>
        </w:rPr>
      </w:pPr>
    </w:p>
    <w:p>
      <w:pPr>
        <w:jc w:val="both"/>
        <w:ind w:left="600" w:hanging="595"/>
        <w:spacing w:after="0" w:line="271" w:lineRule="auto"/>
        <w:tabs>
          <w:tab w:leader="none" w:pos="58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Subject to the mutual licenses granted by the Parties to each other under this Agreement under the Joint Foreground IPR, and subject to the exclusivity obligations of the Parties, each Party will have an equal and undivided interest in the Joint Foreground IPR, and [***] (i) is [***], (ii) does [***] and (iii) does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and Prosecution of Joint Foreground IPR.</w:t>
      </w:r>
    </w:p>
    <w:p>
      <w:pPr>
        <w:spacing w:after="0" w:line="226" w:lineRule="exact"/>
        <w:rPr>
          <w:sz w:val="20"/>
          <w:szCs w:val="20"/>
          <w:color w:val="auto"/>
        </w:rPr>
      </w:pPr>
    </w:p>
    <w:p>
      <w:pPr>
        <w:jc w:val="both"/>
        <w:ind w:left="600" w:hanging="595"/>
        <w:spacing w:after="0" w:line="264" w:lineRule="auto"/>
        <w:tabs>
          <w:tab w:leader="none" w:pos="58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Whenever required or appropriate, both Parties shall discuss and agree the patenting strategy for any Joint Foreground IPR which may arise, including deciding on the timing for the filing of any patent application, the countries in which patent applications should be filed and the Party that will take the lead in drafting, filing, prosecuting, maintaining and/or defending particular Joint Foreground IPR (the “</w:t>
      </w:r>
      <w:r>
        <w:rPr>
          <w:rFonts w:ascii="Times New Roman" w:cs="Times New Roman" w:eastAsia="Times New Roman" w:hAnsi="Times New Roman"/>
          <w:sz w:val="18"/>
          <w:szCs w:val="18"/>
          <w:b w:val="1"/>
          <w:bCs w:val="1"/>
          <w:color w:val="auto"/>
        </w:rPr>
        <w:t>Lead Prosecuting Party</w:t>
      </w:r>
      <w:r>
        <w:rPr>
          <w:rFonts w:ascii="Times New Roman" w:cs="Times New Roman" w:eastAsia="Times New Roman" w:hAnsi="Times New Roman"/>
          <w:sz w:val="18"/>
          <w:szCs w:val="18"/>
          <w:color w:val="auto"/>
        </w:rPr>
        <w:t>”). The level of generalization of any jointly owned inventions shall be discussed if and when the filing of a patent application is envisaged so as to afford the Parties the broadest possible Patent Right. Unless agreed otherwise, or if the Parties cannot agree, then [***] shall have the first right (but no obligation) to be the Lead Prosecuting Party for any patent applications regarding Joint Foreground IPR relating to the Opt-In Products and [***] for the Joint Foreground IPR relating to the other Collaboration Products. If the Party with such first prosecution right chooses not to lead the prosecution, then it shall notify the other Party, which shall have the right (but no obligation) to lead such prosecution.</w:t>
      </w:r>
    </w:p>
    <w:p>
      <w:pPr>
        <w:spacing w:after="0" w:line="179" w:lineRule="exact"/>
        <w:rPr>
          <w:sz w:val="20"/>
          <w:szCs w:val="20"/>
          <w:color w:val="auto"/>
        </w:rPr>
      </w:pPr>
    </w:p>
    <w:p>
      <w:pPr>
        <w:jc w:val="both"/>
        <w:ind w:left="600" w:hanging="595"/>
        <w:spacing w:after="0" w:line="277" w:lineRule="auto"/>
        <w:tabs>
          <w:tab w:leader="none" w:pos="58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The Parties acknowledge and agree that unless otherwise agreed, the Lead Prosecuting Party shall have the first right (but not the obligation) to file a patent application (including any provisional, substitution, divisional, continuation, continuation in part, reissue, renewal, reexamination, extension, supplementary protection certificate and the like) in respect of any Joint Foreground IPR (each, a “</w:t>
      </w:r>
      <w:r>
        <w:rPr>
          <w:rFonts w:ascii="Times New Roman" w:cs="Times New Roman" w:eastAsia="Times New Roman" w:hAnsi="Times New Roman"/>
          <w:sz w:val="17"/>
          <w:szCs w:val="17"/>
          <w:b w:val="1"/>
          <w:bCs w:val="1"/>
          <w:color w:val="auto"/>
        </w:rPr>
        <w:t>Joint Patent Application</w:t>
      </w:r>
      <w:r>
        <w:rPr>
          <w:rFonts w:ascii="Times New Roman" w:cs="Times New Roman" w:eastAsia="Times New Roman" w:hAnsi="Times New Roman"/>
          <w:sz w:val="17"/>
          <w:szCs w:val="17"/>
          <w:color w:val="auto"/>
        </w:rPr>
        <w:t>”), using patent counsel selected by the Lead Prosecuting Party and reasonably acceptable to the other Party. Notwithstanding the foregoing, when deciding whether to</w:t>
      </w:r>
    </w:p>
    <w:p>
      <w:pPr>
        <w:spacing w:after="0" w:line="1" w:lineRule="exact"/>
        <w:rPr>
          <w:sz w:val="20"/>
          <w:szCs w:val="20"/>
          <w:color w:val="auto"/>
        </w:rPr>
      </w:pPr>
    </w:p>
    <w:p>
      <w:pPr>
        <w:ind w:left="800" w:hanging="203"/>
        <w:spacing w:after="0"/>
        <w:tabs>
          <w:tab w:leader="none" w:pos="8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(ii) [***] following which the Parties shall [***]. For the purposes of this subclause 9.10:</w:t>
      </w:r>
    </w:p>
    <w:p>
      <w:pPr>
        <w:spacing w:after="0" w:line="217" w:lineRule="exact"/>
        <w:rPr>
          <w:rFonts w:ascii="Times New Roman" w:cs="Times New Roman" w:eastAsia="Times New Roman" w:hAnsi="Times New Roman"/>
          <w:sz w:val="18"/>
          <w:szCs w:val="18"/>
          <w:color w:val="auto"/>
        </w:rPr>
      </w:pPr>
    </w:p>
    <w:p>
      <w:pPr>
        <w:jc w:val="both"/>
        <w:ind w:left="1800" w:hanging="602"/>
        <w:spacing w:after="0" w:line="272" w:lineRule="auto"/>
        <w:tabs>
          <w:tab w:leader="none" w:pos="1799"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 System</w:t>
      </w:r>
      <w:r>
        <w:rPr>
          <w:rFonts w:ascii="Times New Roman" w:cs="Times New Roman" w:eastAsia="Times New Roman" w:hAnsi="Times New Roman"/>
          <w:sz w:val="18"/>
          <w:szCs w:val="18"/>
          <w:color w:val="auto"/>
        </w:rPr>
        <w:t>” means the system for a new Unified Patent Court established pursuant to the Regulation (EU) No 1257/2012 on the Unitary Patent, the Agreement on a Unified Patent Court dated 19 February 2013, the Protocol to the UPC Agreement dated October 2015, and the Rules of Procedure of the Unified Patent Court dated 8 July 2022, each as amended from time to time.</w:t>
      </w:r>
    </w:p>
    <w:p>
      <w:pPr>
        <w:spacing w:after="0" w:line="170" w:lineRule="exact"/>
        <w:rPr>
          <w:rFonts w:ascii="Times New Roman" w:cs="Times New Roman" w:eastAsia="Times New Roman" w:hAnsi="Times New Roman"/>
          <w:sz w:val="18"/>
          <w:szCs w:val="18"/>
          <w:color w:val="auto"/>
        </w:rPr>
      </w:pPr>
    </w:p>
    <w:p>
      <w:pPr>
        <w:ind w:left="1800" w:hanging="602"/>
        <w:spacing w:after="0" w:line="295" w:lineRule="auto"/>
        <w:tabs>
          <w:tab w:leader="none" w:pos="1798"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Unitary Patent</w:t>
      </w:r>
      <w:r>
        <w:rPr>
          <w:rFonts w:ascii="Times New Roman" w:cs="Times New Roman" w:eastAsia="Times New Roman" w:hAnsi="Times New Roman"/>
          <w:sz w:val="18"/>
          <w:szCs w:val="18"/>
          <w:color w:val="auto"/>
        </w:rPr>
        <w:t>” means the new European patent with unitary effect covering multiple UPC States and administered by the European Patent Office as established pursuant to Regulation (EU) No 1257/2012.</w:t>
      </w:r>
    </w:p>
    <w:p>
      <w:pPr>
        <w:spacing w:after="0" w:line="149" w:lineRule="exact"/>
        <w:rPr>
          <w:rFonts w:ascii="Times New Roman" w:cs="Times New Roman" w:eastAsia="Times New Roman" w:hAnsi="Times New Roman"/>
          <w:sz w:val="18"/>
          <w:szCs w:val="18"/>
          <w:color w:val="auto"/>
        </w:rPr>
      </w:pPr>
    </w:p>
    <w:p>
      <w:pPr>
        <w:ind w:left="1800" w:hanging="602"/>
        <w:spacing w:after="0" w:line="280" w:lineRule="auto"/>
        <w:tabs>
          <w:tab w:leader="none" w:pos="179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 State</w:t>
      </w:r>
      <w:r>
        <w:rPr>
          <w:rFonts w:ascii="Times New Roman" w:cs="Times New Roman" w:eastAsia="Times New Roman" w:hAnsi="Times New Roman"/>
          <w:sz w:val="18"/>
          <w:szCs w:val="18"/>
          <w:color w:val="auto"/>
        </w:rPr>
        <w:t>” means any EU Member State that at the relevant date has signed and ratified the Agreement on a Unified Patent Court dated 19 February 2013.</w:t>
      </w:r>
    </w:p>
    <w:p>
      <w:pPr>
        <w:spacing w:after="0" w:line="165" w:lineRule="exact"/>
        <w:rPr>
          <w:sz w:val="20"/>
          <w:szCs w:val="20"/>
          <w:color w:val="auto"/>
        </w:rPr>
      </w:pPr>
    </w:p>
    <w:p>
      <w:pPr>
        <w:ind w:left="580" w:hanging="595"/>
        <w:spacing w:after="0" w:line="324" w:lineRule="auto"/>
        <w:tabs>
          <w:tab w:leader="none" w:pos="56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In any event, the Parties shall consult and reasonably cooperate with one another to jointly agree on (i) the preparation, filing, prosecution (including prosecution strategy) and maintenance of such Joint Patent Application and OMT and Molecular Partners shall equally share the expenses</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0"/>
        <w:spacing w:after="0" w:line="267" w:lineRule="auto"/>
        <w:rPr>
          <w:sz w:val="20"/>
          <w:szCs w:val="20"/>
          <w:color w:val="auto"/>
        </w:rPr>
      </w:pPr>
      <w:r>
        <w:rPr>
          <w:rFonts w:ascii="Times New Roman" w:cs="Times New Roman" w:eastAsia="Times New Roman" w:hAnsi="Times New Roman"/>
          <w:sz w:val="18"/>
          <w:szCs w:val="18"/>
          <w:color w:val="auto"/>
        </w:rPr>
        <w:t>associated therewith, and (ii) the maintenance and defense of any joint Patent Rights and shall equally share the expenses associated therewith. The Lead Prosecuting Party shall provide to the other Party copies of any papers related to such Joint Patent Applications reasonably in advance of any submission to the relevant patent office or other registry so that the other Party can comment and provide input. The Lead Prosecuting Party shall not finally abandon or disclaim any claims that it has been informed are of interest to the other Party without prior consultation with the other Party. For the avoidance of doubt, both the Lead Prosecuting Party and the other Party shall be both fully and equally considered as the beneficial owners of the rights derived from any Joint Foreground IPR.</w:t>
      </w:r>
    </w:p>
    <w:p>
      <w:pPr>
        <w:spacing w:after="0" w:line="176" w:lineRule="exact"/>
        <w:rPr>
          <w:sz w:val="20"/>
          <w:szCs w:val="20"/>
          <w:color w:val="auto"/>
        </w:rPr>
      </w:pPr>
    </w:p>
    <w:p>
      <w:pPr>
        <w:jc w:val="both"/>
        <w:ind w:left="600" w:hanging="595"/>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If a Party does not want to file a patent application for a Joint Foreground IPR (either generally or with respect to a particular country) or at any point after the initial filing wishes to discontinue the prosecution, maintenance or defense of a Joint Patent Application or joint Patent, the other Party, at its sole option, may file such a patent application and/or may continue such prosecution, maintenance or defense at its sole expense. In such event, the opting-out Party shall execute such documents and perform such acts, at the other Party’s expense, as may be reasonably necessary in a timely manner to assign such Joint Foreground IPR to the other Party (in such country or all countries, as applicable) to allow the other Party to continue such Joint Foreground IPR. Any Joint Patent Application or Joint Foreground IPR so assigned shall thereafter be owned solely by the other Party and treated as Sole Patent Rights hereunder.</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u w:val="single" w:color="auto"/>
          <w:color w:val="auto"/>
        </w:rPr>
        <w:t>Separation of Patent Rights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9" w:lineRule="auto"/>
        <w:tabs>
          <w:tab w:leader="none" w:pos="119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use good faith efforts to separate Molecular Partners Patents, OMT Patents and jointly owned Patent Rights into separate filings to the extent possible and without adversely impacting prosecution and maintenance of Molecular Partners Patents, OMT Patents and jointly-owned Patent Rights with a view to minimizing the inclusion of one Party’s Sole Ownership in the other Party’s Sole Patent Rights and/or in any jointly-owned Patent Right.</w:t>
      </w:r>
    </w:p>
    <w:p>
      <w:pPr>
        <w:spacing w:after="0" w:line="173" w:lineRule="exact"/>
        <w:rPr>
          <w:rFonts w:ascii="Times New Roman" w:cs="Times New Roman" w:eastAsia="Times New Roman" w:hAnsi="Times New Roman"/>
          <w:sz w:val="18"/>
          <w:szCs w:val="18"/>
          <w:color w:val="auto"/>
        </w:rPr>
      </w:pPr>
    </w:p>
    <w:p>
      <w:pPr>
        <w:jc w:val="both"/>
        <w:ind w:left="1200" w:hanging="600"/>
        <w:spacing w:after="0" w:line="267" w:lineRule="auto"/>
        <w:tabs>
          <w:tab w:leader="none" w:pos="118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interest of isolating where possible each Party’s Sole Patent Rights and/or any jointly-owned Patent Rights in distinct instruments, each Party shall make good faith efforts to supply to the other Party information regarding contemplated applications of its Sole Patent Rights within reasonable timeframe before the relevant filing and in sufficient details to allow the other Party to advise of its views concerning the separation of Patent Rights as per this Section 9.13. Each Party shall, upon receipt of such views from the other Party, take necessary reasonable actions, including amendments to the patent application in preparation, to ensure that its patent application complies with the terms and conditions hereunder.</w:t>
      </w:r>
    </w:p>
    <w:p>
      <w:pPr>
        <w:spacing w:after="0" w:line="176"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9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arising out of, relating to or in connection with this Section 9.13 shall be escalated to the Parties’ respective Executive Officers, who shall attempt to settle such dispute within [***], or such longer period as may be mutually agreed. In the event that the Parties’ respective Executive Officers cannot settle such issue within the designated period, the issue shall be subject to a dispute resolution procedure pursuant to Section 13.3.</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u w:val="single" w:color="auto"/>
          <w:color w:val="auto"/>
        </w:rPr>
        <w:t>Infringement of Patent Rights by Third Parties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9" w:lineRule="auto"/>
        <w:tabs>
          <w:tab w:leader="none" w:pos="119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Molecular Partners Patents</w:t>
      </w:r>
      <w:r>
        <w:rPr>
          <w:rFonts w:ascii="Times New Roman" w:cs="Times New Roman" w:eastAsia="Times New Roman" w:hAnsi="Times New Roman"/>
          <w:sz w:val="18"/>
          <w:szCs w:val="18"/>
          <w:color w:val="auto"/>
        </w:rPr>
        <w:t>. For all infringement or misappropriation by a Third Party of Molecular Partners Patents, of which Molecular Partners or its in-house patent counsel becomes aware anywhere in the world, [***] shall have the [***] to prosecute such infringement as it may determine in its sole and absolute discretion, and [***] shall bear all related expenses and retain all related recoveries. [***] shall reasonably cooperate with [***] or its designee, at Molecular Partners’ request and expense, in any such action.</w:t>
      </w:r>
    </w:p>
    <w:p>
      <w:pPr>
        <w:spacing w:after="0" w:line="173" w:lineRule="exact"/>
        <w:rPr>
          <w:rFonts w:ascii="Times New Roman" w:cs="Times New Roman" w:eastAsia="Times New Roman" w:hAnsi="Times New Roman"/>
          <w:sz w:val="18"/>
          <w:szCs w:val="18"/>
          <w:color w:val="auto"/>
        </w:rPr>
      </w:pPr>
    </w:p>
    <w:p>
      <w:pPr>
        <w:jc w:val="both"/>
        <w:ind w:left="1200" w:hanging="600"/>
        <w:spacing w:after="0" w:line="273" w:lineRule="auto"/>
        <w:tabs>
          <w:tab w:leader="none" w:pos="118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OMT Patents.</w:t>
      </w:r>
      <w:r>
        <w:rPr>
          <w:rFonts w:ascii="Times New Roman" w:cs="Times New Roman" w:eastAsia="Times New Roman" w:hAnsi="Times New Roman"/>
          <w:sz w:val="18"/>
          <w:szCs w:val="18"/>
          <w:color w:val="auto"/>
        </w:rPr>
        <w:t xml:space="preserve"> For all infringement or misappropriation by a Third Party of OMT Patents, of which OMT or its in-house patent counsel becomes aware anywhere in the world, [***] shall have the [***] right to prosecute such infringement as it may determine in its sole and absolute discretion, and [***] shall bear all related expenses and retain all related recoveries. [***] shall reasonably cooperate with [***] or its designee, at OMT’s request and expense, in any such action.</w:t>
      </w:r>
    </w:p>
    <w:p>
      <w:pPr>
        <w:spacing w:after="0" w:line="159" w:lineRule="exact"/>
        <w:rPr>
          <w:rFonts w:ascii="Times New Roman" w:cs="Times New Roman" w:eastAsia="Times New Roman" w:hAnsi="Times New Roman"/>
          <w:sz w:val="18"/>
          <w:szCs w:val="18"/>
          <w:color w:val="auto"/>
        </w:rPr>
      </w:pPr>
    </w:p>
    <w:p>
      <w:pPr>
        <w:jc w:val="both"/>
        <w:ind w:left="1200" w:hanging="600"/>
        <w:spacing w:after="0" w:line="266" w:lineRule="auto"/>
        <w:tabs>
          <w:tab w:leader="none" w:pos="119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jointly owned Patent Rights</w:t>
      </w:r>
      <w:r>
        <w:rPr>
          <w:rFonts w:ascii="Times New Roman" w:cs="Times New Roman" w:eastAsia="Times New Roman" w:hAnsi="Times New Roman"/>
          <w:sz w:val="18"/>
          <w:szCs w:val="18"/>
          <w:color w:val="auto"/>
        </w:rPr>
        <w:t>. For all infringement or misappropriation by a Third Party of jointly owned Patent Rights or other Joint Foreground IPR, the Parties will discuss in good faith and determine the strategy and their respective roles to deal with the situation on a case-by-case basis. Unless agreed otherwise, or if the Parties cannot agree, then (i) [***] shall have the first right (but no obligation) to lead the enforcement of jointly owned Patent Rights or other Joint Foreground IPR relating to Collaboration Products where it is the Exploiting Party, and (ii) [***] shall have the first right (but no obligation) to lead the enforcement of jointly owned Patent Rights or other Joint Foreground IPR relating to Collaboration Products where it is the Exploiting Party. If the Party with such first enforcement right chooses not to lead the enforcement, then it shall notify the other Party, which shall have the right (but no obligation) to lead such enforcement.</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7"/>
          <w:szCs w:val="17"/>
          <w:u w:val="single" w:color="auto"/>
          <w:color w:val="auto"/>
        </w:rPr>
        <w:t>Infringement of Third Party IPR</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180" w:hanging="580"/>
        <w:spacing w:after="0"/>
        <w:tabs>
          <w:tab w:leader="none" w:pos="11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this Section 9.15 shall apply with respect to any Collaboration Products under this Agreement.</w:t>
      </w:r>
    </w:p>
    <w:p>
      <w:pPr>
        <w:spacing w:after="0" w:line="223" w:lineRule="exact"/>
        <w:rPr>
          <w:rFonts w:ascii="Times New Roman" w:cs="Times New Roman" w:eastAsia="Times New Roman" w:hAnsi="Times New Roman"/>
          <w:sz w:val="18"/>
          <w:szCs w:val="18"/>
          <w:color w:val="auto"/>
        </w:rPr>
      </w:pPr>
    </w:p>
    <w:p>
      <w:pPr>
        <w:jc w:val="both"/>
        <w:ind w:left="1200" w:hanging="600"/>
        <w:spacing w:after="0" w:line="267" w:lineRule="auto"/>
        <w:tabs>
          <w:tab w:leader="none" w:pos="118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a Party is or otherwise becomes aware that the activities relating to this Agreement (i) may infringe a patent, copyright or other proprietary right by a Third Party anywhere in the world, or (ii) are the subject of a claim of infringement of a patent, copyright or other proprietary right by a Third Party anywhere in the world, such Party shall promptly notify the other Party and, without regard to which Party first became aware, or is charged with said infringement and the venue of such claim, the Parties shall promptly confer to discuss the potential infringement and/or claim.</w:t>
      </w:r>
    </w:p>
    <w:p>
      <w:pPr>
        <w:spacing w:after="0" w:line="178" w:lineRule="exact"/>
        <w:rPr>
          <w:rFonts w:ascii="Times New Roman" w:cs="Times New Roman" w:eastAsia="Times New Roman" w:hAnsi="Times New Roman"/>
          <w:sz w:val="18"/>
          <w:szCs w:val="18"/>
          <w:color w:val="auto"/>
        </w:rPr>
      </w:pPr>
    </w:p>
    <w:p>
      <w:pPr>
        <w:jc w:val="both"/>
        <w:ind w:left="1200" w:hanging="600"/>
        <w:spacing w:after="0" w:line="271" w:lineRule="auto"/>
        <w:tabs>
          <w:tab w:leader="none" w:pos="119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Defence</w:t>
      </w:r>
      <w:r>
        <w:rPr>
          <w:rFonts w:ascii="Times New Roman" w:cs="Times New Roman" w:eastAsia="Times New Roman" w:hAnsi="Times New Roman"/>
          <w:sz w:val="18"/>
          <w:szCs w:val="18"/>
          <w:color w:val="auto"/>
        </w:rPr>
        <w:t>. If both Parties are charged with infringement pursuant to a claim described in Section 9.15(b), the Parties shall defend such claim jointly, unless they agree otherwise. If only one Party is charged with infringement, such Party will have the sole right but not the obligation to defend such claim.</w:t>
      </w:r>
    </w:p>
    <w:p>
      <w:pPr>
        <w:spacing w:after="0" w:line="172"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jointly defend the claim, Molecular Partners and OMT shall bear any costs and expenses of the defense of any such Third Party infringement claim in accordance</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200"/>
        <w:spacing w:after="0" w:line="273" w:lineRule="auto"/>
        <w:rPr>
          <w:sz w:val="20"/>
          <w:szCs w:val="20"/>
          <w:color w:val="auto"/>
        </w:rPr>
      </w:pPr>
      <w:r>
        <w:rPr>
          <w:rFonts w:ascii="Times New Roman" w:cs="Times New Roman" w:eastAsia="Times New Roman" w:hAnsi="Times New Roman"/>
          <w:sz w:val="18"/>
          <w:szCs w:val="18"/>
          <w:color w:val="auto"/>
        </w:rPr>
        <w:t>with such share ratio as reasonably agreed by both Parties taking into account how much the claim relates to each Party’s Background IPR or Sole Ownership, with the understanding that if the claim relates solely to one Party’s Background IPR or Sole Ownership, such Party will bear one hundred percent (100%) of the costs and expenses of the defense of such claim and shall have the sole right, but not the obligation, to defend, settle and otherwise handle the disposition of such claim</w:t>
      </w:r>
    </w:p>
    <w:p>
      <w:pPr>
        <w:spacing w:after="0" w:line="160" w:lineRule="exact"/>
        <w:rPr>
          <w:sz w:val="20"/>
          <w:szCs w:val="20"/>
          <w:color w:val="auto"/>
        </w:rPr>
      </w:pPr>
    </w:p>
    <w:p>
      <w:pPr>
        <w:jc w:val="both"/>
        <w:ind w:left="1200" w:hanging="600"/>
        <w:spacing w:after="0" w:line="267" w:lineRule="auto"/>
        <w:tabs>
          <w:tab w:leader="none" w:pos="119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enter into any settlement concerning activities under this Agreement or the RDC Agreement that affects the other Party’s rights under this Agreement, the Commercial Supply Agreement or Clinical Supply Agreement or imposes any obligations on the other Party, including any admissions of wrongdoing on behalf of the other Party, without such other Party’s prior written consent, not to be unreasonably withheld or delayed, except that a Party may settle any claim that solely relates to its Background IPR or Sole Ownership without the consent of the other Party as long as such other Party’s rights under this Agreement and the RDC Agreement are not adversely impacted (in which case, it will obtain such other Party’s prior written consent, not to be unreasonably withheld or delayed).</w:t>
      </w:r>
    </w:p>
    <w:p>
      <w:pPr>
        <w:spacing w:after="0" w:line="176" w:lineRule="exact"/>
        <w:rPr>
          <w:sz w:val="20"/>
          <w:szCs w:val="20"/>
          <w:color w:val="auto"/>
        </w:rPr>
      </w:pPr>
    </w:p>
    <w:p>
      <w:pPr>
        <w:ind w:left="600" w:hanging="595"/>
        <w:spacing w:after="0" w:line="293" w:lineRule="auto"/>
        <w:tabs>
          <w:tab w:leader="none" w:pos="58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The Exploiting Party shall own and Control any and all trademarks developed during the Term for the purposes of Commercialization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Collaboration Product for which it is the Exploiting Party, (the “</w:t>
      </w:r>
      <w:r>
        <w:rPr>
          <w:rFonts w:ascii="Times New Roman" w:cs="Times New Roman" w:eastAsia="Times New Roman" w:hAnsi="Times New Roman"/>
          <w:sz w:val="18"/>
          <w:szCs w:val="18"/>
          <w:b w:val="1"/>
          <w:bCs w:val="1"/>
          <w:color w:val="auto"/>
        </w:rPr>
        <w:t>Commercialization Trademarks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IPR Licences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7"/>
          <w:szCs w:val="17"/>
          <w:u w:val="single" w:color="auto"/>
          <w:color w:val="auto"/>
        </w:rPr>
        <w:t>R&amp;D Licences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Molecular Partners shall grant and herewith grants to OMT a non-exclusive worldwide license (with rights to sub-licence) under:</w:t>
      </w:r>
    </w:p>
    <w:p>
      <w:pPr>
        <w:spacing w:after="0" w:line="25" w:lineRule="exact"/>
        <w:rPr>
          <w:sz w:val="20"/>
          <w:szCs w:val="20"/>
          <w:color w:val="auto"/>
        </w:rPr>
      </w:pPr>
    </w:p>
    <w:p>
      <w:pPr>
        <w:ind w:left="1200"/>
        <w:spacing w:after="0" w:line="288" w:lineRule="auto"/>
        <w:rPr>
          <w:sz w:val="20"/>
          <w:szCs w:val="20"/>
          <w:color w:val="auto"/>
        </w:rPr>
      </w:pPr>
      <w:r>
        <w:rPr>
          <w:rFonts w:ascii="Times New Roman" w:cs="Times New Roman" w:eastAsia="Times New Roman" w:hAnsi="Times New Roman"/>
          <w:sz w:val="18"/>
          <w:szCs w:val="18"/>
          <w:color w:val="auto"/>
        </w:rPr>
        <w:t>(i) Molecular Partners Background; (ii) Molecular Partners’ interest in the Joint Foreground IPR; and (iii) Molecular Partners Foreground, to carry out all of OMT’s responsibilities under the R&amp;D Program.</w:t>
      </w:r>
    </w:p>
    <w:p>
      <w:pPr>
        <w:spacing w:after="0" w:line="157" w:lineRule="exact"/>
        <w:rPr>
          <w:sz w:val="20"/>
          <w:szCs w:val="20"/>
          <w:color w:val="auto"/>
        </w:rPr>
      </w:pPr>
    </w:p>
    <w:p>
      <w:pPr>
        <w:jc w:val="both"/>
        <w:ind w:left="1200" w:hanging="600"/>
        <w:spacing w:after="0" w:line="271" w:lineRule="auto"/>
        <w:tabs>
          <w:tab w:leader="none" w:pos="118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OMT shall grant and herewith grants to Molecular Partners a non-exclusive, worldwide license under: (i) OMT Background; (ii) OMT’s interest in the Joint Foreground IPR; and (iii) OMT Foreground, to carry out all of Molecular Partners’ responsibilities under the R&amp;D Program, including any activities assigned to it under an R&amp;D Plan (e.g., conduct of a Clinical Trial).</w:t>
      </w:r>
    </w:p>
    <w:p>
      <w:pPr>
        <w:spacing w:after="0" w:line="172"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Opt-In Date and solely with respect to any Opt-In Product(s), the licenses of Section 4.1 of the RDC Agreement shall extended to such Opt-In Product(s).</w:t>
      </w:r>
    </w:p>
    <w:p>
      <w:pPr>
        <w:spacing w:after="0" w:line="14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7"/>
          <w:szCs w:val="17"/>
          <w:u w:val="single" w:color="auto"/>
          <w:color w:val="auto"/>
        </w:rPr>
        <w:t>Commercial Licences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New Candidate or Collaboration Product other than with respect to any Opt-In Product which is the subject to a successful Opt-In OMT shall grant and herewith grants to Molecular Partners a non-exclusive, worldwide license (with rights to sublicence) under OMT Background and any OMT Foreground to Develop, Manufacture and Commercialise the New Candidates or Collaboration Products in return for payment of the Royalty Payment in accordance with Section 7.1(a) (which sets out the Royalty Payment for an Exclusive Product or Non-Exclusive Product, respectively).</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80" w:hanging="580"/>
        <w:spacing w:after="0"/>
        <w:tabs>
          <w:tab w:leader="none" w:pos="11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Opt-In Products, the licenses of the RDC Agreement shall apply.</w:t>
      </w:r>
    </w:p>
    <w:p>
      <w:pPr>
        <w:spacing w:after="0" w:line="223" w:lineRule="exact"/>
        <w:rPr>
          <w:rFonts w:ascii="Times New Roman" w:cs="Times New Roman" w:eastAsia="Times New Roman" w:hAnsi="Times New Roman"/>
          <w:sz w:val="18"/>
          <w:szCs w:val="18"/>
          <w:color w:val="auto"/>
        </w:rPr>
      </w:pPr>
    </w:p>
    <w:p>
      <w:pPr>
        <w:jc w:val="both"/>
        <w:ind w:left="1200" w:hanging="600"/>
        <w:spacing w:after="0" w:line="266" w:lineRule="auto"/>
        <w:tabs>
          <w:tab w:leader="none" w:pos="119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New Candidate or Collaboration Product to which Section 2.5(e)(i) or 2.6(b)(iv)(where the Remaining Party is OMT) applies, Molecular Partners shall grant and herewith grants to OMT a non-exclusive, worldwide license (with rights to sublicence) under:</w:t>
      </w:r>
    </w:p>
    <w:p>
      <w:pPr>
        <w:spacing w:after="0" w:line="1" w:lineRule="exact"/>
        <w:rPr>
          <w:rFonts w:ascii="Times New Roman" w:cs="Times New Roman" w:eastAsia="Times New Roman" w:hAnsi="Times New Roman"/>
          <w:sz w:val="18"/>
          <w:szCs w:val="18"/>
          <w:color w:val="auto"/>
        </w:rPr>
      </w:pPr>
    </w:p>
    <w:p>
      <w:pPr>
        <w:jc w:val="both"/>
        <w:ind w:left="1200" w:hanging="2"/>
        <w:spacing w:after="0" w:line="266" w:lineRule="auto"/>
        <w:tabs>
          <w:tab w:leader="none" w:pos="1462"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Molecular Partners Background; (ii) Molecular Partners’ interest in the Joint Foreground IPR; and (iii) any Molecular Partners Foreground, provided that with respect to any Exclusive Product, the license under the Product Specific IPR shall be exclusive (even as to Molecular Partners), to Develop, Manufacture and Commercialise such New Candidate or Collaboration Product on and subject to payment of equivalent Royalty Payments to those set out in Section 7.1 with respect to the rights granted under Section 2.5(e)(i) or 2.6(b)(iv), as applicable. Further, Molecular Partners shall use Commercially Reasonable Efforts to provide DARPin and related support consistent with its obligations under the Clinical Supply Agreement and Commercial Supply Agreement (as applicable).</w:t>
      </w:r>
    </w:p>
    <w:p>
      <w:pPr>
        <w:spacing w:after="0" w:line="16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7"/>
          <w:szCs w:val="17"/>
          <w:u w:val="single" w:color="auto"/>
          <w:color w:val="auto"/>
        </w:rPr>
        <w:t>Additional Licences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00" w:hanging="600"/>
        <w:spacing w:after="0" w:line="234" w:lineRule="auto"/>
        <w:tabs>
          <w:tab w:leader="none" w:pos="119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New Candidate or Collaboration Product that is subject to an Agreed Release Confirmation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the Parties shall consider granting the licenses below in the Agreed Release Confirmation:</w:t>
      </w:r>
    </w:p>
    <w:p>
      <w:pPr>
        <w:spacing w:after="0" w:line="198" w:lineRule="exact"/>
        <w:rPr>
          <w:rFonts w:ascii="Times New Roman" w:cs="Times New Roman" w:eastAsia="Times New Roman" w:hAnsi="Times New Roman"/>
          <w:sz w:val="18"/>
          <w:szCs w:val="18"/>
          <w:color w:val="auto"/>
        </w:rPr>
      </w:pPr>
    </w:p>
    <w:p>
      <w:pPr>
        <w:jc w:val="both"/>
        <w:ind w:left="1800" w:hanging="602"/>
        <w:spacing w:after="0" w:line="271" w:lineRule="auto"/>
        <w:tabs>
          <w:tab w:leader="none" w:pos="179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by OMT to Molecular Partners: a non-exclusive, worldwide license or, with the right to grant sublicenses to a sublicensee reasonably acceptable to OMT, under OMT’s interest in the Joint Foreground IPR to Exploit such New Candidate or Collaboration Product; and</w:t>
      </w:r>
    </w:p>
    <w:p>
      <w:pPr>
        <w:spacing w:after="0" w:line="172" w:lineRule="exact"/>
        <w:rPr>
          <w:rFonts w:ascii="Times New Roman" w:cs="Times New Roman" w:eastAsia="Times New Roman" w:hAnsi="Times New Roman"/>
          <w:sz w:val="18"/>
          <w:szCs w:val="18"/>
          <w:color w:val="auto"/>
        </w:rPr>
      </w:pPr>
    </w:p>
    <w:p>
      <w:pPr>
        <w:jc w:val="both"/>
        <w:ind w:left="1800" w:hanging="602"/>
        <w:spacing w:after="0" w:line="271" w:lineRule="auto"/>
        <w:tabs>
          <w:tab w:leader="none" w:pos="1798"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by Molecular Partners to OMT: a non-exclusive, worldwide license or, with the right to grant sublicenses to a sublicensee reasonably acceptable to Molecular Partners, under Molecular Partners’ interest in the Joint Foreground IPR to Exploit such New Candidate or Collaboration Product.</w:t>
      </w:r>
    </w:p>
    <w:p>
      <w:pPr>
        <w:spacing w:after="0" w:line="172" w:lineRule="exact"/>
        <w:rPr>
          <w:rFonts w:ascii="Times New Roman" w:cs="Times New Roman" w:eastAsia="Times New Roman" w:hAnsi="Times New Roman"/>
          <w:sz w:val="18"/>
          <w:szCs w:val="18"/>
          <w:color w:val="auto"/>
        </w:rPr>
      </w:pPr>
    </w:p>
    <w:p>
      <w:pPr>
        <w:jc w:val="both"/>
        <w:ind w:left="1200" w:hanging="600"/>
        <w:spacing w:after="0" w:line="264" w:lineRule="auto"/>
        <w:tabs>
          <w:tab w:leader="none" w:pos="118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Molecular Partners ceases a R&amp;D Program for a New Candidate or Collaboration Product and OMT undertake to pursue Development and commercialization of that New Candidate or Collaboration Product without further Molecular Partners involvement pursuant to Section 2.5(e)(i), Molecular Partners shall grant and herewith grants to OMT a non-exclusive, worldwide license (with rights to sublicence) under: (i) Molecular Partners Background; (ii) Molecular Partners’ interest in the Joint Foreground IPR; and (iii) any Sole Ownership, provided that with respect to any Exclusive Product the license under the Product Specific IPR shall be exclusive (even as to Molecular Partners), to Develop, Manufacture and Commercialise such New Candidates or Collaboration Products, on and subject to payment set forth in Section 2.5(e)(i). Further, Molecular Partners shall use Commercially Reasonable Efforts to provide DARPin and related support consistent with its obligations under the Clinical Supply Agreement and Commercial Supply Agreement (as applicable), which shall continue to apply mutatis mutandis solely with respect to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15436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15436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9" w:hanging="599"/>
        <w:spacing w:after="0"/>
        <w:tabs>
          <w:tab w:leader="none" w:pos="599"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2" w:lineRule="exact"/>
        <w:rPr>
          <w:sz w:val="20"/>
          <w:szCs w:val="20"/>
          <w:color w:val="auto"/>
        </w:rPr>
      </w:pPr>
    </w:p>
    <w:p>
      <w:pPr>
        <w:jc w:val="both"/>
        <w:ind w:left="599" w:hanging="595"/>
        <w:spacing w:after="0" w:line="267" w:lineRule="auto"/>
        <w:tabs>
          <w:tab w:leader="none" w:pos="578"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OMT Indemnification</w:t>
      </w:r>
      <w:r>
        <w:rPr>
          <w:rFonts w:ascii="Times New Roman" w:cs="Times New Roman" w:eastAsia="Times New Roman" w:hAnsi="Times New Roman"/>
          <w:sz w:val="18"/>
          <w:szCs w:val="18"/>
          <w:color w:val="auto"/>
        </w:rPr>
        <w:t>. OMT hereby agrees to defend, hold harmless and indemnify (collectively, “</w:t>
      </w:r>
      <w:r>
        <w:rPr>
          <w:rFonts w:ascii="Times New Roman" w:cs="Times New Roman" w:eastAsia="Times New Roman" w:hAnsi="Times New Roman"/>
          <w:sz w:val="18"/>
          <w:szCs w:val="18"/>
          <w:b w:val="1"/>
          <w:bCs w:val="1"/>
          <w:i w:val="1"/>
          <w:iCs w:val="1"/>
          <w:color w:val="auto"/>
        </w:rPr>
        <w:t>Indemnify</w:t>
      </w:r>
      <w:r>
        <w:rPr>
          <w:rFonts w:ascii="Times New Roman" w:cs="Times New Roman" w:eastAsia="Times New Roman" w:hAnsi="Times New Roman"/>
          <w:sz w:val="18"/>
          <w:szCs w:val="18"/>
          <w:color w:val="auto"/>
        </w:rPr>
        <w:t>”) Molecular Partners, its Affiliates,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its and their agents, directors, officers, and employees (the “</w:t>
      </w:r>
      <w:r>
        <w:rPr>
          <w:rFonts w:ascii="Times New Roman" w:cs="Times New Roman" w:eastAsia="Times New Roman" w:hAnsi="Times New Roman"/>
          <w:sz w:val="18"/>
          <w:szCs w:val="18"/>
          <w:b w:val="1"/>
          <w:bCs w:val="1"/>
          <w:i w:val="1"/>
          <w:iCs w:val="1"/>
          <w:color w:val="auto"/>
        </w:rPr>
        <w:t>Molecular Partners Indemnitees</w:t>
      </w:r>
      <w:r>
        <w:rPr>
          <w:rFonts w:ascii="Times New Roman" w:cs="Times New Roman" w:eastAsia="Times New Roman" w:hAnsi="Times New Roman"/>
          <w:sz w:val="18"/>
          <w:szCs w:val="18"/>
          <w:color w:val="auto"/>
        </w:rPr>
        <w:t>”) from and against any and all documented liabilities, expenses and/or losses, including without limitation reasonable legal expenses and attorneys’ fees (collectively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resulting from any suits, claims, actions and demands from a Third Party (each, a “</w:t>
      </w:r>
      <w:r>
        <w:rPr>
          <w:rFonts w:ascii="Times New Roman" w:cs="Times New Roman" w:eastAsia="Times New Roman" w:hAnsi="Times New Roman"/>
          <w:sz w:val="18"/>
          <w:szCs w:val="18"/>
          <w:b w:val="1"/>
          <w:bCs w:val="1"/>
          <w:i w:val="1"/>
          <w:iCs w:val="1"/>
          <w:color w:val="auto"/>
        </w:rPr>
        <w:t>Third Party Claim</w:t>
      </w:r>
      <w:r>
        <w:rPr>
          <w:rFonts w:ascii="Times New Roman" w:cs="Times New Roman" w:eastAsia="Times New Roman" w:hAnsi="Times New Roman"/>
          <w:sz w:val="18"/>
          <w:szCs w:val="18"/>
          <w:color w:val="auto"/>
        </w:rPr>
        <w:t>”) to the extent that they arise or result from (a) OMT’s contribution to the Development and, if OMT is the Exploiting Party, the Commercialization of any New Candidate or Collaboration Product under this Agreement; (b) the gross negligence or intentional misconduct of OMT, any OMT Indemnitee conducting activities on behalf of OMT under this Agreement; or (c) any material breach by OMT of any representation, warranty or covenant under this Agreement; but excluding, in each case, any such Losses to the extent arising from Molecular Partners’ breach of its obligations under this Agreement.</w:t>
      </w:r>
    </w:p>
    <w:p>
      <w:pPr>
        <w:spacing w:after="0" w:line="163" w:lineRule="exact"/>
        <w:rPr>
          <w:sz w:val="20"/>
          <w:szCs w:val="20"/>
          <w:color w:val="auto"/>
        </w:rPr>
      </w:pPr>
    </w:p>
    <w:p>
      <w:pPr>
        <w:jc w:val="both"/>
        <w:ind w:left="599" w:hanging="595"/>
        <w:spacing w:after="0" w:line="266" w:lineRule="auto"/>
        <w:tabs>
          <w:tab w:leader="none" w:pos="578"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Molecular Partners Indemnification</w:t>
      </w:r>
      <w:r>
        <w:rPr>
          <w:rFonts w:ascii="Times New Roman" w:cs="Times New Roman" w:eastAsia="Times New Roman" w:hAnsi="Times New Roman"/>
          <w:sz w:val="18"/>
          <w:szCs w:val="18"/>
          <w:color w:val="auto"/>
        </w:rPr>
        <w:t>. Molecular Partners hereby agrees to Indemnify OMT, its Affiliates, and its and their agents, directors, officers,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employees (the “</w:t>
      </w:r>
      <w:r>
        <w:rPr>
          <w:rFonts w:ascii="Times New Roman" w:cs="Times New Roman" w:eastAsia="Times New Roman" w:hAnsi="Times New Roman"/>
          <w:sz w:val="18"/>
          <w:szCs w:val="18"/>
          <w:b w:val="1"/>
          <w:bCs w:val="1"/>
          <w:i w:val="1"/>
          <w:iCs w:val="1"/>
          <w:color w:val="auto"/>
        </w:rPr>
        <w:t>OMT Indemnitees</w:t>
      </w:r>
      <w:r>
        <w:rPr>
          <w:rFonts w:ascii="Times New Roman" w:cs="Times New Roman" w:eastAsia="Times New Roman" w:hAnsi="Times New Roman"/>
          <w:sz w:val="18"/>
          <w:szCs w:val="18"/>
          <w:color w:val="auto"/>
        </w:rPr>
        <w:t>”) from and against any and all Losses resulting from Third Party Claims to the extent that they arise or result from (a) Molecular Partners’ contribution to the Development and, if Molecular Partners is the Exploiting Party, the Commercialization of any New Candidate or Collaboration Product under this Agreement, (b) the gross negligence or intentional misconduct of Molecular Partners, any Molecular Partners Indemnitee conducting activities on behalf of Molecular Partners under this Agreement; or (c) any material breach, by Molecular Partners of any representation, warranty or covenant under this Agreement; but excluding, in each case, any such Losses to the extent arising from OMT’s breach of its obligations under this Agreement.</w:t>
      </w:r>
    </w:p>
    <w:p>
      <w:pPr>
        <w:spacing w:after="0" w:line="180" w:lineRule="exact"/>
        <w:rPr>
          <w:sz w:val="20"/>
          <w:szCs w:val="20"/>
          <w:color w:val="auto"/>
        </w:rPr>
      </w:pPr>
    </w:p>
    <w:p>
      <w:pPr>
        <w:jc w:val="both"/>
        <w:ind w:left="599" w:hanging="595"/>
        <w:spacing w:after="0" w:line="264" w:lineRule="auto"/>
        <w:tabs>
          <w:tab w:leader="none" w:pos="578"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Each Party’s agreement to Indemnify the other Party is conditioned on the performance of the following by the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seeking indemnification: (a) promptly notifying the Indemnifying Party in writing that the Party seeking indemnification has received the Third Party Claim;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any delay in complying with the requirements of this Section 10.3(a) will only limit the Indemnifying Party’s obligation to the extent of the prejudice caused to the Indemnifying Party by such delay; (b) permitting the Indemnifying Party to assume, if it requests so, full control and responsibility to investigate, prepare for and defend against any such Third Party Claim; (c) providing necessary information and reasonable assistance to the Indemnifying Party, at the Indemnifying Party’s expense, in the investigation of, preparation for and defense of any Third Party Claim; and (d) not compromising or settling such Third Party Claim without the Indemnifying Party’s written consent, provided that such consent shall not be unreasonably withheld nor delayed. The Party seeking indemnification shall, in order to receive the indemnification for the Loss, provide the Indemnifying Party with the written evidence for any Loss incurred to such Party.</w:t>
      </w:r>
    </w:p>
    <w:p>
      <w:pPr>
        <w:spacing w:after="0" w:line="180" w:lineRule="exact"/>
        <w:rPr>
          <w:sz w:val="20"/>
          <w:szCs w:val="20"/>
          <w:color w:val="auto"/>
        </w:rPr>
      </w:pPr>
    </w:p>
    <w:p>
      <w:pPr>
        <w:jc w:val="both"/>
        <w:ind w:left="599" w:hanging="595"/>
        <w:spacing w:after="0" w:line="271" w:lineRule="auto"/>
        <w:tabs>
          <w:tab w:leader="none" w:pos="578"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Separate Defense of Claims</w:t>
      </w:r>
      <w:r>
        <w:rPr>
          <w:rFonts w:ascii="Times New Roman" w:cs="Times New Roman" w:eastAsia="Times New Roman" w:hAnsi="Times New Roman"/>
          <w:sz w:val="18"/>
          <w:szCs w:val="18"/>
          <w:color w:val="auto"/>
        </w:rPr>
        <w:t>. In the event that the Parties cannot agree as to the application of Sections 10.1, 10.2 and/or 10.3 to any particular Loss,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Parties may conduct separate defences of such Loss. Each Party further reserves the right to claim indemnity from the other in accordance with Sections 10.1, 10.2 and/or 10.3 upon resolution of the underlying claim.</w:t>
      </w:r>
    </w:p>
    <w:p>
      <w:pPr>
        <w:spacing w:after="0" w:line="173" w:lineRule="exact"/>
        <w:rPr>
          <w:sz w:val="20"/>
          <w:szCs w:val="20"/>
          <w:color w:val="auto"/>
        </w:rPr>
      </w:pPr>
    </w:p>
    <w:p>
      <w:pPr>
        <w:jc w:val="both"/>
        <w:ind w:left="599" w:hanging="595"/>
        <w:spacing w:after="0" w:line="293" w:lineRule="auto"/>
        <w:tabs>
          <w:tab w:leader="none" w:pos="578"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commercially reasonable levels of insurance or other adequate and commercially reasonable forms of protection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self-insurance to satisfy its indemnification obligations under this Agreement. Each Party shall provide the other Party with</w:t>
      </w:r>
    </w:p>
    <w:p>
      <w:pPr>
        <w:sectPr>
          <w:pgSz w:w="11900" w:h="16838" w:orient="portrait"/>
          <w:cols w:equalWidth="0" w:num="1">
            <w:col w:w="11239"/>
          </w:cols>
          <w:pgMar w:left="321" w:top="1440" w:right="339" w:bottom="1440" w:gutter="0" w:footer="0" w:header="0"/>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0"/>
        <w:spacing w:after="0" w:line="278" w:lineRule="auto"/>
        <w:rPr>
          <w:sz w:val="20"/>
          <w:szCs w:val="20"/>
          <w:color w:val="auto"/>
        </w:rPr>
      </w:pPr>
      <w:r>
        <w:rPr>
          <w:rFonts w:ascii="Times New Roman" w:cs="Times New Roman" w:eastAsia="Times New Roman" w:hAnsi="Times New Roman"/>
          <w:sz w:val="18"/>
          <w:szCs w:val="18"/>
          <w:color w:val="auto"/>
        </w:rPr>
        <w:t>written notice at least [***] prior to the cancellation, non-renewal or material change in such insurance or self-insurance which would materially adversely affect the rights of the other Party hereunder. The maintenance of any insurance shall not constitute any limit or restriction on damages available to a Party under this Agreement.</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8"/>
          <w:szCs w:val="18"/>
          <w:color w:val="auto"/>
        </w:rPr>
        <w:t>NEITHER PARTY SHALL BE LIABLE TO THE OTHER PARTY FOR INDIRECT, INCIDENTAL, CONSEQUENTIAL OR SPECIAL DAMAGES, INCLUDING BUT NOT LIMITED TO LOST PROFITS, ARISING FROM OR RELATING TO THIS AGREEMENT AND/OR SUCH PARTY’S PERFORMANCE HEREUNDER, REGARDLESS OF ANY NOTICE OF THE POSSIBILITY OF SUCH DAMAGES AND REGARDLESS OF THE CAUSE OF ACTION (WHETHER IN CONTRACT, TORT, BREACH OF WARRANTY OR OTHERWISE).</w:t>
      </w:r>
    </w:p>
    <w:p>
      <w:pPr>
        <w:spacing w:after="0" w:line="173" w:lineRule="exact"/>
        <w:rPr>
          <w:sz w:val="20"/>
          <w:szCs w:val="20"/>
          <w:color w:val="auto"/>
        </w:rPr>
      </w:pPr>
    </w:p>
    <w:p>
      <w:pPr>
        <w:jc w:val="both"/>
        <w:ind w:left="600"/>
        <w:spacing w:after="0" w:line="269" w:lineRule="auto"/>
        <w:rPr>
          <w:sz w:val="20"/>
          <w:szCs w:val="20"/>
          <w:color w:val="auto"/>
        </w:rPr>
      </w:pPr>
      <w:r>
        <w:rPr>
          <w:rFonts w:ascii="Times New Roman" w:cs="Times New Roman" w:eastAsia="Times New Roman" w:hAnsi="Times New Roman"/>
          <w:sz w:val="18"/>
          <w:szCs w:val="18"/>
          <w:color w:val="auto"/>
        </w:rPr>
        <w:t>EACH PARTY’S MAXIMUM, CUMULATIVE LIABILITY ARISING OUT OF OR RELATING TO THE COLLABORATION PURSUANT TO THIS AGREEMENT AND/OR SUCH PARTY’S PERFORMANCE RELATING THERETO, REGARDLESS OF THE CAUSE OF ACTION (WHETHER IN CONTRACT, TORT, BREACH OF WARRANTY, INDEMNITY OR OTHERWISE), WILL NOT EXCEED FOR ALL CLAIMS UNDER THE AGREEMENT [***] PROVIDED, HOWEVER, SUCH LIMITATION SHALL NOT APPLY TO EITHER PARTY’S INDEMNIFICATION OBLIGATION ARISING OUT OF, RELATING TO OR RESULTING FROM (1) ANY BREACH OF SUCH PARTY’S EXCLUSIVITY OBLIGATIONS, REPRESENTATIONS AND WARRANTIES AND CONFIDENTIALITY OBLIGATIONS, OR (2) THIRD PARTY CLAIMS OR (3) GROSS NEGLIGENCE OR INTENTIONAL MISCONDUCT.</w:t>
      </w:r>
    </w:p>
    <w:p>
      <w:pPr>
        <w:spacing w:after="0" w:line="162" w:lineRule="exact"/>
        <w:rPr>
          <w:sz w:val="20"/>
          <w:szCs w:val="20"/>
          <w:color w:val="auto"/>
        </w:rPr>
      </w:pPr>
    </w:p>
    <w:p>
      <w:pPr>
        <w:jc w:val="both"/>
        <w:ind w:left="600"/>
        <w:spacing w:after="0" w:line="273" w:lineRule="auto"/>
        <w:rPr>
          <w:sz w:val="20"/>
          <w:szCs w:val="20"/>
          <w:color w:val="auto"/>
        </w:rPr>
      </w:pPr>
      <w:r>
        <w:rPr>
          <w:rFonts w:ascii="Times New Roman" w:cs="Times New Roman" w:eastAsia="Times New Roman" w:hAnsi="Times New Roman"/>
          <w:sz w:val="18"/>
          <w:szCs w:val="18"/>
          <w:color w:val="auto"/>
        </w:rPr>
        <w:t>NOTHING IN THIS SECTION 10.6 SHALL LIMIT OR RESTRICT A PARTY’S LIABILITY TO THE EXTENT THAT IT MAY NOT BE SO EXCLUDED UNDER APPLICABLE LAWS, IN PARTICULAR UNDER BELGIAN LAW, INCLUDING (I) ANY STATUTORY LIABILITY UNDER MANDATORY LAWS, SUCH AS PRODUCT LIABILITY, PHARMACEUTICAL LIABILITY ETC. AND (II) ANY LIABILITY IN TORT FOR DEATH OR PERSONAL INJURY CAUSED BY THAT PARTY’S NEGLIGENCE, OR LIABILITY FOR FRAUD.</w:t>
      </w:r>
    </w:p>
    <w:p>
      <w:pPr>
        <w:spacing w:after="0" w:line="173" w:lineRule="exact"/>
        <w:rPr>
          <w:sz w:val="20"/>
          <w:szCs w:val="20"/>
          <w:color w:val="auto"/>
        </w:rPr>
      </w:pPr>
    </w:p>
    <w:p>
      <w:pPr>
        <w:jc w:val="both"/>
        <w:ind w:left="600"/>
        <w:spacing w:after="0" w:line="302" w:lineRule="auto"/>
        <w:rPr>
          <w:sz w:val="20"/>
          <w:szCs w:val="20"/>
          <w:color w:val="auto"/>
        </w:rPr>
      </w:pPr>
      <w:r>
        <w:rPr>
          <w:rFonts w:ascii="Times New Roman" w:cs="Times New Roman" w:eastAsia="Times New Roman" w:hAnsi="Times New Roman"/>
          <w:sz w:val="17"/>
          <w:szCs w:val="17"/>
          <w:color w:val="auto"/>
        </w:rPr>
        <w:t>FOR THE SAKE OF CLARITY, NOTHING CONSTRUED HEREIN SHALL PREVENT EITHER PARTY’S RIGHT TO SEEK PRELIMINARY AND PERMANENT INJUNCTIVE RELIEF, WITHOUT THE NECESSITY OF PROVIDING ACTUAL DAMAGES. SUCH RIGHT SHALL BE CUMULATIVE AND IN ADDITION TO ANY OTHER RIGHTS OR REMEDIES TO WHICH EITHER PARTY MAY BE ENTITLED.</w:t>
      </w:r>
    </w:p>
    <w:p>
      <w:pPr>
        <w:spacing w:after="0" w:line="147" w:lineRule="exact"/>
        <w:rPr>
          <w:sz w:val="20"/>
          <w:szCs w:val="20"/>
          <w:color w:val="auto"/>
        </w:rPr>
      </w:pPr>
    </w:p>
    <w:p>
      <w:pPr>
        <w:ind w:left="580" w:hanging="579"/>
        <w:spacing w:after="0"/>
        <w:tabs>
          <w:tab w:leader="none" w:pos="58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6" w:lineRule="exact"/>
        <w:rPr>
          <w:sz w:val="20"/>
          <w:szCs w:val="20"/>
          <w:color w:val="auto"/>
        </w:rPr>
      </w:pPr>
    </w:p>
    <w:p>
      <w:pPr>
        <w:jc w:val="both"/>
        <w:ind w:left="580" w:hanging="595"/>
        <w:spacing w:after="0" w:line="271" w:lineRule="auto"/>
        <w:tabs>
          <w:tab w:leader="none" w:pos="5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 effective as of the Effective Date and, unless terminated earlier pursuant to Section 11.2, 11.3 or 11.4 or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termination right expressly stated in this Agreement by the Parties in writing, shall continue in effect in respect of each Collaboration Product from the Effective Date until completion of all Commercialization activities for such Collaboration Product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Termination for Material Breach</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left="1200" w:hanging="600"/>
        <w:spacing w:after="0" w:line="283" w:lineRule="auto"/>
        <w:tabs>
          <w:tab w:leader="none" w:pos="119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and Cure Period</w:t>
      </w:r>
      <w:r>
        <w:rPr>
          <w:rFonts w:ascii="Times New Roman" w:cs="Times New Roman" w:eastAsia="Times New Roman" w:hAnsi="Times New Roman"/>
          <w:sz w:val="17"/>
          <w:szCs w:val="17"/>
          <w:color w:val="auto"/>
        </w:rPr>
        <w:t>. If a Party (the “</w:t>
      </w:r>
      <w:r>
        <w:rPr>
          <w:rFonts w:ascii="Times New Roman" w:cs="Times New Roman" w:eastAsia="Times New Roman" w:hAnsi="Times New Roman"/>
          <w:sz w:val="17"/>
          <w:szCs w:val="17"/>
          <w:i w:val="1"/>
          <w:iCs w:val="1"/>
          <w:color w:val="auto"/>
        </w:rPr>
        <w:t>Breaching Party</w:t>
      </w:r>
      <w:r>
        <w:rPr>
          <w:rFonts w:ascii="Times New Roman" w:cs="Times New Roman" w:eastAsia="Times New Roman" w:hAnsi="Times New Roman"/>
          <w:sz w:val="17"/>
          <w:szCs w:val="17"/>
          <w:color w:val="auto"/>
        </w:rPr>
        <w:t>”) is in material breach, the other Party (the “</w:t>
      </w:r>
      <w:r>
        <w:rPr>
          <w:rFonts w:ascii="Times New Roman" w:cs="Times New Roman" w:eastAsia="Times New Roman" w:hAnsi="Times New Roman"/>
          <w:sz w:val="17"/>
          <w:szCs w:val="17"/>
          <w:i w:val="1"/>
          <w:iCs w:val="1"/>
          <w:color w:val="auto"/>
        </w:rPr>
        <w:t>Non-Breaching Party</w:t>
      </w:r>
      <w:r>
        <w:rPr>
          <w:rFonts w:ascii="Times New Roman" w:cs="Times New Roman" w:eastAsia="Times New Roman" w:hAnsi="Times New Roman"/>
          <w:sz w:val="17"/>
          <w:szCs w:val="17"/>
          <w:color w:val="auto"/>
        </w:rPr>
        <w:t>”) shall have the right to give the Breaching Party written notice specifying the nature of such material breach. The Breaching Party shall have a period of</w:t>
      </w:r>
    </w:p>
    <w:p>
      <w:pPr>
        <w:jc w:val="both"/>
        <w:ind w:left="1200" w:hanging="2"/>
        <w:spacing w:after="0" w:line="267" w:lineRule="auto"/>
        <w:tabs>
          <w:tab w:leader="none" w:pos="163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receipt of such notice to cure such material breach (the “</w:t>
      </w:r>
      <w:r>
        <w:rPr>
          <w:rFonts w:ascii="Times New Roman" w:cs="Times New Roman" w:eastAsia="Times New Roman" w:hAnsi="Times New Roman"/>
          <w:sz w:val="18"/>
          <w:szCs w:val="18"/>
          <w:i w:val="1"/>
          <w:iCs w:val="1"/>
          <w:color w:val="auto"/>
        </w:rPr>
        <w:t>Cure Period</w:t>
      </w:r>
      <w:r>
        <w:rPr>
          <w:rFonts w:ascii="Times New Roman" w:cs="Times New Roman" w:eastAsia="Times New Roman" w:hAnsi="Times New Roman"/>
          <w:sz w:val="18"/>
          <w:szCs w:val="18"/>
          <w:color w:val="auto"/>
        </w:rPr>
        <w:t>”) in a manner reasonably acceptable to the Non-Breaching Party. For the avoidance of doubt, this provision is not intended to restrict in any way either Party’s right to notify the other Party of any other breach or to demand the cure of any other breach, or to terminate the Agreement for material breach on notice where the breach is not capable of remedy.</w:t>
      </w:r>
    </w:p>
    <w:p>
      <w:pPr>
        <w:spacing w:after="0" w:line="176" w:lineRule="exact"/>
        <w:rPr>
          <w:rFonts w:ascii="Times New Roman" w:cs="Times New Roman" w:eastAsia="Times New Roman" w:hAnsi="Times New Roman"/>
          <w:sz w:val="18"/>
          <w:szCs w:val="18"/>
          <w:color w:val="auto"/>
        </w:rPr>
      </w:pPr>
    </w:p>
    <w:p>
      <w:pPr>
        <w:jc w:val="both"/>
        <w:ind w:left="1200" w:hanging="600"/>
        <w:spacing w:after="0" w:line="264" w:lineRule="auto"/>
        <w:tabs>
          <w:tab w:leader="none" w:pos="118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xml:space="preserve">. The Non-Breaching Party shall have the right to terminate this Agreement in respect of any New Candidate or Collaboration Product and any country or countries in the Territory directly affected by the material breach (provided that with respect to any country, the materiality of the breach will be assessed at the level of the country), upon written notice, in the event that the Breaching Party has not cured such material breach within the Cure Period (where the material breach is capable of curing, failing which the Cure Period shall not apply),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breach is capable of cure but cannot reasonably be cured within the Cure Period, and the Breaching Party notifies the Non-Breaching Party of its intent to cure such material breach, commences actions to cure such material breach within the Cure Period and thereafter diligently continue such actions, the Breaching Party shall have an additional [***] to cure such breach. If a dispute over such termination occurs between the Parties and such dispute is submitted to the arbitration pursuant to Section 13.3, such termination shall not be effective until a conclusion of the dispute resolution procedures in Section 13.3, as applicable, resulting in a determination that there has been a material breach that was not cured within the Cure Period.</w:t>
      </w:r>
    </w:p>
    <w:p>
      <w:pPr>
        <w:spacing w:after="0" w:line="167" w:lineRule="exact"/>
        <w:rPr>
          <w:sz w:val="20"/>
          <w:szCs w:val="20"/>
          <w:color w:val="auto"/>
        </w:rPr>
      </w:pPr>
    </w:p>
    <w:p>
      <w:pPr>
        <w:jc w:val="both"/>
        <w:ind w:left="580" w:hanging="595"/>
        <w:spacing w:after="0" w:line="267" w:lineRule="auto"/>
        <w:tabs>
          <w:tab w:leader="none" w:pos="5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Either Party may terminate this Agreement by providing a written notice to the other Party at any time if, (i) the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files in any court or agency pursuant to any statute or regulation of any state, country or jurisdiction, a petition in bankruptcy or insolvency or for reorganization or for an arrangement or for the appointment of a receiver or trustee of such other Party or of such other Party’s assets, (ii) the other Party proposes a written agreement of composition or extension of its debts, (iii) the other Party shall be served with an involuntary petition against it, filed in any insolvency proceeding, and such petition shall not be dismissed or stayed within sixty [***] after the filing thereof, (iv) the other Party proposes or becomes a party to any dissolution or liquidation, or (v) the other Party makes an assignment for the benefit of its creditors.</w:t>
      </w:r>
    </w:p>
    <w:p>
      <w:pPr>
        <w:spacing w:after="0" w:line="176" w:lineRule="exact"/>
        <w:rPr>
          <w:sz w:val="20"/>
          <w:szCs w:val="20"/>
          <w:color w:val="auto"/>
        </w:rPr>
      </w:pPr>
    </w:p>
    <w:p>
      <w:pPr>
        <w:jc w:val="both"/>
        <w:ind w:left="580" w:hanging="595"/>
        <w:spacing w:after="0" w:line="293" w:lineRule="auto"/>
        <w:tabs>
          <w:tab w:leader="none" w:pos="5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Agreement may, without any cause, be terminated by the mutual written consent of the Parties on a New Candidate by New Candidate or Collaboration Product-by-Product basis.</w:t>
      </w:r>
    </w:p>
    <w:p>
      <w:pPr>
        <w:spacing w:after="0" w:line="15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General Effects of Termination</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left="1200" w:hanging="600"/>
        <w:spacing w:after="0" w:line="278" w:lineRule="auto"/>
        <w:tabs>
          <w:tab w:leader="none" w:pos="119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Rights and Obligations</w:t>
      </w:r>
      <w:r>
        <w:rPr>
          <w:rFonts w:ascii="Times New Roman" w:cs="Times New Roman" w:eastAsia="Times New Roman" w:hAnsi="Times New Roman"/>
          <w:sz w:val="18"/>
          <w:szCs w:val="18"/>
          <w:color w:val="auto"/>
        </w:rPr>
        <w:t>. Termination of this Agreement shall not release either Party from its obligations accrued prior to the effective date of termination nor deprive either Party from any rights that this Agreement has conferred on such Party. Such obligations and rights shall survive termination of this Agreement. Termination of this</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Agreement by either Party shall be in addition to and not in lieu of any other remedies available to such Party, at law and in equity.</w:t>
      </w:r>
    </w:p>
    <w:p>
      <w:pPr>
        <w:spacing w:after="0" w:line="224" w:lineRule="exact"/>
        <w:rPr>
          <w:sz w:val="20"/>
          <w:szCs w:val="20"/>
          <w:color w:val="auto"/>
        </w:rPr>
      </w:pPr>
    </w:p>
    <w:p>
      <w:pPr>
        <w:jc w:val="both"/>
        <w:ind w:left="1200" w:hanging="600"/>
        <w:spacing w:after="0" w:line="267" w:lineRule="auto"/>
        <w:tabs>
          <w:tab w:leader="none" w:pos="118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following Sections of this Agreement and all definitions relating thereto shall survive any expiration or termination of this Agreement for any reason: Sections 2.5 (to the extent provided in Sections 2.5(a)), Sections 6, 7 and 8 with respect to payments incurred prior to the effective date of termination, Section 9 only with respect to the provisions related to the prosecution, maintenance and enforcement of any Joint Foreground IPR, and Sections 10, 11, 12 and 13 as well as any other Sections of this Agreement which expressly or by implication are intended to survive expiration or termination of the Agreement and each Section necessary for a Party to enforce the foregoing provisions.</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Consequences in case of termination pursuant to Section 11.2</w:t>
      </w:r>
      <w:r>
        <w:rPr>
          <w:rFonts w:ascii="Times New Roman" w:cs="Times New Roman" w:eastAsia="Times New Roman" w:hAnsi="Times New Roman"/>
          <w:sz w:val="18"/>
          <w:szCs w:val="18"/>
          <w:color w:val="auto"/>
        </w:rPr>
        <w:t>. Upon any termination of this Agreement with respect to any New Candidate or</w:t>
      </w:r>
    </w:p>
    <w:p>
      <w:pPr>
        <w:spacing w:after="0" w:line="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Collaboration Product and country (the “</w:t>
      </w:r>
      <w:r>
        <w:rPr>
          <w:rFonts w:ascii="Times New Roman" w:cs="Times New Roman" w:eastAsia="Times New Roman" w:hAnsi="Times New Roman"/>
          <w:sz w:val="18"/>
          <w:szCs w:val="18"/>
          <w:b w:val="1"/>
          <w:bCs w:val="1"/>
          <w:color w:val="auto"/>
        </w:rPr>
        <w:t>Terminated Products</w:t>
      </w:r>
      <w:r>
        <w:rPr>
          <w:rFonts w:ascii="Times New Roman" w:cs="Times New Roman" w:eastAsia="Times New Roman" w:hAnsi="Times New Roman"/>
          <w:sz w:val="18"/>
          <w:szCs w:val="18"/>
          <w:color w:val="auto"/>
        </w:rPr>
        <w:t>”) pursuant to Section 11.2:</w:t>
      </w:r>
    </w:p>
    <w:p>
      <w:pPr>
        <w:spacing w:after="0" w:line="207" w:lineRule="exact"/>
        <w:rPr>
          <w:sz w:val="20"/>
          <w:szCs w:val="20"/>
          <w:color w:val="auto"/>
        </w:rPr>
      </w:pPr>
    </w:p>
    <w:p>
      <w:pPr>
        <w:jc w:val="both"/>
        <w:ind w:left="1200" w:hanging="600"/>
        <w:spacing w:after="0" w:line="278" w:lineRule="auto"/>
        <w:tabs>
          <w:tab w:leader="none" w:pos="119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upon written request by the Non Breaching Party, the breaching Party shall transfer to the Non Breaching Party all Regulatory Documentation and Regulatory Approvals prepared or obtained by or on behalf of the breaching Party prior to the date of such termination with respect to the Terminated Products, to the extent transferable;</w:t>
      </w:r>
    </w:p>
    <w:p>
      <w:pPr>
        <w:spacing w:after="0" w:line="167"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Non Breaching Party within [***] after termination, the breaching Party shall provide [***];</w:t>
      </w:r>
    </w:p>
    <w:p>
      <w:pPr>
        <w:spacing w:after="0" w:line="210" w:lineRule="exact"/>
        <w:rPr>
          <w:rFonts w:ascii="Times New Roman" w:cs="Times New Roman" w:eastAsia="Times New Roman" w:hAnsi="Times New Roman"/>
          <w:sz w:val="18"/>
          <w:szCs w:val="18"/>
          <w:color w:val="auto"/>
        </w:rPr>
      </w:pPr>
    </w:p>
    <w:p>
      <w:pPr>
        <w:jc w:val="both"/>
        <w:ind w:left="1200" w:hanging="600"/>
        <w:spacing w:after="0" w:line="278" w:lineRule="auto"/>
        <w:tabs>
          <w:tab w:leader="none" w:pos="119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breaching Party shall return to the Non Breaching Party (or at its request, destroy) all relevant records and materials in its possession or Control containing or comprising the Know-How or other Confidential Information of the Non Breaching Party related to the Terminated Products; and</w:t>
      </w:r>
    </w:p>
    <w:p>
      <w:pPr>
        <w:spacing w:after="0" w:line="167" w:lineRule="exact"/>
        <w:rPr>
          <w:rFonts w:ascii="Times New Roman" w:cs="Times New Roman" w:eastAsia="Times New Roman" w:hAnsi="Times New Roman"/>
          <w:sz w:val="18"/>
          <w:szCs w:val="18"/>
          <w:color w:val="auto"/>
        </w:rPr>
      </w:pPr>
    </w:p>
    <w:p>
      <w:pPr>
        <w:jc w:val="both"/>
        <w:ind w:left="1200" w:hanging="600"/>
        <w:spacing w:after="0" w:line="264" w:lineRule="auto"/>
        <w:tabs>
          <w:tab w:leader="none" w:pos="1188"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breaching Party shall grant to the Non Breaching Party a license under the IPR necessary to continue the exploitation of Terminated Products, on an exclusive basis if the Terminated Product was previously an Exclusive Product, at terms to be negotiated in good faith within a period of [***] following the effective date of termination, with [***]. If the Parties cannot agree on such financial terms, but have agreed on the other terms of the license, within such [***], then such dispute shall be referred to the Executive Officers of the Parties for resolution. If the Executive Officers do not fully resolve such dispute within [***] of referral (or a later date agreed to by each of the Parties) of the dispute being referred to them then such financial compensation shall be decided by Baseball Arbitration pursuant to the terms set forth at the RDC Agreement.</w:t>
      </w:r>
    </w:p>
    <w:p>
      <w:pPr>
        <w:spacing w:after="0" w:line="177" w:lineRule="exact"/>
        <w:rPr>
          <w:rFonts w:ascii="Times New Roman" w:cs="Times New Roman" w:eastAsia="Times New Roman" w:hAnsi="Times New Roman"/>
          <w:sz w:val="18"/>
          <w:szCs w:val="18"/>
          <w:color w:val="auto"/>
        </w:rPr>
      </w:pPr>
    </w:p>
    <w:p>
      <w:pPr>
        <w:ind w:left="600" w:hanging="599"/>
        <w:spacing w:after="0"/>
        <w:tabs>
          <w:tab w:leader="none" w:pos="60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6" w:lineRule="exact"/>
        <w:rPr>
          <w:sz w:val="20"/>
          <w:szCs w:val="20"/>
          <w:color w:val="auto"/>
        </w:rPr>
      </w:pPr>
    </w:p>
    <w:p>
      <w:pPr>
        <w:jc w:val="both"/>
        <w:ind w:left="600" w:hanging="595"/>
        <w:spacing w:after="0" w:line="269" w:lineRule="auto"/>
        <w:tabs>
          <w:tab w:leader="none" w:pos="5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to the extent expressly authorized by this Agreement or otherwise agreed in writing by the Parties, during the Term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for [***] thereafter (save with respect to trade secrets, for which, subject to Section 12.2, there shall be no end date to the confidentiality provided hereunder), the receiving Party shall keep confidential and shall not publish or otherwise disclose, and shall not use for any purpose other than as expressly provided for in this Agreement, any Confidential Information furnished or otherwise made known to it,</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0"/>
        <w:spacing w:after="0" w:line="285" w:lineRule="auto"/>
        <w:rPr>
          <w:sz w:val="20"/>
          <w:szCs w:val="20"/>
          <w:color w:val="auto"/>
        </w:rPr>
      </w:pPr>
      <w:r>
        <w:rPr>
          <w:rFonts w:ascii="Times New Roman" w:cs="Times New Roman" w:eastAsia="Times New Roman" w:hAnsi="Times New Roman"/>
          <w:sz w:val="17"/>
          <w:szCs w:val="17"/>
          <w:color w:val="auto"/>
        </w:rPr>
        <w:t>directly or indirectly, by the other Party, and each Party shall keep confidential and shall not publish or otherwise disclose the terms of this Agreement except as permitted herein. Each Party may use the other Party’s Confidential Information only to the extent required to accomplish the purposes of this Agreement, including exercising its rights and performing its obligations under this Agreement. Each Party will use at least the same standard of care as it uses to protect its own proprietary or confidential information (but no less than reasonable care) to ensure that its employees, agents, consultants, contractors, and other representatives do not disclose or make any unauthorized use of the other Party’s Confidential Information. Each Party will promptly notify the other upon discovery of any loss or unauthorized use or disclosure of the other Party’s Confidential Information.</w:t>
      </w:r>
    </w:p>
    <w:p>
      <w:pPr>
        <w:spacing w:after="0" w:line="165" w:lineRule="exact"/>
        <w:rPr>
          <w:sz w:val="20"/>
          <w:szCs w:val="20"/>
          <w:color w:val="auto"/>
        </w:rPr>
      </w:pPr>
    </w:p>
    <w:p>
      <w:pPr>
        <w:ind w:left="600" w:hanging="595"/>
        <w:spacing w:after="0" w:line="293" w:lineRule="auto"/>
        <w:tabs>
          <w:tab w:leader="none" w:pos="5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obligations in Section 12.1 shall not apply with respect to any portion of Confidential Information that a Party can demonstrate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contemporaneously by tangible records or other competent proof that such information:</w:t>
      </w:r>
    </w:p>
    <w:p>
      <w:pPr>
        <w:spacing w:after="0" w:line="153" w:lineRule="exact"/>
        <w:rPr>
          <w:sz w:val="20"/>
          <w:szCs w:val="20"/>
          <w:color w:val="auto"/>
        </w:rPr>
      </w:pPr>
    </w:p>
    <w:p>
      <w:pPr>
        <w:ind w:left="1200" w:hanging="600"/>
        <w:spacing w:after="0" w:line="278" w:lineRule="auto"/>
        <w:tabs>
          <w:tab w:leader="none" w:pos="11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to the receiving Party or its Permitted Recipient, other than under an obligation of confidentiality at the time that such Party obtains such information;</w:t>
      </w:r>
    </w:p>
    <w:p>
      <w:pPr>
        <w:spacing w:after="0" w:line="166" w:lineRule="exact"/>
        <w:rPr>
          <w:rFonts w:ascii="Times New Roman" w:cs="Times New Roman" w:eastAsia="Times New Roman" w:hAnsi="Times New Roman"/>
          <w:sz w:val="18"/>
          <w:szCs w:val="18"/>
          <w:color w:val="auto"/>
        </w:rPr>
      </w:pPr>
    </w:p>
    <w:p>
      <w:pPr>
        <w:ind w:left="1180" w:hanging="580"/>
        <w:spacing w:after="0"/>
        <w:tabs>
          <w:tab w:leader="none" w:pos="11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that such Party obtains such information;</w:t>
      </w:r>
    </w:p>
    <w:p>
      <w:pPr>
        <w:spacing w:after="0" w:line="223"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obtaining and other than through any act or omission of such Party in breach of this Agreement;</w:t>
      </w:r>
    </w:p>
    <w:p>
      <w:pPr>
        <w:spacing w:after="0" w:line="140"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to such Party or its Permitted Recipient, other than under an obligation of confidentiality, by a Third Party who had no obligation to such Party not to disclose such information to others; or</w:t>
      </w:r>
    </w:p>
    <w:p>
      <w:pPr>
        <w:spacing w:after="0" w:line="153" w:lineRule="exact"/>
        <w:rPr>
          <w:rFonts w:ascii="Times New Roman" w:cs="Times New Roman" w:eastAsia="Times New Roman" w:hAnsi="Times New Roman"/>
          <w:sz w:val="18"/>
          <w:szCs w:val="18"/>
          <w:color w:val="auto"/>
        </w:rPr>
      </w:pPr>
    </w:p>
    <w:p>
      <w:pPr>
        <w:ind w:left="1200" w:hanging="600"/>
        <w:spacing w:after="0" w:line="293" w:lineRule="auto"/>
        <w:tabs>
          <w:tab w:leader="none" w:pos="11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discovered or developed by a Party or its Permitted Recipient without the use of or reference to the Confidential Information.</w:t>
      </w:r>
    </w:p>
    <w:p>
      <w:pPr>
        <w:spacing w:after="0" w:line="14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u w:val="single" w:color="auto"/>
          <w:color w:val="auto"/>
        </w:rPr>
        <w:t>Authorized Disclosure</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may disclose the Confidential Information of the other Party to its Affiliates and its or their respective employees, consultants, or Subcontractors solely on a need-to-know basis for the purpose of conducting the receiving Party’s activities under this Agreement (collectively “</w:t>
      </w:r>
      <w:r>
        <w:rPr>
          <w:rFonts w:ascii="Times New Roman" w:cs="Times New Roman" w:eastAsia="Times New Roman" w:hAnsi="Times New Roman"/>
          <w:sz w:val="18"/>
          <w:szCs w:val="18"/>
          <w:b w:val="1"/>
          <w:bCs w:val="1"/>
          <w:i w:val="1"/>
          <w:iCs w:val="1"/>
          <w:color w:val="auto"/>
        </w:rPr>
        <w:t>Permitted Recipient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provided, however</w:t>
      </w:r>
      <w:r>
        <w:rPr>
          <w:rFonts w:ascii="Times New Roman" w:cs="Times New Roman" w:eastAsia="Times New Roman" w:hAnsi="Times New Roman"/>
          <w:sz w:val="18"/>
          <w:szCs w:val="18"/>
          <w:color w:val="auto"/>
        </w:rPr>
        <w:t>, that (1) any such Permitted Recipient must be bound by obligations of confidentiality at least as restrictive as those set forth in this Agreement, and (2) the receiving Party remains liable for the compliance of its Permitted Recipient with such obligations.</w:t>
      </w:r>
    </w:p>
    <w:p>
      <w:pPr>
        <w:spacing w:after="0" w:line="178" w:lineRule="exact"/>
        <w:rPr>
          <w:rFonts w:ascii="Times New Roman" w:cs="Times New Roman" w:eastAsia="Times New Roman" w:hAnsi="Times New Roman"/>
          <w:sz w:val="18"/>
          <w:szCs w:val="18"/>
          <w:color w:val="auto"/>
        </w:rPr>
      </w:pPr>
    </w:p>
    <w:p>
      <w:pPr>
        <w:jc w:val="both"/>
        <w:ind w:left="1200" w:hanging="600"/>
        <w:spacing w:after="0" w:line="269" w:lineRule="auto"/>
        <w:tabs>
          <w:tab w:leader="none" w:pos="118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receiving Party may, without the prior written consent of the other Party but on not less than two Business Days’ prior written notice of such disclosure; or (where it is not possible to give such prior notice) with notification to the other Party in writing within [***] of such disclosure, disclose the Confidential Information of the other to the extent such disclosure is reasonably necessary in the following instances:</w:t>
      </w:r>
    </w:p>
    <w:p>
      <w:pPr>
        <w:spacing w:after="0" w:line="173" w:lineRule="exact"/>
        <w:rPr>
          <w:rFonts w:ascii="Times New Roman" w:cs="Times New Roman" w:eastAsia="Times New Roman" w:hAnsi="Times New Roman"/>
          <w:sz w:val="18"/>
          <w:szCs w:val="18"/>
          <w:color w:val="auto"/>
        </w:rPr>
      </w:pPr>
    </w:p>
    <w:p>
      <w:pPr>
        <w:ind w:left="1800" w:hanging="602"/>
        <w:spacing w:after="0"/>
        <w:tabs>
          <w:tab w:leader="none" w:pos="18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prosecuting or defending litigation;</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200" w:hanging="602"/>
        <w:spacing w:after="0" w:line="278" w:lineRule="auto"/>
        <w:tabs>
          <w:tab w:leader="none" w:pos="119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 or the rules or regulations of any securities exchange on which such Party’s stock is listed, whereby each Party shall provide the other Party with advance notice of legally required disclosures to the extent practicable, and to the extent possible, at least [***] prior to such disclosure;</w:t>
      </w:r>
    </w:p>
    <w:p>
      <w:pPr>
        <w:spacing w:after="0" w:line="167" w:lineRule="exact"/>
        <w:rPr>
          <w:rFonts w:ascii="Times New Roman" w:cs="Times New Roman" w:eastAsia="Times New Roman" w:hAnsi="Times New Roman"/>
          <w:sz w:val="18"/>
          <w:szCs w:val="18"/>
          <w:color w:val="auto"/>
        </w:rPr>
      </w:pPr>
    </w:p>
    <w:p>
      <w:pPr>
        <w:jc w:val="both"/>
        <w:ind w:left="1200" w:hanging="602"/>
        <w:spacing w:after="0" w:line="269" w:lineRule="auto"/>
        <w:tabs>
          <w:tab w:leader="none" w:pos="119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connection with the performance of this Agreement, to ethics committees and institutional review boards (collectively, “IRBs”), institutional biosafety committees (“IBCs”), CROs, and investigators involved with the Clinical Trials set forth in an R&amp;D Plan, each of whom prior to disclosure must be bound by similar terms of confidentiality and non-use at least equivalent in scope to those set forth in this Section 12 under the responsibility of the receiving Party;</w:t>
      </w:r>
    </w:p>
    <w:p>
      <w:pPr>
        <w:spacing w:after="0" w:line="173" w:lineRule="exact"/>
        <w:rPr>
          <w:rFonts w:ascii="Times New Roman" w:cs="Times New Roman" w:eastAsia="Times New Roman" w:hAnsi="Times New Roman"/>
          <w:sz w:val="18"/>
          <w:szCs w:val="18"/>
          <w:color w:val="auto"/>
        </w:rPr>
      </w:pPr>
    </w:p>
    <w:p>
      <w:pPr>
        <w:jc w:val="both"/>
        <w:ind w:left="1200" w:hanging="602"/>
        <w:spacing w:after="0" w:line="267" w:lineRule="auto"/>
        <w:tabs>
          <w:tab w:leader="none" w:pos="119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that is deemed necessary by either Party to be disclosed to its respective Affiliates, agents, consultants or actual or prospective licensees (or 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collaborators) in furtherance of the development, licensing and/or commercialization of such Party’s proprietary products or technologies solely as permitted under this Agreement, on the condition that such Third Parties are authorised undertake such activities and to receive such a disclosure under this Agreement and agree to be bound by confidentiality and non-use obligations that are substantially consistent with (and no less onerous than) the confidentiality and non-use provisions contained in this Agreement;</w:t>
      </w:r>
    </w:p>
    <w:p>
      <w:pPr>
        <w:spacing w:after="0" w:line="163" w:lineRule="exact"/>
        <w:rPr>
          <w:rFonts w:ascii="Times New Roman" w:cs="Times New Roman" w:eastAsia="Times New Roman" w:hAnsi="Times New Roman"/>
          <w:sz w:val="18"/>
          <w:szCs w:val="18"/>
          <w:color w:val="auto"/>
        </w:rPr>
      </w:pPr>
    </w:p>
    <w:p>
      <w:pPr>
        <w:jc w:val="both"/>
        <w:ind w:left="1200" w:hanging="602"/>
        <w:spacing w:after="0" w:line="266" w:lineRule="auto"/>
        <w:tabs>
          <w:tab w:leader="none" w:pos="118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its attorneys, accountants, auditors and other advisors on a need to know basis provided such individuals or entities are bound to confidentiality and nondisclosure requirements by professional rules of conduct or nondisclosure agreements under the responsibility of the receiving Party, and to actual or prospective acquirers, lenders, financers, or investors as may be necessary to comply with the terms, or in connection with their evaluation, of such potential or actual acquisition, loan, financing, or investment; on the condition that such acquires, lenders, financers, or investors agree to be bound by confidentiality and non-use obligations that are substantially consistent with the confidentiality and non-use provisions contained in this Agreement under the responsibility of the receiving Party;</w:t>
      </w:r>
    </w:p>
    <w:p>
      <w:pPr>
        <w:spacing w:after="0" w:line="179"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entailed by filing and prosecuting Patent Rights as contemplated hereunder;</w:t>
      </w:r>
    </w:p>
    <w:p>
      <w:pPr>
        <w:spacing w:after="0" w:line="210" w:lineRule="exact"/>
        <w:rPr>
          <w:rFonts w:ascii="Times New Roman" w:cs="Times New Roman" w:eastAsia="Times New Roman" w:hAnsi="Times New Roman"/>
          <w:sz w:val="18"/>
          <w:szCs w:val="18"/>
          <w:color w:val="auto"/>
        </w:rPr>
      </w:pPr>
    </w:p>
    <w:p>
      <w:pPr>
        <w:jc w:val="both"/>
        <w:ind w:left="1200" w:hanging="602"/>
        <w:spacing w:after="0" w:line="278" w:lineRule="auto"/>
        <w:tabs>
          <w:tab w:leader="none" w:pos="119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to Regulatory Authorities in connection with the Development of a Collaboration Product, in particular conduct of Clinical Trials, including disclosure of relevant safety information related to the Clinical Trials set forth in an R&amp;D Plan to investigators, institutional review boards and/or ethics committees and Regulatory Authorities; and</w:t>
      </w:r>
    </w:p>
    <w:p>
      <w:pPr>
        <w:spacing w:after="0" w:line="167"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on www.clinicaltrials.gov or other comparable European or national websites.</w:t>
      </w:r>
    </w:p>
    <w:p>
      <w:pPr>
        <w:spacing w:after="0" w:line="224" w:lineRule="exact"/>
        <w:rPr>
          <w:sz w:val="20"/>
          <w:szCs w:val="20"/>
          <w:color w:val="auto"/>
        </w:rPr>
      </w:pPr>
    </w:p>
    <w:p>
      <w:pPr>
        <w:ind w:hanging="595"/>
        <w:spacing w:after="0" w:line="278" w:lineRule="auto"/>
        <w:rPr>
          <w:sz w:val="20"/>
          <w:szCs w:val="20"/>
          <w:color w:val="auto"/>
        </w:rPr>
      </w:pPr>
      <w:r>
        <w:rPr>
          <w:rFonts w:ascii="Times New Roman" w:cs="Times New Roman" w:eastAsia="Times New Roman" w:hAnsi="Times New Roman"/>
          <w:sz w:val="18"/>
          <w:szCs w:val="18"/>
          <w:color w:val="auto"/>
        </w:rPr>
        <w:t>12.4</w:t>
      </w:r>
      <w:r>
        <w:rPr>
          <w:sz w:val="20"/>
          <w:szCs w:val="20"/>
          <w:color w:val="auto"/>
        </w:rPr>
        <w:t xml:space="preserve"> </w:t>
      </w:r>
      <w:r>
        <w:rPr>
          <w:rFonts w:ascii="Times New Roman" w:cs="Times New Roman" w:eastAsia="Times New Roman" w:hAnsi="Times New Roman"/>
          <w:sz w:val="18"/>
          <w:szCs w:val="18"/>
          <w:u w:val="single" w:color="auto"/>
          <w:color w:val="auto"/>
        </w:rPr>
        <w:t>External Communication and Press Releases</w:t>
      </w:r>
      <w:r>
        <w:rPr>
          <w:rFonts w:ascii="Times New Roman" w:cs="Times New Roman" w:eastAsia="Times New Roman" w:hAnsi="Times New Roman"/>
          <w:sz w:val="18"/>
          <w:szCs w:val="18"/>
          <w:color w:val="auto"/>
        </w:rPr>
        <w:t>. The Parties agree to issue an initial joint press release at or shortly after the Effective Date within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time-period as required by relevant securities laws. It is understood that each Party may desire or be required to issue subsequent press</w:t>
      </w:r>
    </w:p>
    <w:p>
      <w:pPr>
        <w:sectPr>
          <w:pgSz w:w="11900" w:h="16838" w:orient="portrait"/>
          <w:cols w:equalWidth="0" w:num="1">
            <w:col w:w="10640"/>
          </w:cols>
          <w:pgMar w:left="920" w:top="1440" w:right="339" w:bottom="1440" w:gutter="0" w:footer="0" w:header="0"/>
        </w:sectPr>
      </w:pPr>
    </w:p>
    <w:bookmarkStart w:id="298" w:name="page299"/>
    <w:bookmarkEnd w:id="298"/>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0"/>
        <w:spacing w:after="0" w:line="267" w:lineRule="auto"/>
        <w:rPr>
          <w:sz w:val="20"/>
          <w:szCs w:val="20"/>
          <w:color w:val="auto"/>
        </w:rPr>
      </w:pPr>
      <w:r>
        <w:rPr>
          <w:rFonts w:ascii="Times New Roman" w:cs="Times New Roman" w:eastAsia="Times New Roman" w:hAnsi="Times New Roman"/>
          <w:sz w:val="18"/>
          <w:szCs w:val="18"/>
          <w:color w:val="auto"/>
        </w:rPr>
        <w:t>releases relating to this Agreement or activities hereunder. The Parties agree to consult with each other reasonably and in good faith with respect to the text and timing of such press releases prior to the issuance thereof. Following the initial joint press release announcing this Agreement, either Party shall be free to disclose, without the other Party’s prior written consent, the existence of this Agreement, the identity of the other Party, and those terms of the Agreement which have already been publicly disclosed in accordance with this Section. Notwithstanding the foregoing, in their external communication with respect to any New Candidate or Collaboration Product in accordance with this Agreement, each Party shall mention the role of the other Party in a manner to be agreed between them, ensuring both Parties’ continued visibility with respect to the collaboration.</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u w:val="single" w:color="auto"/>
          <w:color w:val="auto"/>
        </w:rPr>
        <w:t>Publications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67" w:lineRule="auto"/>
        <w:tabs>
          <w:tab w:leader="none" w:pos="119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disclosure by either Party relating to any aspect of its activities under this Agreement, including a New Candidate or Collaboration Product in any publication or presentation shall be in accordance with the procedure set forth in this Section. The Party proposing to make any such publication (the “</w:t>
      </w:r>
      <w:r>
        <w:rPr>
          <w:rFonts w:ascii="Times New Roman" w:cs="Times New Roman" w:eastAsia="Times New Roman" w:hAnsi="Times New Roman"/>
          <w:sz w:val="18"/>
          <w:szCs w:val="18"/>
          <w:b w:val="1"/>
          <w:bCs w:val="1"/>
          <w:i w:val="1"/>
          <w:iCs w:val="1"/>
          <w:color w:val="auto"/>
        </w:rPr>
        <w:t>Publishing Party</w:t>
      </w:r>
      <w:r>
        <w:rPr>
          <w:rFonts w:ascii="Times New Roman" w:cs="Times New Roman" w:eastAsia="Times New Roman" w:hAnsi="Times New Roman"/>
          <w:sz w:val="18"/>
          <w:szCs w:val="18"/>
          <w:color w:val="auto"/>
        </w:rPr>
        <w:t>”) shall provide the JSC with a copy of any proposed publication or presentation at least [***] prior to submission for publication or presentation to provide the JSC with an opportunity to review and approve the Publishing Party’s proposed publication or presentation. The Publishing Party may not publish any publication or presentation without the JSC’s review and approval and the approval of both Parties.</w:t>
      </w:r>
    </w:p>
    <w:p>
      <w:pPr>
        <w:spacing w:after="0" w:line="163" w:lineRule="exact"/>
        <w:rPr>
          <w:rFonts w:ascii="Times New Roman" w:cs="Times New Roman" w:eastAsia="Times New Roman" w:hAnsi="Times New Roman"/>
          <w:sz w:val="18"/>
          <w:szCs w:val="18"/>
          <w:color w:val="auto"/>
        </w:rPr>
      </w:pPr>
    </w:p>
    <w:p>
      <w:pPr>
        <w:jc w:val="both"/>
        <w:ind w:left="1200" w:hanging="600"/>
        <w:spacing w:after="0" w:line="266" w:lineRule="auto"/>
        <w:tabs>
          <w:tab w:leader="none" w:pos="11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JSC notifies the Publishing Party in writing, within [***] after the Publishing Party’s submission of the copy of the proposed publication or presentation to the JSC, that such publication or presentation, (i) contains an invention, solely or jointly conceived or reduced to practice by the non-Publishing Party, for which the non-Publishing Party reasonably desires to obtain patent protection or (ii) could be expected to have a material adverse effect on the commercial value of any Confidential Information disclosed by the non-Publishing Party to the Publishing Party, the Publishing Party shall prevent or delay such publication or presentation for a period of time specified by the JSC. In the case of inventions, a delay shall be for a period reasonably sufficient to permit the timely preparation and filing of a patent application(s) on such invention, and in no event less than [***] from the date of the publishing notice.</w:t>
      </w:r>
    </w:p>
    <w:p>
      <w:pPr>
        <w:spacing w:after="0" w:line="179" w:lineRule="exact"/>
        <w:rPr>
          <w:rFonts w:ascii="Times New Roman" w:cs="Times New Roman" w:eastAsia="Times New Roman" w:hAnsi="Times New Roman"/>
          <w:sz w:val="18"/>
          <w:szCs w:val="18"/>
          <w:color w:val="auto"/>
        </w:rPr>
      </w:pPr>
    </w:p>
    <w:p>
      <w:pPr>
        <w:ind w:left="1200" w:hanging="600"/>
        <w:spacing w:after="0" w:line="278" w:lineRule="auto"/>
        <w:tabs>
          <w:tab w:leader="none" w:pos="119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Party desires to use the other Party’s trademark for any publication, communication or other public disclosure, such Party shall obtain the prior written consent of the other Party for such use.</w:t>
      </w:r>
    </w:p>
    <w:p>
      <w:pPr>
        <w:spacing w:after="0" w:line="166" w:lineRule="exact"/>
        <w:rPr>
          <w:rFonts w:ascii="Times New Roman" w:cs="Times New Roman" w:eastAsia="Times New Roman" w:hAnsi="Times New Roman"/>
          <w:sz w:val="18"/>
          <w:szCs w:val="18"/>
          <w:color w:val="auto"/>
        </w:rPr>
      </w:pPr>
    </w:p>
    <w:p>
      <w:pPr>
        <w:ind w:left="1200" w:hanging="600"/>
        <w:spacing w:after="0" w:line="293" w:lineRule="auto"/>
        <w:tabs>
          <w:tab w:leader="none" w:pos="11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Confidential Information containing personal data shall be handled in accordance with any and all Applicable Laws, including without limitation, Data Protection Applicable Laws and any other laws related to privacy.</w:t>
      </w:r>
    </w:p>
    <w:p>
      <w:pPr>
        <w:spacing w:after="0" w:line="151" w:lineRule="exact"/>
        <w:rPr>
          <w:rFonts w:ascii="Times New Roman" w:cs="Times New Roman" w:eastAsia="Times New Roman" w:hAnsi="Times New Roman"/>
          <w:sz w:val="18"/>
          <w:szCs w:val="18"/>
          <w:color w:val="auto"/>
        </w:rPr>
      </w:pPr>
    </w:p>
    <w:p>
      <w:pPr>
        <w:ind w:left="600" w:hanging="599"/>
        <w:spacing w:after="0"/>
        <w:tabs>
          <w:tab w:leader="none" w:pos="60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6" w:lineRule="exact"/>
        <w:rPr>
          <w:sz w:val="20"/>
          <w:szCs w:val="20"/>
          <w:color w:val="auto"/>
        </w:rPr>
      </w:pPr>
    </w:p>
    <w:p>
      <w:pPr>
        <w:jc w:val="both"/>
        <w:ind w:left="600" w:hanging="595"/>
        <w:spacing w:after="0" w:line="269" w:lineRule="auto"/>
        <w:tabs>
          <w:tab w:leader="none" w:pos="5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Parties acknowledge that this Agreement shall govern all activities of the Parties with respect to this Agreement from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Date forward. This Agreement, together with the RDC Agreement (as applied by reference herein), including the Exhibits hereto, sets forth the complete, final and exclusive agreement between the Parties concerning the subject matter hereof and supersedes all prior agreements and understandings between the Parties with respect to</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such subject matter, save (i) to the extent the same may be modified by the Clinical Supply Agreement and the Commercial Supply Agreement contemplated by the Parties once the same are agreed by the Parties and in force, and (ii) to the extent the terms of the RDC Agreement are expressly incorporated herein. Save as aforesaid, there are no covenants, promises, agreements, warranties, representations, conditions or understandings, either oral or written, between the Parties with respect to such subject matter other than as are set forth in this Agreement. All Exhibits attached hereto are incorporated herein as part of this Agreement.</w:t>
      </w:r>
    </w:p>
    <w:p>
      <w:pPr>
        <w:spacing w:after="0" w:line="178" w:lineRule="exact"/>
        <w:rPr>
          <w:sz w:val="20"/>
          <w:szCs w:val="20"/>
          <w:color w:val="auto"/>
        </w:rPr>
      </w:pPr>
    </w:p>
    <w:p>
      <w:pPr>
        <w:jc w:val="both"/>
        <w:ind w:hanging="595"/>
        <w:spacing w:after="0" w:line="273" w:lineRule="auto"/>
        <w:rPr>
          <w:sz w:val="20"/>
          <w:szCs w:val="20"/>
          <w:color w:val="auto"/>
        </w:rPr>
      </w:pPr>
      <w:r>
        <w:rPr>
          <w:rFonts w:ascii="Times New Roman" w:cs="Times New Roman" w:eastAsia="Times New Roman" w:hAnsi="Times New Roman"/>
          <w:sz w:val="18"/>
          <w:szCs w:val="18"/>
          <w:color w:val="auto"/>
        </w:rPr>
        <w:t>13.2</w:t>
      </w:r>
      <w:r>
        <w:rPr>
          <w:sz w:val="20"/>
          <w:szCs w:val="20"/>
          <w:color w:val="auto"/>
        </w:rPr>
        <w:t xml:space="preserve"> </w:t>
      </w:r>
      <w:r>
        <w:rPr>
          <w:rFonts w:ascii="Times New Roman" w:cs="Times New Roman" w:eastAsia="Times New Roman" w:hAnsi="Times New Roman"/>
          <w:sz w:val="18"/>
          <w:szCs w:val="18"/>
          <w:u w:val="single" w:color="auto"/>
          <w:color w:val="auto"/>
        </w:rPr>
        <w:t>Governing law. Injunctive Relief</w:t>
      </w:r>
      <w:r>
        <w:rPr>
          <w:rFonts w:ascii="Times New Roman" w:cs="Times New Roman" w:eastAsia="Times New Roman" w:hAnsi="Times New Roman"/>
          <w:sz w:val="18"/>
          <w:szCs w:val="18"/>
          <w:color w:val="auto"/>
        </w:rPr>
        <w:t>. This Agreement shall be governed and construed in accordance with the internal laws of Belgium, excluding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choice of law rules that may direct the application of the laws of another jurisdiction. Nothing contained in this Agreement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spacing w:after="0" w:line="160" w:lineRule="exact"/>
        <w:rPr>
          <w:sz w:val="20"/>
          <w:szCs w:val="20"/>
          <w:color w:val="auto"/>
        </w:rPr>
      </w:pPr>
    </w:p>
    <w:p>
      <w:pPr>
        <w:jc w:val="both"/>
        <w:ind w:hanging="595"/>
        <w:spacing w:after="0" w:line="263" w:lineRule="auto"/>
        <w:rPr>
          <w:sz w:val="20"/>
          <w:szCs w:val="20"/>
          <w:color w:val="auto"/>
        </w:rPr>
      </w:pPr>
      <w:r>
        <w:rPr>
          <w:rFonts w:ascii="Times New Roman" w:cs="Times New Roman" w:eastAsia="Times New Roman" w:hAnsi="Times New Roman"/>
          <w:sz w:val="18"/>
          <w:szCs w:val="18"/>
          <w:color w:val="auto"/>
        </w:rPr>
        <w:t>13.3</w:t>
      </w:r>
      <w:r>
        <w:rPr>
          <w:sz w:val="20"/>
          <w:szCs w:val="20"/>
          <w:color w:val="auto"/>
        </w:rPr>
        <w:t xml:space="preserve">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Unless otherwise provided in this Agreement, in the event of any dispute, controversy or claim arising out of, relating to or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connection with any provision of this Agreement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Parties shall refer the Dispute to the Executive Officers (or designees with similar authority to resolve such Dispute), who shall attempt in good faith to resolve such Dispute. If the Executive Officers cannot resolve such Dispute within [***] of the matter being referred to them in writing, then such Dispute is to be settled by binding arbitration in Brussels, Belgium in accordance with the Rules of Arbitration of the International Chamber of Commerce as in effect on the date of signing of this Agreement, except as modified herein. The arbitration tribunal shall consist of three (3) arbitrators with each Party appointing one (1) arbitrator and the two (2) arbitrators thus appointed choosing the third arbitrator who will act the presiding arbitrator of the arbitration tribunal. The language of the arbitration shall be English. The arbitration award shall be final and binding on the Parties, and the Parties agree to be bound thereby and to act accordingly. The arbitrators shall have the power to grant any remedy or relief that they deem just and equitable and that is in accordance with the terms of this Agreement, including specific performance, and including injunctive relief, whether interim or final, and any such relief and any interim, provisional or conservatory measure ordered by the arbitrators may be specifically enforced by any court of competent jurisdiction. Each Party retains the right to seek interim, provisional or conservatory measures from judicial authorities, and any such request shall not be deemed incompatible with the agreement to arbitrate or a waiver of the right to arbitrate.</w:t>
      </w:r>
    </w:p>
    <w:p>
      <w:pPr>
        <w:spacing w:after="0" w:line="179" w:lineRule="exact"/>
        <w:rPr>
          <w:sz w:val="20"/>
          <w:szCs w:val="20"/>
          <w:color w:val="auto"/>
        </w:rPr>
      </w:pPr>
    </w:p>
    <w:p>
      <w:pPr>
        <w:jc w:val="both"/>
        <w:ind w:hanging="595"/>
        <w:spacing w:after="0" w:line="284" w:lineRule="auto"/>
        <w:rPr>
          <w:sz w:val="20"/>
          <w:szCs w:val="20"/>
          <w:color w:val="auto"/>
        </w:rPr>
      </w:pPr>
      <w:r>
        <w:rPr>
          <w:rFonts w:ascii="Times New Roman" w:cs="Times New Roman" w:eastAsia="Times New Roman" w:hAnsi="Times New Roman"/>
          <w:sz w:val="18"/>
          <w:szCs w:val="18"/>
          <w:color w:val="auto"/>
        </w:rPr>
        <w:t>13.4</w:t>
      </w:r>
      <w:r>
        <w:rPr>
          <w:sz w:val="20"/>
          <w:szCs w:val="20"/>
          <w:color w:val="auto"/>
        </w:rPr>
        <w:t xml:space="preserve">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The Parties shall be excused from the performance of their obligations under this Agreement to the extent that such performance is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prevented by force majeure and the non-performing Party promptly provides written notice of the prevention to the other Party. For purposes of this Agreement, force majeure shall mean acts of God, civil disturbances, fires, earthquakes, acts of terrorism, floods, explosions, riots, war, rebellion, or failure or default of public utilities or common carriers or similar conditions beyond the control of the Parties. In the event of force majeure, either Party, as the case may be, will immediately notify the other Party of such inability and of the period for which such inability is expected to continue. The Party giving such notice will thereupon be excused from such of its obligations under this Agreement as it is thereby disabled from performing for so long as such Party is so disabled, up to a maximum of [***], after which time the Party not affected by the force majeure may terminate this Agreement. To the extent possible, each Party will use Commercially Reasonable Efforts to minimize the duration of any force majeure.</w:t>
      </w:r>
    </w:p>
    <w:p>
      <w:pPr>
        <w:sectPr>
          <w:pgSz w:w="11900" w:h="16838" w:orient="portrait"/>
          <w:cols w:equalWidth="0" w:num="1">
            <w:col w:w="10640"/>
          </w:cols>
          <w:pgMar w:left="920" w:top="1440" w:right="339" w:bottom="1440" w:gutter="0" w:footer="0" w:header="0"/>
        </w:sectPr>
      </w:pPr>
    </w:p>
    <w:bookmarkStart w:id="300" w:name="page301"/>
    <w:bookmarkEnd w:id="300"/>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hanging="595"/>
        <w:spacing w:after="0" w:line="267" w:lineRule="auto"/>
        <w:rPr>
          <w:sz w:val="20"/>
          <w:szCs w:val="20"/>
          <w:color w:val="auto"/>
        </w:rPr>
      </w:pPr>
      <w:r>
        <w:rPr>
          <w:rFonts w:ascii="Times New Roman" w:cs="Times New Roman" w:eastAsia="Times New Roman" w:hAnsi="Times New Roman"/>
          <w:sz w:val="18"/>
          <w:szCs w:val="18"/>
          <w:color w:val="auto"/>
        </w:rPr>
        <w:t>13.5</w:t>
      </w:r>
      <w:r>
        <w:rPr>
          <w:sz w:val="20"/>
          <w:szCs w:val="20"/>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under this Agreement shall be in writing, shall specifically refer to this Agreement and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deemed to have been sufficiently given for all purposes if such notice is timely and is: (a) mailed by first class certified or registered mail, postage prepaid, return receipt requested, (b) sent by express delivery service, or (c) personally delivered, except in the event this Agreement specifies, or the Parties mutually agree in writing that, the notice may be delivered by email. Unless otherwise specified by one Party to the other in writing, the respective mailing addresses of the Parties shall be as described below.</w:t>
      </w:r>
    </w:p>
    <w:p>
      <w:pPr>
        <w:spacing w:after="0" w:line="178"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For Molecular Partners:</w:t>
      </w:r>
      <w:r>
        <w:rPr>
          <w:sz w:val="20"/>
          <w:szCs w:val="20"/>
          <w:color w:val="auto"/>
        </w:rPr>
        <w:tab/>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With a copy to:</w:t>
        <w:tab/>
        <w:t>[***]</w:t>
      </w: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For OMT:</w:t>
      </w:r>
      <w:r>
        <w:rPr>
          <w:sz w:val="20"/>
          <w:szCs w:val="20"/>
          <w:color w:val="auto"/>
        </w:rPr>
        <w:tab/>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Any such communication shall be deemed to have been received when delivered or when transmitted in the case of permitted email. It is understood and agreed that this Section13.5 is not intended to govern the day-to-day business communications necessary between the Parties in performing their duties, in due course, under the terms of this Agreement.</w:t>
      </w:r>
    </w:p>
    <w:p>
      <w:pPr>
        <w:spacing w:after="0" w:line="167" w:lineRule="exact"/>
        <w:rPr>
          <w:sz w:val="20"/>
          <w:szCs w:val="20"/>
          <w:color w:val="auto"/>
        </w:rPr>
      </w:pPr>
    </w:p>
    <w:p>
      <w:pPr>
        <w:jc w:val="both"/>
        <w:ind w:hanging="595"/>
        <w:spacing w:after="0" w:line="271" w:lineRule="auto"/>
        <w:rPr>
          <w:sz w:val="20"/>
          <w:szCs w:val="20"/>
          <w:color w:val="auto"/>
        </w:rPr>
      </w:pPr>
      <w:r>
        <w:rPr>
          <w:rFonts w:ascii="Times New Roman" w:cs="Times New Roman" w:eastAsia="Times New Roman" w:hAnsi="Times New Roman"/>
          <w:sz w:val="18"/>
          <w:szCs w:val="18"/>
          <w:color w:val="auto"/>
        </w:rPr>
        <w:t>13.6</w:t>
      </w:r>
      <w:r>
        <w:rPr>
          <w:sz w:val="20"/>
          <w:szCs w:val="20"/>
          <w:color w:val="auto"/>
        </w:rPr>
        <w:t xml:space="preserve"> </w:t>
      </w:r>
      <w:r>
        <w:rPr>
          <w:rFonts w:ascii="Times New Roman" w:cs="Times New Roman" w:eastAsia="Times New Roman" w:hAnsi="Times New Roman"/>
          <w:sz w:val="18"/>
          <w:szCs w:val="18"/>
          <w:u w:val="single" w:color="auto"/>
          <w:color w:val="auto"/>
        </w:rPr>
        <w:t>No Waiver; Modifications</w:t>
      </w:r>
      <w:r>
        <w:rPr>
          <w:rFonts w:ascii="Times New Roman" w:cs="Times New Roman" w:eastAsia="Times New Roman" w:hAnsi="Times New Roman"/>
          <w:sz w:val="18"/>
          <w:szCs w:val="18"/>
          <w:color w:val="auto"/>
        </w:rPr>
        <w:t>. It is agreed that no waiver by a Party hereto of any breach or default of any of the covenants or agreements herein set forth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a waiver as to any subsequent and/or similar breach or default. No amendment, modification, release or discharge shall be binding upon the Parties unless in writing and duly executed by authorized representatives of both Parties.</w:t>
      </w:r>
    </w:p>
    <w:p>
      <w:pPr>
        <w:spacing w:after="0" w:line="173" w:lineRule="exact"/>
        <w:rPr>
          <w:sz w:val="20"/>
          <w:szCs w:val="20"/>
          <w:color w:val="auto"/>
        </w:rPr>
      </w:pPr>
    </w:p>
    <w:p>
      <w:pPr>
        <w:jc w:val="both"/>
        <w:ind w:hanging="595"/>
        <w:spacing w:after="0" w:line="271" w:lineRule="auto"/>
        <w:rPr>
          <w:sz w:val="20"/>
          <w:szCs w:val="20"/>
          <w:color w:val="auto"/>
        </w:rPr>
      </w:pPr>
      <w:r>
        <w:rPr>
          <w:rFonts w:ascii="Times New Roman" w:cs="Times New Roman" w:eastAsia="Times New Roman" w:hAnsi="Times New Roman"/>
          <w:sz w:val="18"/>
          <w:szCs w:val="18"/>
          <w:color w:val="auto"/>
        </w:rPr>
        <w:t>13.7</w:t>
      </w:r>
      <w:r>
        <w:rPr>
          <w:sz w:val="20"/>
          <w:szCs w:val="20"/>
          <w:color w:val="auto"/>
        </w:rPr>
        <w:t xml:space="preserve">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This Agreement has been prepared jointly and shall not be strictly construed against either Party. No presumption as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construction of this Agreement shall apply against either Party with respect to any ambiguity in the wording of any provision(s) of this Agreement irrespective of which Party may be deemed to have authored the ambiguous provision(s).</w:t>
      </w:r>
    </w:p>
    <w:p>
      <w:pPr>
        <w:spacing w:after="0" w:line="173" w:lineRule="exact"/>
        <w:rPr>
          <w:sz w:val="20"/>
          <w:szCs w:val="20"/>
          <w:color w:val="auto"/>
        </w:rPr>
      </w:pPr>
    </w:p>
    <w:p>
      <w:pPr>
        <w:jc w:val="both"/>
        <w:ind w:hanging="595"/>
        <w:spacing w:after="0" w:line="278" w:lineRule="auto"/>
        <w:rPr>
          <w:sz w:val="20"/>
          <w:szCs w:val="20"/>
          <w:color w:val="auto"/>
        </w:rPr>
      </w:pPr>
      <w:r>
        <w:rPr>
          <w:rFonts w:ascii="Times New Roman" w:cs="Times New Roman" w:eastAsia="Times New Roman" w:hAnsi="Times New Roman"/>
          <w:sz w:val="18"/>
          <w:szCs w:val="18"/>
          <w:color w:val="auto"/>
        </w:rPr>
        <w:t>13.8</w:t>
      </w:r>
      <w:r>
        <w:rPr>
          <w:sz w:val="20"/>
          <w:szCs w:val="20"/>
          <w:color w:val="auto"/>
        </w:rPr>
        <w:t xml:space="preserve">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The Parties are independent contractors of each other, and the relationship between the Parties shall not constitute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partnership, joint venture or agency under this Agreement. Neither Party shall be the agent of the other or have any authority to act for, or on behalf of, the other Party in any matter.</w:t>
      </w:r>
    </w:p>
    <w:p>
      <w:pPr>
        <w:spacing w:after="0" w:line="167" w:lineRule="exact"/>
        <w:rPr>
          <w:sz w:val="20"/>
          <w:szCs w:val="20"/>
          <w:color w:val="auto"/>
        </w:rPr>
      </w:pPr>
    </w:p>
    <w:p>
      <w:pPr>
        <w:jc w:val="both"/>
        <w:ind w:hanging="595"/>
        <w:spacing w:after="0" w:line="264" w:lineRule="auto"/>
        <w:rPr>
          <w:sz w:val="20"/>
          <w:szCs w:val="20"/>
          <w:color w:val="auto"/>
        </w:rPr>
      </w:pPr>
      <w:r>
        <w:rPr>
          <w:rFonts w:ascii="Times New Roman" w:cs="Times New Roman" w:eastAsia="Times New Roman" w:hAnsi="Times New Roman"/>
          <w:sz w:val="18"/>
          <w:szCs w:val="18"/>
          <w:color w:val="auto"/>
        </w:rPr>
        <w:t>13.9</w:t>
      </w:r>
      <w:r>
        <w:rPr>
          <w:sz w:val="20"/>
          <w:szCs w:val="20"/>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otherwise expressly provided herein, neither this Agreement nor any of the rights or obligations hereunder (including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licensed IPR) may be assigned by either Party without the prior written consent of the other Party (such consent not to be unreasonably withheld, conditioned or delayed); provided, that such consent shall not be required for an assignment by a Party (a) to an Affiliate of the assigning Party (provided, however, that a Party assigning to an Affiliate shall remain fully and unconditionally liable and responsible to the non-assigning Party hereto for the performance and observance of all such duties and obligations by such Affiliate), or (b) subject always to Section 2.6 above, to any Third Party in a Change of Control, so long as such Affiliate or Third Party agrees in writing to be bound by the terms of this Agreement. An assignment to an Affiliate shall terminate, and all rights so assigned shall revert to the assigning Party, if and when such Affiliate ceases to be an Affiliate of the assigning Party. Any attempted assignment in violation hereof shall be void ab initio and of no effect.</w:t>
      </w:r>
    </w:p>
    <w:p>
      <w:pPr>
        <w:sectPr>
          <w:pgSz w:w="11900" w:h="16838" w:orient="portrait"/>
          <w:cols w:equalWidth="0" w:num="1">
            <w:col w:w="10640"/>
          </w:cols>
          <w:pgMar w:left="920" w:top="1440" w:right="339" w:bottom="1440" w:gutter="0" w:footer="0" w:header="0"/>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0" w:hanging="595"/>
        <w:spacing w:after="0" w:line="293" w:lineRule="auto"/>
        <w:tabs>
          <w:tab w:leader="none" w:pos="580" w:val="left"/>
        </w:tabs>
        <w:rPr>
          <w:sz w:val="20"/>
          <w:szCs w:val="20"/>
          <w:color w:val="auto"/>
        </w:rPr>
      </w:pPr>
      <w:r>
        <w:rPr>
          <w:rFonts w:ascii="Times New Roman" w:cs="Times New Roman" w:eastAsia="Times New Roman" w:hAnsi="Times New Roman"/>
          <w:sz w:val="18"/>
          <w:szCs w:val="18"/>
          <w:color w:val="auto"/>
        </w:rPr>
        <w:t>13.10</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to the several Sections and Sections hereof are not a part of this Agreement but are included merely for convenience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reference only and shall not affect its meaning or interpretation.</w:t>
      </w:r>
    </w:p>
    <w:p>
      <w:pPr>
        <w:spacing w:after="0" w:line="153" w:lineRule="exact"/>
        <w:rPr>
          <w:sz w:val="20"/>
          <w:szCs w:val="20"/>
          <w:color w:val="auto"/>
        </w:rPr>
      </w:pPr>
    </w:p>
    <w:p>
      <w:pPr>
        <w:jc w:val="both"/>
        <w:ind w:left="580" w:hanging="595"/>
        <w:spacing w:after="0" w:line="271" w:lineRule="auto"/>
        <w:tabs>
          <w:tab w:leader="none" w:pos="56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counterparts, each of which shall be deemed an original, but all of which together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one (1) and the same instrument. This Agreement may be executed by facsimile or electronic (e.g., pdf) signatures and such signatures shall be deemed to bind each Party hereto as if they were original signatures.</w:t>
      </w:r>
    </w:p>
    <w:p>
      <w:pPr>
        <w:spacing w:after="0" w:line="173" w:lineRule="exact"/>
        <w:rPr>
          <w:sz w:val="20"/>
          <w:szCs w:val="20"/>
          <w:color w:val="auto"/>
        </w:rPr>
      </w:pPr>
    </w:p>
    <w:p>
      <w:pPr>
        <w:jc w:val="both"/>
        <w:ind w:left="600" w:hanging="595"/>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 rights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obligations of a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 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spacing w:after="0" w:line="180" w:lineRule="exact"/>
        <w:rPr>
          <w:sz w:val="20"/>
          <w:szCs w:val="20"/>
          <w:color w:val="auto"/>
        </w:rPr>
      </w:pPr>
    </w:p>
    <w:p>
      <w:pPr>
        <w:jc w:val="both"/>
        <w:ind w:left="600" w:hanging="595"/>
        <w:spacing w:after="0" w:line="278" w:lineRule="auto"/>
        <w:tabs>
          <w:tab w:leader="none" w:pos="580" w:val="left"/>
        </w:tabs>
        <w:rPr>
          <w:sz w:val="20"/>
          <w:szCs w:val="20"/>
          <w:color w:val="auto"/>
        </w:rPr>
      </w:pPr>
      <w:r>
        <w:rPr>
          <w:rFonts w:ascii="Times New Roman" w:cs="Times New Roman" w:eastAsia="Times New Roman" w:hAnsi="Times New Roman"/>
          <w:sz w:val="18"/>
          <w:szCs w:val="18"/>
          <w:color w:val="auto"/>
        </w:rPr>
        <w:t>13.13</w:t>
      </w:r>
      <w:r>
        <w:rPr>
          <w:sz w:val="20"/>
          <w:szCs w:val="20"/>
          <w:color w:val="auto"/>
        </w:rPr>
        <w:tab/>
      </w:r>
      <w:r>
        <w:rPr>
          <w:rFonts w:ascii="Times New Roman" w:cs="Times New Roman" w:eastAsia="Times New Roman" w:hAnsi="Times New Roman"/>
          <w:sz w:val="18"/>
          <w:szCs w:val="18"/>
          <w:u w:val="single" w:color="auto"/>
          <w:color w:val="auto"/>
        </w:rPr>
        <w:t>No Benefit to Third Parties</w:t>
      </w:r>
      <w:r>
        <w:rPr>
          <w:rFonts w:ascii="Times New Roman" w:cs="Times New Roman" w:eastAsia="Times New Roman" w:hAnsi="Times New Roman"/>
          <w:sz w:val="18"/>
          <w:szCs w:val="18"/>
          <w:color w:val="auto"/>
        </w:rPr>
        <w:t>. The representations, warranties and agreements set forth in this Agreement are for the sole benefit of the Parties, and they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construed as conferring any rights on any other parties.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13.14</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00" w:hanging="600"/>
        <w:spacing w:after="0" w:line="277" w:lineRule="auto"/>
        <w:tabs>
          <w:tab w:leader="none" w:pos="1191"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otherwise explicitly specified to the contrary, (a) references to a Section, Section or Exhibit means a Section or Section of, or Exhibit to, this Agreement and all subsections thereof, unless another agreement is specified; (b) references to a particular statute or regulation include all rules and regulations promulgated thereunder and any successor statute, rules or regulations then in effect, in each case including the then-current amendments thereto; (c) words in the singular or plural form include the plural and singular form, respectively;</w:t>
      </w:r>
    </w:p>
    <w:p>
      <w:pPr>
        <w:jc w:val="both"/>
        <w:ind w:left="1200" w:hanging="2"/>
        <w:spacing w:after="0" w:line="266" w:lineRule="auto"/>
        <w:tabs>
          <w:tab w:leader="none" w:pos="149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“including,” “include(s),” “such as,” and “for example” used in this Agreement mean including the generality of any description preceding such term and will be deemed to be followed by “without limitation”; and (e) the words “hereof,” “herein,” “hereunder,” “hereby” and derivative or similar words refer to this Agreement.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78" w:lineRule="exact"/>
        <w:rPr>
          <w:rFonts w:ascii="Times New Roman" w:cs="Times New Roman" w:eastAsia="Times New Roman" w:hAnsi="Times New Roman"/>
          <w:sz w:val="18"/>
          <w:szCs w:val="18"/>
          <w:color w:val="auto"/>
        </w:rPr>
      </w:pPr>
    </w:p>
    <w:p>
      <w:pPr>
        <w:jc w:val="both"/>
        <w:ind w:left="1200" w:hanging="600"/>
        <w:spacing w:after="0" w:line="267" w:lineRule="auto"/>
        <w:tabs>
          <w:tab w:leader="none" w:pos="118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response</w:t>
      </w:r>
      <w:r>
        <w:rPr>
          <w:rFonts w:ascii="Times New Roman" w:cs="Times New Roman" w:eastAsia="Times New Roman" w:hAnsi="Times New Roman"/>
          <w:sz w:val="18"/>
          <w:szCs w:val="18"/>
          <w:color w:val="auto"/>
        </w:rPr>
        <w:t>. Where a provision of this Agreement provides for a Party to respond within a designated period following written notice from the other Party, and if such Party fails to respond, then the failure to respond shall not be deemed to create or imply (except where expressly stated otherwise in this Agreement): (i) that the non-responding Party agrees or disagrees with the proposed action to be taken by the other Party, (ii) any amendment, change or waiver of the terms of this Agreement, or (iii) any consent that an action proposed to be taken may be taken if it conflicts with the terms of this Agreement and/or</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waiver of any rights it may have to seek remedies at law or in equity for breach of this Agreement as a result of the action taken.</w:t>
      </w:r>
    </w:p>
    <w:p>
      <w:pPr>
        <w:sectPr>
          <w:pgSz w:w="11900" w:h="16838" w:orient="portrait"/>
          <w:cols w:equalWidth="0" w:num="1">
            <w:col w:w="9180"/>
          </w:cols>
          <w:pgMar w:left="1440" w:top="1440" w:right="1279" w:bottom="1440" w:gutter="0" w:footer="0" w:header="0"/>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598"/>
        <w:spacing w:after="0" w:line="293"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caused this Agreement to be executed by their duly authorized representatives as of the Effective Date.</w:t>
      </w:r>
    </w:p>
    <w:p>
      <w:pPr>
        <w:spacing w:after="0" w:line="204" w:lineRule="exact"/>
        <w:rPr>
          <w:sz w:val="20"/>
          <w:szCs w:val="20"/>
          <w:color w:val="auto"/>
        </w:rPr>
      </w:pPr>
    </w:p>
    <w:p>
      <w:pPr>
        <w:ind w:left="20"/>
        <w:spacing w:after="0"/>
        <w:tabs>
          <w:tab w:leader="none" w:pos="5280" w:val="left"/>
        </w:tabs>
        <w:rPr>
          <w:sz w:val="20"/>
          <w:szCs w:val="20"/>
          <w:color w:val="auto"/>
        </w:rPr>
      </w:pPr>
      <w:r>
        <w:rPr>
          <w:rFonts w:ascii="Times New Roman" w:cs="Times New Roman" w:eastAsia="Times New Roman" w:hAnsi="Times New Roman"/>
          <w:sz w:val="18"/>
          <w:szCs w:val="18"/>
          <w:color w:val="auto"/>
        </w:rPr>
        <w:t>Molecular Partners</w:t>
      </w:r>
      <w:r>
        <w:rPr>
          <w:sz w:val="20"/>
          <w:szCs w:val="20"/>
          <w:color w:val="auto"/>
        </w:rPr>
        <w:tab/>
      </w:r>
      <w:r>
        <w:rPr>
          <w:rFonts w:ascii="Times New Roman" w:cs="Times New Roman" w:eastAsia="Times New Roman" w:hAnsi="Times New Roman"/>
          <w:sz w:val="17"/>
          <w:szCs w:val="17"/>
          <w:color w:val="auto"/>
        </w:rPr>
        <w:t>Orano Med Theranostics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Michael Pitzner</w:t>
            </w:r>
          </w:p>
        </w:tc>
        <w:tc>
          <w:tcPr>
            <w:tcW w:w="3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Name: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Arnaud Lesegretain</w:t>
            </w: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c>
          <w:tcPr>
            <w:tcW w:w="3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January 2025 | 15:23 CET</w:t>
            </w:r>
          </w:p>
        </w:tc>
        <w:tc>
          <w:tcPr>
            <w:tcW w:w="3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Date:</w:t>
            </w: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janvier 2025 | 17:26 CET</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Michael Pitzner</w:t>
            </w:r>
          </w:p>
        </w:tc>
        <w:tc>
          <w:tcPr>
            <w:tcW w:w="1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Arnaud Lesegretain</w:t>
            </w:r>
          </w:p>
        </w:tc>
      </w:tr>
      <w:tr>
        <w:trPr>
          <w:trHeight w:val="7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24"/>
                <w:szCs w:val="24"/>
                <w:color w:val="auto"/>
              </w:rPr>
            </w:pPr>
          </w:p>
        </w:tc>
        <w:tc>
          <w:tcPr>
            <w:tcW w:w="2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Patrick Amstutz</w:t>
            </w:r>
          </w:p>
        </w:tc>
        <w:tc>
          <w:tcPr>
            <w:tcW w:w="24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CEO</w:t>
            </w:r>
          </w:p>
        </w:tc>
        <w:tc>
          <w:tcPr>
            <w:tcW w:w="24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22"/>
                <w:szCs w:val="22"/>
                <w:color w:val="auto"/>
              </w:rPr>
            </w:pPr>
          </w:p>
        </w:tc>
        <w:tc>
          <w:tcPr>
            <w:tcW w:w="2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11. Januar 2025 | 16:48 MEZ</w:t>
            </w:r>
          </w:p>
        </w:tc>
        <w:tc>
          <w:tcPr>
            <w:tcW w:w="2440" w:type="dxa"/>
            <w:vAlign w:val="bottom"/>
          </w:tcPr>
          <w:p>
            <w:pPr>
              <w:spacing w:after="0"/>
              <w:rPr>
                <w:sz w:val="22"/>
                <w:szCs w:val="22"/>
                <w:color w:val="auto"/>
              </w:rPr>
            </w:pPr>
          </w:p>
        </w:tc>
        <w:tc>
          <w:tcPr>
            <w:tcW w:w="19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Patrick Amstutz</w:t>
      </w: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Attached</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00" w:hanging="599"/>
        <w:spacing w:after="0"/>
        <w:tabs>
          <w:tab w:leader="none" w:pos="6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A – Existing Contracts</w:t>
      </w:r>
    </w:p>
    <w:p>
      <w:pPr>
        <w:spacing w:after="0" w:line="248" w:lineRule="exact"/>
        <w:rPr>
          <w:rFonts w:ascii="Times New Roman" w:cs="Times New Roman" w:eastAsia="Times New Roman" w:hAnsi="Times New Roman"/>
          <w:sz w:val="18"/>
          <w:szCs w:val="18"/>
          <w:color w:val="auto"/>
        </w:rPr>
      </w:pPr>
    </w:p>
    <w:p>
      <w:pPr>
        <w:ind w:left="340" w:hanging="339"/>
        <w:spacing w:after="0"/>
        <w:tabs>
          <w:tab w:leader="none" w:pos="3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 Studies per Exclusive Product</w:t>
      </w:r>
    </w:p>
    <w:p>
      <w:pPr>
        <w:spacing w:after="0" w:line="248"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 – RDC Agreement Terms</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8"/>
          <w:szCs w:val="18"/>
          <w:color w:val="auto"/>
        </w:rPr>
        <w:t>Exhibit A – Existing Contracts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bookmarkStart w:id="305" w:name="page306"/>
    <w:bookmarkEnd w:id="305"/>
    <w:p>
      <w:pPr>
        <w:jc w:val="right"/>
        <w:ind w:right="3019"/>
        <w:spacing w:after="0"/>
        <w:rPr>
          <w:sz w:val="20"/>
          <w:szCs w:val="20"/>
          <w:color w:val="auto"/>
        </w:rPr>
      </w:pPr>
      <w:r>
        <w:rPr>
          <w:rFonts w:ascii="Times New Roman" w:cs="Times New Roman" w:eastAsia="Times New Roman" w:hAnsi="Times New Roman"/>
          <w:sz w:val="18"/>
          <w:szCs w:val="18"/>
          <w:color w:val="auto"/>
        </w:rPr>
        <w:t>Exhibit B – Studies per Exclusive Product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316" w:right="1440" w:bottom="1440" w:gutter="0" w:footer="0" w:header="0"/>
        </w:sectPr>
      </w:pPr>
    </w:p>
    <w:bookmarkStart w:id="306" w:name="page307"/>
    <w:bookmarkEnd w:id="306"/>
    <w:p>
      <w:pPr>
        <w:jc w:val="right"/>
        <w:ind w:right="3239"/>
        <w:spacing w:after="0"/>
        <w:rPr>
          <w:sz w:val="20"/>
          <w:szCs w:val="20"/>
          <w:color w:val="auto"/>
        </w:rPr>
      </w:pPr>
      <w:r>
        <w:rPr>
          <w:rFonts w:ascii="Times New Roman" w:cs="Times New Roman" w:eastAsia="Times New Roman" w:hAnsi="Times New Roman"/>
          <w:sz w:val="18"/>
          <w:szCs w:val="18"/>
          <w:color w:val="auto"/>
        </w:rPr>
        <w:t>Exhibit C – RDC Agreement Terms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1316" w:right="1440" w:bottom="1440" w:gutter="0" w:footer="0" w:header="0"/>
        </w:sectPr>
      </w:pPr>
    </w:p>
    <w:bookmarkStart w:id="307" w:name="page308"/>
    <w:bookmarkEnd w:id="307"/>
    <w:p>
      <w:pPr>
        <w:spacing w:after="0"/>
        <w:tabs>
          <w:tab w:leader="none" w:pos="10480" w:val="left"/>
        </w:tabs>
        <w:rPr>
          <w:sz w:val="20"/>
          <w:szCs w:val="20"/>
          <w:color w:val="auto"/>
        </w:rPr>
      </w:pPr>
      <w:r>
        <w:rPr>
          <w:rFonts w:ascii="Arial" w:cs="Arial" w:eastAsia="Arial" w:hAnsi="Arial"/>
          <w:sz w:val="13"/>
          <w:szCs w:val="13"/>
          <w:color w:val="auto"/>
        </w:rPr>
        <w:t>Molecular Partners AG: Performance Share Plan 2025 - Employees</w:t>
      </w:r>
      <w:r>
        <w:rPr>
          <w:sz w:val="20"/>
          <w:szCs w:val="20"/>
          <w:color w:val="auto"/>
        </w:rPr>
        <w:tab/>
      </w:r>
      <w:r>
        <w:rPr>
          <w:rFonts w:ascii="Arial" w:cs="Arial" w:eastAsia="Arial" w:hAnsi="Arial"/>
          <w:sz w:val="13"/>
          <w:szCs w:val="13"/>
          <w:color w:val="auto"/>
        </w:rPr>
        <w:t>Exhibit 4.20</w:t>
      </w:r>
    </w:p>
    <w:p>
      <w:pPr>
        <w:sectPr>
          <w:pgSz w:w="11900" w:h="16838" w:orient="portrait"/>
          <w:cols w:equalWidth="0" w:num="1">
            <w:col w:w="11220"/>
          </w:cols>
          <w:pgMar w:left="340" w:top="2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00"/>
        <w:spacing w:after="0"/>
        <w:rPr>
          <w:sz w:val="20"/>
          <w:szCs w:val="20"/>
          <w:color w:val="auto"/>
        </w:rPr>
      </w:pPr>
      <w:r>
        <w:rPr>
          <w:rFonts w:ascii="Arial" w:cs="Arial" w:eastAsia="Arial" w:hAnsi="Arial"/>
          <w:sz w:val="27"/>
          <w:szCs w:val="27"/>
          <w:b w:val="1"/>
          <w:bCs w:val="1"/>
          <w:color w:val="auto"/>
        </w:rPr>
        <w:t>Performance Share Plan 2025</w:t>
      </w:r>
    </w:p>
    <w:p>
      <w:pPr>
        <w:spacing w:after="0" w:line="272" w:lineRule="exact"/>
        <w:rPr>
          <w:sz w:val="20"/>
          <w:szCs w:val="20"/>
          <w:color w:val="auto"/>
        </w:rPr>
      </w:pPr>
    </w:p>
    <w:p>
      <w:pPr>
        <w:ind w:left="1700"/>
        <w:spacing w:after="0"/>
        <w:rPr>
          <w:sz w:val="20"/>
          <w:szCs w:val="20"/>
          <w:color w:val="auto"/>
        </w:rPr>
      </w:pPr>
      <w:r>
        <w:rPr>
          <w:rFonts w:ascii="Arial" w:cs="Arial" w:eastAsia="Arial" w:hAnsi="Arial"/>
          <w:sz w:val="27"/>
          <w:szCs w:val="27"/>
          <w:b w:val="1"/>
          <w:bCs w:val="1"/>
          <w:color w:val="auto"/>
        </w:rPr>
        <w:t>Employees</w:t>
      </w:r>
    </w:p>
    <w:p>
      <w:pPr>
        <w:sectPr>
          <w:pgSz w:w="11900" w:h="16838" w:orient="portrait"/>
          <w:cols w:equalWidth="0" w:num="1">
            <w:col w:w="11220"/>
          </w:cols>
          <w:pgMar w:left="340" w:top="203" w:right="339" w:bottom="1440" w:gutter="0" w:footer="0" w:header="0"/>
          <w:type w:val="continuous"/>
        </w:sectPr>
      </w:pPr>
    </w:p>
    <w:bookmarkStart w:id="308" w:name="page309"/>
    <w:bookmarkEnd w:id="308"/>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60" w:type="dxa"/>
            <w:vAlign w:val="bottom"/>
          </w:tcPr>
          <w:p>
            <w:pPr>
              <w:spacing w:after="0"/>
              <w:rPr>
                <w:sz w:val="20"/>
                <w:szCs w:val="20"/>
                <w:color w:val="auto"/>
              </w:rPr>
            </w:pPr>
            <w:r>
              <w:rPr>
                <w:rFonts w:ascii="Arial" w:cs="Arial" w:eastAsia="Arial" w:hAnsi="Arial"/>
                <w:sz w:val="19"/>
                <w:szCs w:val="19"/>
                <w:color w:val="auto"/>
              </w:rPr>
              <w:t>1.</w:t>
            </w:r>
          </w:p>
        </w:tc>
        <w:tc>
          <w:tcPr>
            <w:tcW w:w="7200" w:type="dxa"/>
            <w:vAlign w:val="bottom"/>
            <w:gridSpan w:val="2"/>
          </w:tcPr>
          <w:p>
            <w:pPr>
              <w:ind w:left="100"/>
              <w:spacing w:after="0"/>
              <w:rPr>
                <w:sz w:val="20"/>
                <w:szCs w:val="20"/>
                <w:color w:val="auto"/>
              </w:rPr>
            </w:pPr>
            <w:r>
              <w:rPr>
                <w:rFonts w:ascii="Arial" w:cs="Arial" w:eastAsia="Arial" w:hAnsi="Arial"/>
                <w:sz w:val="19"/>
                <w:szCs w:val="19"/>
                <w:color w:val="auto"/>
              </w:rPr>
              <w:t>Performance Share Plan 2025</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Purpose</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Definitions and Interpretation</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Responsibilities and Administration</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4.</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Eligibility and Participation</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5.</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Grant of PSUs</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6.</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No Securities</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7.</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No Transfer</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8.</w:t>
            </w:r>
          </w:p>
        </w:tc>
        <w:tc>
          <w:tcPr>
            <w:tcW w:w="7200" w:type="dxa"/>
            <w:vAlign w:val="bottom"/>
            <w:gridSpan w:val="2"/>
          </w:tcPr>
          <w:p>
            <w:pPr>
              <w:ind w:left="100"/>
              <w:spacing w:after="0"/>
              <w:rPr>
                <w:sz w:val="20"/>
                <w:szCs w:val="20"/>
                <w:color w:val="auto"/>
              </w:rPr>
            </w:pPr>
            <w:r>
              <w:rPr>
                <w:rFonts w:ascii="Arial" w:cs="Arial" w:eastAsia="Arial" w:hAnsi="Arial"/>
                <w:sz w:val="19"/>
                <w:szCs w:val="19"/>
                <w:color w:val="auto"/>
              </w:rPr>
              <w:t>Vesting and Delivery of Shares</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9.</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Underlying Shares</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10.</w:t>
            </w:r>
          </w:p>
        </w:tc>
        <w:tc>
          <w:tcPr>
            <w:tcW w:w="7160" w:type="dxa"/>
            <w:vAlign w:val="bottom"/>
          </w:tcPr>
          <w:p>
            <w:pPr>
              <w:ind w:left="160"/>
              <w:spacing w:after="0"/>
              <w:rPr>
                <w:sz w:val="20"/>
                <w:szCs w:val="20"/>
                <w:color w:val="auto"/>
              </w:rPr>
            </w:pPr>
            <w:r>
              <w:rPr>
                <w:rFonts w:ascii="Arial" w:cs="Arial" w:eastAsia="Arial" w:hAnsi="Arial"/>
                <w:sz w:val="19"/>
                <w:szCs w:val="19"/>
                <w:color w:val="auto"/>
              </w:rPr>
              <w:t>Vesting Multiple</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7460" w:type="dxa"/>
            <w:vAlign w:val="bottom"/>
            <w:gridSpan w:val="3"/>
          </w:tcPr>
          <w:p>
            <w:pPr>
              <w:spacing w:after="0"/>
              <w:rPr>
                <w:sz w:val="20"/>
                <w:szCs w:val="20"/>
                <w:color w:val="auto"/>
              </w:rPr>
            </w:pPr>
            <w:r>
              <w:rPr>
                <w:rFonts w:ascii="Arial" w:cs="Arial" w:eastAsia="Arial" w:hAnsi="Arial"/>
                <w:sz w:val="19"/>
                <w:szCs w:val="19"/>
                <w:color w:val="auto"/>
              </w:rPr>
              <w:t>11.  Taxes and Social Security Contributions</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12.</w:t>
            </w:r>
          </w:p>
        </w:tc>
        <w:tc>
          <w:tcPr>
            <w:tcW w:w="7160" w:type="dxa"/>
            <w:vAlign w:val="bottom"/>
          </w:tcPr>
          <w:p>
            <w:pPr>
              <w:ind w:left="160"/>
              <w:spacing w:after="0"/>
              <w:rPr>
                <w:sz w:val="20"/>
                <w:szCs w:val="20"/>
                <w:color w:val="auto"/>
              </w:rPr>
            </w:pPr>
            <w:r>
              <w:rPr>
                <w:rFonts w:ascii="Arial" w:cs="Arial" w:eastAsia="Arial" w:hAnsi="Arial"/>
                <w:sz w:val="19"/>
                <w:szCs w:val="19"/>
                <w:color w:val="auto"/>
              </w:rPr>
              <w:t>Disclosure Requirements</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13.</w:t>
            </w:r>
          </w:p>
        </w:tc>
        <w:tc>
          <w:tcPr>
            <w:tcW w:w="7160" w:type="dxa"/>
            <w:vAlign w:val="bottom"/>
          </w:tcPr>
          <w:p>
            <w:pPr>
              <w:ind w:left="160"/>
              <w:spacing w:after="0"/>
              <w:rPr>
                <w:sz w:val="20"/>
                <w:szCs w:val="20"/>
                <w:color w:val="auto"/>
              </w:rPr>
            </w:pPr>
            <w:r>
              <w:rPr>
                <w:rFonts w:ascii="Arial" w:cs="Arial" w:eastAsia="Arial" w:hAnsi="Arial"/>
                <w:sz w:val="19"/>
                <w:szCs w:val="19"/>
                <w:color w:val="auto"/>
              </w:rPr>
              <w:t>Other Obligations of the Participant</w:t>
            </w:r>
          </w:p>
        </w:tc>
        <w:tc>
          <w:tcPr>
            <w:tcW w:w="37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14.</w:t>
            </w:r>
          </w:p>
        </w:tc>
        <w:tc>
          <w:tcPr>
            <w:tcW w:w="7160" w:type="dxa"/>
            <w:vAlign w:val="bottom"/>
          </w:tcPr>
          <w:p>
            <w:pPr>
              <w:ind w:left="160"/>
              <w:spacing w:after="0"/>
              <w:rPr>
                <w:sz w:val="20"/>
                <w:szCs w:val="20"/>
                <w:color w:val="auto"/>
              </w:rPr>
            </w:pPr>
            <w:r>
              <w:rPr>
                <w:rFonts w:ascii="Arial" w:cs="Arial" w:eastAsia="Arial" w:hAnsi="Arial"/>
                <w:sz w:val="19"/>
                <w:szCs w:val="19"/>
                <w:color w:val="auto"/>
              </w:rPr>
              <w:t>Termination of Employment and Forfeiture</w:t>
            </w:r>
          </w:p>
        </w:tc>
        <w:tc>
          <w:tcPr>
            <w:tcW w:w="37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15.</w:t>
            </w:r>
          </w:p>
        </w:tc>
        <w:tc>
          <w:tcPr>
            <w:tcW w:w="7160" w:type="dxa"/>
            <w:vAlign w:val="bottom"/>
          </w:tcPr>
          <w:p>
            <w:pPr>
              <w:ind w:left="160"/>
              <w:spacing w:after="0"/>
              <w:rPr>
                <w:sz w:val="20"/>
                <w:szCs w:val="20"/>
                <w:color w:val="auto"/>
              </w:rPr>
            </w:pPr>
            <w:r>
              <w:rPr>
                <w:rFonts w:ascii="Arial" w:cs="Arial" w:eastAsia="Arial" w:hAnsi="Arial"/>
                <w:sz w:val="19"/>
                <w:szCs w:val="19"/>
                <w:color w:val="auto"/>
              </w:rPr>
              <w:t>Change of Control</w:t>
            </w:r>
          </w:p>
        </w:tc>
        <w:tc>
          <w:tcPr>
            <w:tcW w:w="37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16.</w:t>
            </w:r>
          </w:p>
        </w:tc>
        <w:tc>
          <w:tcPr>
            <w:tcW w:w="7160" w:type="dxa"/>
            <w:vAlign w:val="bottom"/>
          </w:tcPr>
          <w:p>
            <w:pPr>
              <w:ind w:left="160"/>
              <w:spacing w:after="0"/>
              <w:rPr>
                <w:sz w:val="20"/>
                <w:szCs w:val="20"/>
                <w:color w:val="auto"/>
              </w:rPr>
            </w:pPr>
            <w:r>
              <w:rPr>
                <w:rFonts w:ascii="Arial" w:cs="Arial" w:eastAsia="Arial" w:hAnsi="Arial"/>
                <w:sz w:val="19"/>
                <w:szCs w:val="19"/>
                <w:color w:val="auto"/>
              </w:rPr>
              <w:t>Corporate Events</w:t>
            </w:r>
          </w:p>
        </w:tc>
        <w:tc>
          <w:tcPr>
            <w:tcW w:w="37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17.</w:t>
            </w:r>
          </w:p>
        </w:tc>
        <w:tc>
          <w:tcPr>
            <w:tcW w:w="7160" w:type="dxa"/>
            <w:vAlign w:val="bottom"/>
          </w:tcPr>
          <w:p>
            <w:pPr>
              <w:ind w:left="160"/>
              <w:spacing w:after="0"/>
              <w:rPr>
                <w:sz w:val="20"/>
                <w:szCs w:val="20"/>
                <w:color w:val="auto"/>
              </w:rPr>
            </w:pPr>
            <w:r>
              <w:rPr>
                <w:rFonts w:ascii="Arial" w:cs="Arial" w:eastAsia="Arial" w:hAnsi="Arial"/>
                <w:sz w:val="19"/>
                <w:szCs w:val="19"/>
                <w:color w:val="auto"/>
              </w:rPr>
              <w:t>Data Protection</w:t>
            </w:r>
          </w:p>
        </w:tc>
        <w:tc>
          <w:tcPr>
            <w:tcW w:w="37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18.</w:t>
            </w:r>
          </w:p>
        </w:tc>
        <w:tc>
          <w:tcPr>
            <w:tcW w:w="7160" w:type="dxa"/>
            <w:vAlign w:val="bottom"/>
          </w:tcPr>
          <w:p>
            <w:pPr>
              <w:ind w:left="160"/>
              <w:spacing w:after="0"/>
              <w:rPr>
                <w:sz w:val="20"/>
                <w:szCs w:val="20"/>
                <w:color w:val="auto"/>
              </w:rPr>
            </w:pPr>
            <w:r>
              <w:rPr>
                <w:rFonts w:ascii="Arial" w:cs="Arial" w:eastAsia="Arial" w:hAnsi="Arial"/>
                <w:sz w:val="19"/>
                <w:szCs w:val="19"/>
                <w:color w:val="auto"/>
              </w:rPr>
              <w:t>Legal and regulatory restrictions</w:t>
            </w:r>
          </w:p>
        </w:tc>
        <w:tc>
          <w:tcPr>
            <w:tcW w:w="37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19.</w:t>
            </w:r>
          </w:p>
        </w:tc>
        <w:tc>
          <w:tcPr>
            <w:tcW w:w="7160" w:type="dxa"/>
            <w:vAlign w:val="bottom"/>
          </w:tcPr>
          <w:p>
            <w:pPr>
              <w:ind w:left="160"/>
              <w:spacing w:after="0"/>
              <w:rPr>
                <w:sz w:val="20"/>
                <w:szCs w:val="20"/>
                <w:color w:val="auto"/>
              </w:rPr>
            </w:pPr>
            <w:r>
              <w:rPr>
                <w:rFonts w:ascii="Arial" w:cs="Arial" w:eastAsia="Arial" w:hAnsi="Arial"/>
                <w:sz w:val="19"/>
                <w:szCs w:val="19"/>
                <w:color w:val="auto"/>
              </w:rPr>
              <w:t>Amendment and Termination</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20.</w:t>
            </w:r>
          </w:p>
        </w:tc>
        <w:tc>
          <w:tcPr>
            <w:tcW w:w="7160" w:type="dxa"/>
            <w:vAlign w:val="bottom"/>
          </w:tcPr>
          <w:p>
            <w:pPr>
              <w:ind w:left="160"/>
              <w:spacing w:after="0"/>
              <w:rPr>
                <w:sz w:val="20"/>
                <w:szCs w:val="20"/>
                <w:color w:val="auto"/>
              </w:rPr>
            </w:pPr>
            <w:r>
              <w:rPr>
                <w:rFonts w:ascii="Arial" w:cs="Arial" w:eastAsia="Arial" w:hAnsi="Arial"/>
                <w:sz w:val="19"/>
                <w:szCs w:val="19"/>
                <w:color w:val="auto"/>
              </w:rPr>
              <w:t>Severability</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21.</w:t>
            </w:r>
          </w:p>
        </w:tc>
        <w:tc>
          <w:tcPr>
            <w:tcW w:w="7160" w:type="dxa"/>
            <w:vAlign w:val="bottom"/>
          </w:tcPr>
          <w:p>
            <w:pPr>
              <w:ind w:left="160"/>
              <w:spacing w:after="0"/>
              <w:rPr>
                <w:sz w:val="20"/>
                <w:szCs w:val="20"/>
                <w:color w:val="auto"/>
              </w:rPr>
            </w:pPr>
            <w:r>
              <w:rPr>
                <w:rFonts w:ascii="Arial" w:cs="Arial" w:eastAsia="Arial" w:hAnsi="Arial"/>
                <w:sz w:val="19"/>
                <w:szCs w:val="19"/>
                <w:color w:val="auto"/>
              </w:rPr>
              <w:t>Governing Law and Jurisdiction</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22.</w:t>
            </w:r>
          </w:p>
        </w:tc>
        <w:tc>
          <w:tcPr>
            <w:tcW w:w="7160" w:type="dxa"/>
            <w:vAlign w:val="bottom"/>
          </w:tcPr>
          <w:p>
            <w:pPr>
              <w:ind w:left="160"/>
              <w:spacing w:after="0"/>
              <w:rPr>
                <w:sz w:val="20"/>
                <w:szCs w:val="20"/>
                <w:color w:val="auto"/>
              </w:rPr>
            </w:pPr>
            <w:r>
              <w:rPr>
                <w:rFonts w:ascii="Arial" w:cs="Arial" w:eastAsia="Arial" w:hAnsi="Arial"/>
                <w:sz w:val="19"/>
                <w:szCs w:val="19"/>
                <w:color w:val="auto"/>
              </w:rPr>
              <w:t>Entry into Force</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Annex 1: Definitions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Annex 2: Forms of PSU Award Agreement</w:t>
      </w:r>
    </w:p>
    <w:p>
      <w:pPr>
        <w:sectPr>
          <w:pgSz w:w="11900" w:h="16838" w:orient="portrait"/>
          <w:cols w:equalWidth="0" w:num="1">
            <w:col w:w="11220"/>
          </w:cols>
          <w:pgMar w:left="320" w:top="203" w:right="359" w:bottom="1440" w:gutter="0" w:footer="0" w:header="0"/>
        </w:sectPr>
      </w:pPr>
    </w:p>
    <w:bookmarkStart w:id="309" w:name="page310"/>
    <w:bookmarkEnd w:id="309"/>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0" w:hanging="599"/>
        <w:spacing w:after="0"/>
        <w:tabs>
          <w:tab w:leader="none" w:pos="600" w:val="left"/>
        </w:tabs>
        <w:numPr>
          <w:ilvl w:val="0"/>
          <w:numId w:val="283"/>
        </w:numPr>
        <w:rPr>
          <w:rFonts w:ascii="Arial" w:cs="Arial" w:eastAsia="Arial" w:hAnsi="Arial"/>
          <w:sz w:val="20"/>
          <w:szCs w:val="20"/>
          <w:b w:val="1"/>
          <w:bCs w:val="1"/>
          <w:color w:val="auto"/>
        </w:rPr>
      </w:pPr>
      <w:r>
        <w:rPr>
          <w:rFonts w:ascii="Arial" w:cs="Arial" w:eastAsia="Arial" w:hAnsi="Arial"/>
          <w:sz w:val="24"/>
          <w:szCs w:val="24"/>
          <w:b w:val="1"/>
          <w:bCs w:val="1"/>
          <w:color w:val="auto"/>
        </w:rPr>
        <w:t>Performance Share Plan 2025</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311" w:lineRule="exact"/>
        <w:rPr>
          <w:sz w:val="20"/>
          <w:szCs w:val="20"/>
          <w:color w:val="auto"/>
        </w:rPr>
      </w:pPr>
    </w:p>
    <w:p>
      <w:pPr>
        <w:jc w:val="both"/>
        <w:spacing w:after="0" w:line="355" w:lineRule="auto"/>
        <w:rPr>
          <w:sz w:val="20"/>
          <w:szCs w:val="20"/>
          <w:color w:val="auto"/>
        </w:rPr>
      </w:pPr>
      <w:r>
        <w:rPr>
          <w:rFonts w:ascii="Arial" w:cs="Arial" w:eastAsia="Arial" w:hAnsi="Arial"/>
          <w:sz w:val="17"/>
          <w:szCs w:val="17"/>
          <w:color w:val="auto"/>
        </w:rPr>
        <w:t>The purpose of this performance share plan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7"/>
          <w:szCs w:val="17"/>
          <w:b w:val="1"/>
          <w:bCs w:val="1"/>
          <w:color w:val="auto"/>
        </w:rPr>
        <w:t>PSU</w:t>
      </w:r>
      <w:r>
        <w:rPr>
          <w:rFonts w:ascii="Arial" w:cs="Arial" w:eastAsia="Arial" w:hAnsi="Arial"/>
          <w:sz w:val="17"/>
          <w:szCs w:val="17"/>
          <w:color w:val="auto"/>
        </w:rPr>
        <w:t>) to them.</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and Interpretation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in this Plan shall have the meaning set forth in Annex 1.</w:t>
      </w:r>
    </w:p>
    <w:p>
      <w:pPr>
        <w:spacing w:after="0" w:line="286"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Responsibilities and Administration</w:t>
      </w:r>
    </w:p>
    <w:p>
      <w:pPr>
        <w:spacing w:after="0" w:line="286"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7"/>
          <w:szCs w:val="17"/>
          <w:b w:val="1"/>
          <w:bCs w:val="1"/>
          <w:color w:val="auto"/>
        </w:rPr>
        <w:t>Nomination and Compensation Committee</w:t>
      </w:r>
      <w:r>
        <w:rPr>
          <w:rFonts w:ascii="Arial" w:cs="Arial" w:eastAsia="Arial" w:hAnsi="Arial"/>
          <w:sz w:val="17"/>
          <w:szCs w:val="17"/>
          <w:color w:val="auto"/>
        </w:rPr>
        <w:t>), the maximum number of PSUs that may be granted under this Plan and of shares to be allocated from the Company's conditional capital or otherwise in connection with such PSUs.</w:t>
      </w:r>
    </w:p>
    <w:p>
      <w:pPr>
        <w:spacing w:after="0" w:line="197" w:lineRule="exact"/>
        <w:rPr>
          <w:sz w:val="20"/>
          <w:szCs w:val="20"/>
          <w:color w:val="auto"/>
        </w:rPr>
      </w:pPr>
    </w:p>
    <w:p>
      <w:pPr>
        <w:jc w:val="both"/>
        <w:ind w:hanging="6"/>
        <w:spacing w:after="0" w:line="309" w:lineRule="auto"/>
        <w:rPr>
          <w:sz w:val="20"/>
          <w:szCs w:val="20"/>
          <w:color w:val="auto"/>
        </w:rPr>
      </w:pPr>
      <w:r>
        <w:rPr>
          <w:rFonts w:ascii="Arial" w:cs="Arial" w:eastAsia="Arial" w:hAnsi="Arial"/>
          <w:sz w:val="17"/>
          <w:szCs w:val="17"/>
          <w:color w:val="auto"/>
        </w:rPr>
        <w:t>The Nomination and Compensation Committee shall be responsible for the implementation and administration of the Plan and shall make recommendations to amend or renew or terminate the Plan or to replace it with new editions or other plans. It may delegate, under its supervision, the implementation and administration, as well as grants of PSUs to one or several administrators (</w:t>
      </w:r>
      <w:r>
        <w:rPr>
          <w:rFonts w:ascii="Arial" w:cs="Arial" w:eastAsia="Arial" w:hAnsi="Arial"/>
          <w:sz w:val="17"/>
          <w:szCs w:val="17"/>
          <w:b w:val="1"/>
          <w:bCs w:val="1"/>
          <w:color w:val="auto"/>
        </w:rPr>
        <w:t>Administrator</w:t>
      </w:r>
      <w:r>
        <w:rPr>
          <w:rFonts w:ascii="Arial" w:cs="Arial" w:eastAsia="Arial" w:hAnsi="Arial"/>
          <w:sz w:val="17"/>
          <w:szCs w:val="17"/>
          <w:color w:val="auto"/>
        </w:rPr>
        <w:t>).</w:t>
      </w:r>
    </w:p>
    <w:p>
      <w:pPr>
        <w:spacing w:after="0" w:line="195" w:lineRule="exact"/>
        <w:rPr>
          <w:sz w:val="20"/>
          <w:szCs w:val="20"/>
          <w:color w:val="auto"/>
        </w:rPr>
      </w:pPr>
    </w:p>
    <w:p>
      <w:pPr>
        <w:jc w:val="both"/>
        <w:ind w:hanging="2"/>
        <w:spacing w:after="0" w:line="304" w:lineRule="auto"/>
        <w:rPr>
          <w:sz w:val="20"/>
          <w:szCs w:val="20"/>
          <w:color w:val="auto"/>
        </w:rPr>
      </w:pPr>
      <w:r>
        <w:rPr>
          <w:rFonts w:ascii="Arial" w:cs="Arial" w:eastAsia="Arial" w:hAnsi="Arial"/>
          <w:sz w:val="17"/>
          <w:szCs w:val="17"/>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194" w:lineRule="exact"/>
        <w:rPr>
          <w:sz w:val="20"/>
          <w:szCs w:val="20"/>
          <w:color w:val="auto"/>
        </w:rPr>
      </w:pPr>
    </w:p>
    <w:p>
      <w:pPr>
        <w:jc w:val="both"/>
        <w:ind w:hanging="6"/>
        <w:spacing w:after="0" w:line="338" w:lineRule="auto"/>
        <w:rPr>
          <w:sz w:val="20"/>
          <w:szCs w:val="20"/>
          <w:color w:val="auto"/>
        </w:rPr>
      </w:pPr>
      <w:r>
        <w:rPr>
          <w:rFonts w:ascii="Arial" w:cs="Arial" w:eastAsia="Arial" w:hAnsi="Arial"/>
          <w:sz w:val="17"/>
          <w:szCs w:val="17"/>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7"/>
          <w:szCs w:val="17"/>
          <w:b w:val="1"/>
          <w:bCs w:val="1"/>
          <w:color w:val="auto"/>
        </w:rPr>
        <w:t>Plan Service Provider</w:t>
      </w:r>
      <w:r>
        <w:rPr>
          <w:rFonts w:ascii="Arial" w:cs="Arial" w:eastAsia="Arial" w:hAnsi="Arial"/>
          <w:sz w:val="17"/>
          <w:szCs w:val="17"/>
          <w:color w:val="auto"/>
        </w:rPr>
        <w:t>).</w:t>
      </w:r>
    </w:p>
    <w:p>
      <w:pPr>
        <w:sectPr>
          <w:pgSz w:w="11900" w:h="16838" w:orient="portrait"/>
          <w:cols w:equalWidth="0" w:num="1">
            <w:col w:w="11240"/>
          </w:cols>
          <w:pgMar w:left="320" w:top="203" w:right="339" w:bottom="1440" w:gutter="0" w:footer="0" w:header="0"/>
        </w:sectPr>
      </w:pPr>
    </w:p>
    <w:bookmarkStart w:id="310" w:name="page311"/>
    <w:bookmarkEnd w:id="310"/>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 and Participation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As a rule, employees (other than members of the Management Board) as well as selected consultants may become eligible to participate in this Plan.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decision on eligibility is reserved to the Nomination and Compensation Committee or the relevant Administrator.</w:t>
      </w:r>
    </w:p>
    <w:p>
      <w:pPr>
        <w:spacing w:after="0" w:line="273" w:lineRule="exact"/>
        <w:rPr>
          <w:sz w:val="20"/>
          <w:szCs w:val="20"/>
          <w:color w:val="auto"/>
        </w:rPr>
      </w:pPr>
    </w:p>
    <w:p>
      <w:pPr>
        <w:jc w:val="both"/>
        <w:ind w:hanging="6"/>
        <w:spacing w:after="0" w:line="302" w:lineRule="auto"/>
        <w:rPr>
          <w:sz w:val="20"/>
          <w:szCs w:val="20"/>
          <w:color w:val="auto"/>
        </w:rPr>
      </w:pPr>
      <w:r>
        <w:rPr>
          <w:rFonts w:ascii="Arial" w:cs="Arial" w:eastAsia="Arial" w:hAnsi="Arial"/>
          <w:sz w:val="17"/>
          <w:szCs w:val="17"/>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7"/>
          <w:szCs w:val="17"/>
          <w:b w:val="1"/>
          <w:bCs w:val="1"/>
          <w:color w:val="auto"/>
        </w:rPr>
        <w:t>PSU Award Agreement</w:t>
      </w:r>
      <w:r>
        <w:rPr>
          <w:rFonts w:ascii="Arial" w:cs="Arial" w:eastAsia="Arial" w:hAnsi="Arial"/>
          <w:sz w:val="17"/>
          <w:szCs w:val="17"/>
          <w:color w:val="auto"/>
        </w:rPr>
        <w:t xml:space="preserve">) among the Company (or the employer Group Company) and the eligible person, substantially in the form attached hereto as Annex 2. The right to receive PSUs shall accrue exclusively to those eligible persons who have, in accordance with this Plan, been duly and validly offered, and have signed and returned, their individual PSU Award Agreement by the relevant due date (each a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188" w:lineRule="exact"/>
        <w:rPr>
          <w:sz w:val="20"/>
          <w:szCs w:val="20"/>
          <w:color w:val="auto"/>
        </w:rPr>
      </w:pPr>
    </w:p>
    <w:p>
      <w:pPr>
        <w:jc w:val="both"/>
        <w:ind w:hanging="2"/>
        <w:spacing w:after="0" w:line="312" w:lineRule="auto"/>
        <w:rPr>
          <w:sz w:val="20"/>
          <w:szCs w:val="20"/>
          <w:color w:val="auto"/>
        </w:rPr>
      </w:pPr>
      <w:r>
        <w:rPr>
          <w:rFonts w:ascii="Arial" w:cs="Arial" w:eastAsia="Arial" w:hAnsi="Arial"/>
          <w:sz w:val="17"/>
          <w:szCs w:val="17"/>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187"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Neither the grant of PSUs, nor the transfer of Shares in connection with this Plan shall confer upon any Participant any right to continue to be employed by any Group Company.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of PSUs</w:t>
      </w:r>
    </w:p>
    <w:p>
      <w:pPr>
        <w:spacing w:after="0" w:line="286"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194"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 xml:space="preserve">One PSU represents a conditional entitlement to purchase a number of Shares at the nominal value of a Share. The number of Shares which shall be allocated to a Participant upon vesting shall be determined pursuant to a vesting multiple as described in Section 10 hereof (the </w:t>
      </w:r>
      <w:r>
        <w:rPr>
          <w:rFonts w:ascii="Arial" w:cs="Arial" w:eastAsia="Arial" w:hAnsi="Arial"/>
          <w:sz w:val="17"/>
          <w:szCs w:val="17"/>
          <w:b w:val="1"/>
          <w:bCs w:val="1"/>
          <w:color w:val="auto"/>
        </w:rPr>
        <w:t>Vesting Multiple</w:t>
      </w:r>
      <w:r>
        <w:rPr>
          <w:rFonts w:ascii="Arial" w:cs="Arial" w:eastAsia="Arial" w:hAnsi="Arial"/>
          <w:sz w:val="17"/>
          <w:szCs w:val="17"/>
          <w:color w:val="auto"/>
        </w:rPr>
        <w:t>), subject to, and in accordance with, the terms and conditions of this Plan and the PSU Award Agreement.</w:t>
      </w:r>
    </w:p>
    <w:p>
      <w:pPr>
        <w:spacing w:after="0" w:line="207" w:lineRule="exact"/>
        <w:rPr>
          <w:sz w:val="20"/>
          <w:szCs w:val="20"/>
          <w:color w:val="auto"/>
        </w:rPr>
      </w:pPr>
    </w:p>
    <w:p>
      <w:pPr>
        <w:jc w:val="both"/>
        <w:ind w:hanging="2"/>
        <w:spacing w:after="0" w:line="323" w:lineRule="auto"/>
        <w:rPr>
          <w:sz w:val="20"/>
          <w:szCs w:val="20"/>
          <w:color w:val="auto"/>
        </w:rPr>
      </w:pPr>
      <w:r>
        <w:rPr>
          <w:rFonts w:ascii="Arial" w:cs="Arial" w:eastAsia="Arial" w:hAnsi="Arial"/>
          <w:sz w:val="17"/>
          <w:szCs w:val="17"/>
          <w:color w:val="auto"/>
        </w:rPr>
        <w:t xml:space="preserve">The date of grants shall be determined by the Nomination and Compensation Committee or the relevant Administrator and set out in the PSU Award Agreement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pacing w:after="0" w:line="183"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A change of the regular working quota (</w:t>
      </w:r>
      <w:r>
        <w:rPr>
          <w:rFonts w:ascii="Arial" w:cs="Arial" w:eastAsia="Arial" w:hAnsi="Arial"/>
          <w:sz w:val="17"/>
          <w:szCs w:val="17"/>
          <w:i w:val="1"/>
          <w:iCs w:val="1"/>
          <w:color w:val="auto"/>
        </w:rPr>
        <w:t>Arbeitspensum</w:t>
      </w:r>
      <w:r>
        <w:rPr>
          <w:rFonts w:ascii="Arial" w:cs="Arial" w:eastAsia="Arial" w:hAnsi="Arial"/>
          <w:sz w:val="17"/>
          <w:szCs w:val="17"/>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Securities</w:t>
      </w:r>
    </w:p>
    <w:p>
      <w:pPr>
        <w:spacing w:after="0" w:line="311"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w:t>
      </w:r>
    </w:p>
    <w:p>
      <w:pPr>
        <w:sectPr>
          <w:pgSz w:w="11900" w:h="16838" w:orient="portrait"/>
          <w:cols w:equalWidth="0" w:num="1">
            <w:col w:w="11240"/>
          </w:cols>
          <w:pgMar w:left="320" w:top="202" w:right="339" w:bottom="1440" w:gutter="0" w:footer="0" w:header="0"/>
        </w:sectPr>
      </w:pPr>
    </w:p>
    <w:bookmarkStart w:id="311" w:name="page312"/>
    <w:bookmarkEnd w:id="311"/>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of the Plan and upon entry into the share register, subject to, and in accordance with, the restrictions and procedures set out in article 5 of the Company's articles of incorporation.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Transfer</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and Delivery of Shares</w:t>
      </w:r>
    </w:p>
    <w:p>
      <w:pPr>
        <w:spacing w:after="0" w:line="273"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Unless otherwise set out in this Plan (in particular in Section 14) or in the PSU Award Agreement, the PSUs granted by a PSU Award Agreement shall vest in three tranches of one third each. If the number of PSUs granted by a PSU Award Agreement cannot be divided by three, the two tranches vesting first shall be rounded up to the next integer and the tranche vesting last shall be rounded down and, if necessary, reduced in order to get to integers that add up to the total number of PSUs granted by the PSU Award Agreement.</w:t>
      </w:r>
    </w:p>
    <w:p>
      <w:pPr>
        <w:spacing w:after="0" w:line="210" w:lineRule="exact"/>
        <w:rPr>
          <w:sz w:val="20"/>
          <w:szCs w:val="20"/>
          <w:color w:val="auto"/>
        </w:rPr>
      </w:pPr>
    </w:p>
    <w:p>
      <w:pPr>
        <w:jc w:val="both"/>
        <w:ind w:hanging="6"/>
        <w:spacing w:after="0" w:line="309" w:lineRule="auto"/>
        <w:rPr>
          <w:sz w:val="20"/>
          <w:szCs w:val="20"/>
          <w:color w:val="auto"/>
        </w:rPr>
      </w:pPr>
      <w:r>
        <w:rPr>
          <w:rFonts w:ascii="Arial" w:cs="Arial" w:eastAsia="Arial" w:hAnsi="Arial"/>
          <w:sz w:val="17"/>
          <w:szCs w:val="17"/>
          <w:color w:val="auto"/>
        </w:rPr>
        <w:t xml:space="preserve">The first tranche of the PSUs shall vest on the first anniversary of the Grant Date, the second tranche on the second anniversary of the Grant Date and the third tranche on the third anniversary of the Grant Date (each, with respect to the relevant tranche, the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period between the Grant Date and the Vesting Date shall, with respect to the relevant tranche, be deemed the </w:t>
      </w:r>
      <w:r>
        <w:rPr>
          <w:rFonts w:ascii="Arial" w:cs="Arial" w:eastAsia="Arial" w:hAnsi="Arial"/>
          <w:sz w:val="17"/>
          <w:szCs w:val="17"/>
          <w:b w:val="1"/>
          <w:bCs w:val="1"/>
          <w:color w:val="auto"/>
        </w:rPr>
        <w:t>Vesting Period</w:t>
      </w:r>
      <w:r>
        <w:rPr>
          <w:rFonts w:ascii="Arial" w:cs="Arial" w:eastAsia="Arial" w:hAnsi="Arial"/>
          <w:sz w:val="17"/>
          <w:szCs w:val="17"/>
          <w:color w:val="auto"/>
        </w:rPr>
        <w:t>.</w:t>
      </w:r>
    </w:p>
    <w:p>
      <w:pPr>
        <w:spacing w:after="0" w:line="182" w:lineRule="exact"/>
        <w:rPr>
          <w:sz w:val="20"/>
          <w:szCs w:val="20"/>
          <w:color w:val="auto"/>
        </w:rPr>
      </w:pPr>
    </w:p>
    <w:p>
      <w:pPr>
        <w:jc w:val="both"/>
        <w:ind w:hanging="2"/>
        <w:spacing w:after="0" w:line="312" w:lineRule="auto"/>
        <w:rPr>
          <w:sz w:val="20"/>
          <w:szCs w:val="20"/>
          <w:color w:val="auto"/>
        </w:rPr>
      </w:pPr>
      <w:r>
        <w:rPr>
          <w:rFonts w:ascii="Arial" w:cs="Arial" w:eastAsia="Arial" w:hAnsi="Arial"/>
          <w:sz w:val="17"/>
          <w:szCs w:val="17"/>
          <w:color w:val="auto"/>
        </w:rPr>
        <w:t>Subject to Section 14(b) and (c) below, no PSU shall vest if, during the relevant Vesting Period, the relevant Participant's employment is terminated (i.e. effective date of termination) or another reason for termination occurs other than through termination by the Participant for cause (</w:t>
      </w:r>
      <w:r>
        <w:rPr>
          <w:rFonts w:ascii="Arial" w:cs="Arial" w:eastAsia="Arial" w:hAnsi="Arial"/>
          <w:sz w:val="17"/>
          <w:szCs w:val="17"/>
          <w:i w:val="1"/>
          <w:iCs w:val="1"/>
          <w:color w:val="auto"/>
        </w:rPr>
        <w:t>wichtige</w:t>
      </w:r>
      <w:r>
        <w:rPr>
          <w:rFonts w:ascii="Arial" w:cs="Arial" w:eastAsia="Arial" w:hAnsi="Arial"/>
          <w:sz w:val="17"/>
          <w:szCs w:val="17"/>
          <w:color w:val="auto"/>
        </w:rPr>
        <w:t xml:space="preserve"> </w:t>
      </w:r>
      <w:r>
        <w:rPr>
          <w:rFonts w:ascii="Arial" w:cs="Arial" w:eastAsia="Arial" w:hAnsi="Arial"/>
          <w:sz w:val="17"/>
          <w:szCs w:val="17"/>
          <w:i w:val="1"/>
          <w:iCs w:val="1"/>
          <w:color w:val="auto"/>
        </w:rPr>
        <w:t>Gründe</w:t>
      </w:r>
      <w:r>
        <w:rPr>
          <w:rFonts w:ascii="Arial" w:cs="Arial" w:eastAsia="Arial" w:hAnsi="Arial"/>
          <w:sz w:val="17"/>
          <w:szCs w:val="17"/>
          <w:color w:val="auto"/>
        </w:rPr>
        <w:t>) within the meaning of Article 337 CO.</w:t>
      </w:r>
    </w:p>
    <w:p>
      <w:pPr>
        <w:spacing w:after="0" w:line="187"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The relevant number of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Underlying Shares</w:t>
      </w: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7"/>
          <w:szCs w:val="17"/>
          <w:b w:val="1"/>
          <w:bCs w:val="1"/>
          <w:color w:val="auto"/>
        </w:rPr>
        <w:t>Share</w:t>
      </w:r>
      <w:r>
        <w:rPr>
          <w:rFonts w:ascii="Arial" w:cs="Arial" w:eastAsia="Arial" w:hAnsi="Arial"/>
          <w:sz w:val="17"/>
          <w:szCs w:val="17"/>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ectPr>
          <w:pgSz w:w="11900" w:h="16838" w:orient="portrait"/>
          <w:cols w:equalWidth="0" w:num="1">
            <w:col w:w="11240"/>
          </w:cols>
          <w:pgMar w:left="320" w:top="202" w:right="339" w:bottom="1440" w:gutter="0" w:footer="0" w:header="0"/>
        </w:sectPr>
      </w:pPr>
    </w:p>
    <w:bookmarkStart w:id="312" w:name="page313"/>
    <w:bookmarkEnd w:id="312"/>
    <w:p>
      <w:pPr>
        <w:ind w:left="4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Vesting Multiple</w:t>
      </w:r>
    </w:p>
    <w:p>
      <w:pPr>
        <w:spacing w:after="0" w:line="273" w:lineRule="exact"/>
        <w:rPr>
          <w:sz w:val="20"/>
          <w:szCs w:val="20"/>
          <w:color w:val="auto"/>
        </w:rPr>
      </w:pPr>
    </w:p>
    <w:p>
      <w:pPr>
        <w:jc w:val="both"/>
        <w:ind w:left="20" w:hanging="6"/>
        <w:spacing w:after="0" w:line="295" w:lineRule="auto"/>
        <w:rPr>
          <w:sz w:val="20"/>
          <w:szCs w:val="20"/>
          <w:color w:val="auto"/>
        </w:rPr>
      </w:pPr>
      <w:r>
        <w:rPr>
          <w:rFonts w:ascii="Arial" w:cs="Arial" w:eastAsia="Arial" w:hAnsi="Arial"/>
          <w:sz w:val="17"/>
          <w:szCs w:val="17"/>
          <w:color w:val="auto"/>
        </w:rPr>
        <w:t>The Vesting Multiple shall not be lower than 0 nor higher than 1.5 (one point five). Within such range, the Vesting Multiple shall be determined by the Board of Directors upon proposal by the Nomination and Compensation Committee based on its assessment of the achievement of the goals set out in the score card (</w:t>
      </w:r>
      <w:r>
        <w:rPr>
          <w:rFonts w:ascii="Arial" w:cs="Arial" w:eastAsia="Arial" w:hAnsi="Arial"/>
          <w:sz w:val="17"/>
          <w:szCs w:val="17"/>
          <w:b w:val="1"/>
          <w:bCs w:val="1"/>
          <w:color w:val="auto"/>
        </w:rPr>
        <w:t>LTI Score Card</w:t>
      </w:r>
      <w:r>
        <w:rPr>
          <w:rFonts w:ascii="Arial" w:cs="Arial" w:eastAsia="Arial" w:hAnsi="Arial"/>
          <w:sz w:val="17"/>
          <w:szCs w:val="17"/>
          <w:color w:val="auto"/>
        </w:rPr>
        <w:t>) attached to the PSU Award Agreement or otherwise communicated by the Company to the Participant in connection with the grant (</w:t>
      </w:r>
      <w:r>
        <w:rPr>
          <w:rFonts w:ascii="Arial" w:cs="Arial" w:eastAsia="Arial" w:hAnsi="Arial"/>
          <w:sz w:val="17"/>
          <w:szCs w:val="17"/>
          <w:b w:val="1"/>
          <w:bCs w:val="1"/>
          <w:color w:val="auto"/>
        </w:rPr>
        <w:t>Goals</w:t>
      </w:r>
      <w:r>
        <w:rPr>
          <w:rFonts w:ascii="Arial" w:cs="Arial" w:eastAsia="Arial" w:hAnsi="Arial"/>
          <w:sz w:val="17"/>
          <w:szCs w:val="17"/>
          <w:color w:val="auto"/>
        </w:rPr>
        <w:t>).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allocate a percentage weighting to each Goal for purposes of deriving the Vesting Multiple or require a global assessment of the achievement of goals.</w:t>
      </w:r>
    </w:p>
    <w:p>
      <w:pPr>
        <w:spacing w:after="0" w:line="218" w:lineRule="exact"/>
        <w:rPr>
          <w:sz w:val="20"/>
          <w:szCs w:val="20"/>
          <w:color w:val="auto"/>
        </w:rPr>
      </w:pPr>
    </w:p>
    <w:p>
      <w:pPr>
        <w:jc w:val="both"/>
        <w:ind w:left="20" w:hanging="6"/>
        <w:spacing w:after="0" w:line="304" w:lineRule="auto"/>
        <w:rPr>
          <w:sz w:val="20"/>
          <w:szCs w:val="20"/>
          <w:color w:val="auto"/>
        </w:rPr>
      </w:pPr>
      <w:r>
        <w:rPr>
          <w:rFonts w:ascii="Arial" w:cs="Arial" w:eastAsia="Arial" w:hAnsi="Arial"/>
          <w:sz w:val="17"/>
          <w:szCs w:val="17"/>
          <w:color w:val="auto"/>
        </w:rPr>
        <w:t>The Vesting Multiple shall, unless the nature of the Goals demands otherwise, be determined for all tranches of the PSUs granted by a PSU Award Agreement in the year following the year of grant. Notwithstanding such determination, Vesting shall occur only at the time and subject to the conditions otherwise set out in this Plan or in the PSU Award Agreement.</w:t>
      </w:r>
    </w:p>
    <w:p>
      <w:pPr>
        <w:spacing w:after="0" w:line="194" w:lineRule="exact"/>
        <w:rPr>
          <w:sz w:val="20"/>
          <w:szCs w:val="20"/>
          <w:color w:val="auto"/>
        </w:rPr>
      </w:pPr>
    </w:p>
    <w:p>
      <w:pPr>
        <w:jc w:val="both"/>
        <w:ind w:left="20" w:hanging="2"/>
        <w:spacing w:after="0" w:line="328" w:lineRule="auto"/>
        <w:rPr>
          <w:sz w:val="20"/>
          <w:szCs w:val="20"/>
          <w:color w:val="auto"/>
        </w:rPr>
      </w:pPr>
      <w:r>
        <w:rPr>
          <w:rFonts w:ascii="Arial" w:cs="Arial" w:eastAsia="Arial" w:hAnsi="Arial"/>
          <w:sz w:val="17"/>
          <w:szCs w:val="17"/>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and Social Security Contributions</w:t>
      </w:r>
    </w:p>
    <w:p>
      <w:pPr>
        <w:spacing w:after="0" w:line="286" w:lineRule="exact"/>
        <w:rPr>
          <w:sz w:val="20"/>
          <w:szCs w:val="20"/>
          <w:color w:val="auto"/>
        </w:rPr>
      </w:pPr>
    </w:p>
    <w:p>
      <w:pPr>
        <w:jc w:val="both"/>
        <w:ind w:left="20" w:hanging="6"/>
        <w:spacing w:after="0" w:line="304" w:lineRule="auto"/>
        <w:rPr>
          <w:sz w:val="20"/>
          <w:szCs w:val="20"/>
          <w:color w:val="auto"/>
        </w:rPr>
      </w:pPr>
      <w:r>
        <w:rPr>
          <w:rFonts w:ascii="Arial" w:cs="Arial" w:eastAsia="Arial" w:hAnsi="Arial"/>
          <w:sz w:val="17"/>
          <w:szCs w:val="17"/>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194" w:lineRule="exact"/>
        <w:rPr>
          <w:sz w:val="20"/>
          <w:szCs w:val="20"/>
          <w:color w:val="auto"/>
        </w:rPr>
      </w:pPr>
    </w:p>
    <w:p>
      <w:pPr>
        <w:jc w:val="both"/>
        <w:ind w:left="20" w:hanging="6"/>
        <w:spacing w:after="0" w:line="299" w:lineRule="auto"/>
        <w:rPr>
          <w:sz w:val="20"/>
          <w:szCs w:val="20"/>
          <w:color w:val="auto"/>
        </w:rPr>
      </w:pPr>
      <w:r>
        <w:rPr>
          <w:rFonts w:ascii="Arial" w:cs="Arial" w:eastAsia="Arial" w:hAnsi="Arial"/>
          <w:sz w:val="17"/>
          <w:szCs w:val="17"/>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198" w:lineRule="exact"/>
        <w:rPr>
          <w:sz w:val="20"/>
          <w:szCs w:val="20"/>
          <w:color w:val="auto"/>
        </w:rPr>
      </w:pPr>
    </w:p>
    <w:p>
      <w:pPr>
        <w:jc w:val="both"/>
        <w:ind w:left="20" w:hanging="2"/>
        <w:spacing w:after="0" w:line="328" w:lineRule="auto"/>
        <w:rPr>
          <w:sz w:val="20"/>
          <w:szCs w:val="20"/>
          <w:color w:val="auto"/>
        </w:rPr>
      </w:pPr>
      <w:r>
        <w:rPr>
          <w:rFonts w:ascii="Arial" w:cs="Arial" w:eastAsia="Arial" w:hAnsi="Arial"/>
          <w:sz w:val="17"/>
          <w:szCs w:val="17"/>
          <w:color w:val="auto"/>
        </w:rPr>
        <w:t>The Company shall have the right (but no obligation, unless required by applicable law) to notify the tax and social security authorities of the grant of PSU awards, Shares or related events.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Disclosure Requirements</w:t>
      </w:r>
    </w:p>
    <w:p>
      <w:pPr>
        <w:spacing w:after="0" w:line="286" w:lineRule="exact"/>
        <w:rPr>
          <w:sz w:val="20"/>
          <w:szCs w:val="20"/>
          <w:color w:val="auto"/>
        </w:rPr>
      </w:pPr>
    </w:p>
    <w:p>
      <w:pPr>
        <w:jc w:val="both"/>
        <w:ind w:left="20"/>
        <w:spacing w:after="0" w:line="351" w:lineRule="auto"/>
        <w:rPr>
          <w:sz w:val="20"/>
          <w:szCs w:val="20"/>
          <w:color w:val="auto"/>
        </w:rPr>
      </w:pPr>
      <w:r>
        <w:rPr>
          <w:rFonts w:ascii="Arial" w:cs="Arial" w:eastAsia="Arial" w:hAnsi="Arial"/>
          <w:sz w:val="17"/>
          <w:szCs w:val="17"/>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w:t>
      </w:r>
    </w:p>
    <w:p>
      <w:pPr>
        <w:sectPr>
          <w:pgSz w:w="11900" w:h="16838" w:orient="portrait"/>
          <w:cols w:equalWidth="0" w:num="1">
            <w:col w:w="11260"/>
          </w:cols>
          <w:pgMar w:left="300" w:top="202" w:right="339" w:bottom="1440" w:gutter="0" w:footer="0" w:header="0"/>
        </w:sectPr>
      </w:pPr>
    </w:p>
    <w:bookmarkStart w:id="313" w:name="page314"/>
    <w:bookmarkEnd w:id="313"/>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Article 120 Financial Market Infrastructure Act and any management transaction notifications under Article 56 of the SIX Swiss Exchange listing rules.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See also the Company's public disclosure, reporting and securities trading policy.</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Obligations of the Participant</w:t>
      </w:r>
    </w:p>
    <w:p>
      <w:pPr>
        <w:spacing w:after="0" w:line="286"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 and Forfeiture</w:t>
      </w:r>
    </w:p>
    <w:p>
      <w:pPr>
        <w:spacing w:after="0" w:line="286"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If (i) a Participant's employment is terminated or (ii) another reason for termination occurs during the Vesting Period, other than through termination by the Participant for cause (</w:t>
      </w:r>
      <w:r>
        <w:rPr>
          <w:rFonts w:ascii="Arial" w:cs="Arial" w:eastAsia="Arial" w:hAnsi="Arial"/>
          <w:sz w:val="17"/>
          <w:szCs w:val="17"/>
          <w:i w:val="1"/>
          <w:iCs w:val="1"/>
          <w:color w:val="auto"/>
        </w:rPr>
        <w:t>wichtige Gründe</w:t>
      </w:r>
      <w:r>
        <w:rPr>
          <w:rFonts w:ascii="Arial" w:cs="Arial" w:eastAsia="Arial" w:hAnsi="Arial"/>
          <w:sz w:val="17"/>
          <w:szCs w:val="17"/>
          <w:color w:val="auto"/>
        </w:rPr>
        <w:t>) within the meaning of Article 337 CO and except as set out in Section 14(b) and (c) below, all remaining unvested PSUs shall cease and be forfeited on the effective date of termination</w:t>
      </w:r>
    </w:p>
    <w:p>
      <w:pPr>
        <w:spacing w:after="0" w:line="207"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 xml:space="preserve">If a Participant’s employment agreement is terminated by the Company or a Group Company for reasons </w:t>
      </w:r>
      <w:r>
        <w:rPr>
          <w:rFonts w:ascii="Arial" w:cs="Arial" w:eastAsia="Arial" w:hAnsi="Arial"/>
          <w:sz w:val="17"/>
          <w:szCs w:val="17"/>
          <w:i w:val="1"/>
          <w:iCs w:val="1"/>
          <w:color w:val="auto"/>
        </w:rPr>
        <w:t>not</w:t>
      </w:r>
      <w:r>
        <w:rPr>
          <w:rFonts w:ascii="Arial" w:cs="Arial" w:eastAsia="Arial" w:hAnsi="Arial"/>
          <w:sz w:val="17"/>
          <w:szCs w:val="17"/>
          <w:color w:val="auto"/>
        </w:rPr>
        <w:t xml:space="preserve"> pertaining to the Participant, the next unvested tranche of each PSU grant would vest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months employed until Termination Date out of the 12 months period of the next unvested tranche) at the end of the quarter containing the Termination Date with the remaining PSUs lapsing without further effect.</w:t>
      </w:r>
    </w:p>
    <w:p>
      <w:pPr>
        <w:spacing w:after="0" w:line="194" w:lineRule="exact"/>
        <w:rPr>
          <w:sz w:val="20"/>
          <w:szCs w:val="20"/>
          <w:color w:val="auto"/>
        </w:rPr>
      </w:pPr>
    </w:p>
    <w:p>
      <w:pPr>
        <w:jc w:val="both"/>
        <w:ind w:hanging="2"/>
        <w:spacing w:after="0" w:line="302" w:lineRule="auto"/>
        <w:rPr>
          <w:sz w:val="20"/>
          <w:szCs w:val="20"/>
          <w:color w:val="auto"/>
        </w:rPr>
      </w:pPr>
      <w:r>
        <w:rPr>
          <w:rFonts w:ascii="Arial" w:cs="Arial" w:eastAsia="Arial" w:hAnsi="Arial"/>
          <w:sz w:val="17"/>
          <w:szCs w:val="17"/>
          <w:color w:val="auto"/>
        </w:rPr>
        <w:t xml:space="preserve">If the employment agreement terminates by reason of (i) death, permanent illness or disability of the Participant or (ii) retirement, the next unvested tranche of each PSU grant would vest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months employed until Termination Date out of the 12 months period of the next unvested tranche) at the end of the quarter containing the Termination Datei with the remaining PSUs lapsing without further effect.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is defined as a formal request to fully stop working and to benefit from a State or private monthly pension or cash out retirement plan. Early retirement corresponding to this definition may be considered but not earlier than the day following the 63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birthday</w:t>
      </w:r>
      <w:r>
        <w:rPr>
          <w:rFonts w:ascii="Arial" w:cs="Arial" w:eastAsia="Arial" w:hAnsi="Arial"/>
          <w:sz w:val="17"/>
          <w:szCs w:val="17"/>
          <w:i w:val="1"/>
          <w:iCs w:val="1"/>
          <w:color w:val="auto"/>
        </w:rPr>
        <w:t>.”</w:t>
      </w:r>
    </w:p>
    <w:p>
      <w:pPr>
        <w:spacing w:after="0" w:line="156" w:lineRule="exact"/>
        <w:rPr>
          <w:sz w:val="20"/>
          <w:szCs w:val="20"/>
          <w:color w:val="auto"/>
        </w:rPr>
      </w:pPr>
    </w:p>
    <w:p>
      <w:pPr>
        <w:ind w:firstLine="1"/>
        <w:spacing w:after="0" w:line="375" w:lineRule="auto"/>
        <w:tabs>
          <w:tab w:leader="none" w:pos="59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the case of (i) here before, the pro rata calculation will be made assuming that employment lasted one year longer (Termination Date being considered in that case 12 months after the date of death) but in any case not longer than the end of the regular three-year Vesting Period).</w:t>
      </w:r>
    </w:p>
    <w:p>
      <w:pPr>
        <w:spacing w:after="0" w:line="149"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The Management Board may, taking into consideration the objectives of the Plan, at its sole discretion and with final and binding effect grant further exceptions from the forfeiture as per Section 14(a) above and assess whether a Participant’s employment agreement was terminated for reasons not pertaining to the Participant pursuant to Section 14(b) above. Two Management Board members need to approve and sign such specific PSU agreement pursuant to this Section 14(d).</w:t>
      </w:r>
    </w:p>
    <w:p>
      <w:pPr>
        <w:sectPr>
          <w:pgSz w:w="11900" w:h="16838" w:orient="portrait"/>
          <w:cols w:equalWidth="0" w:num="1">
            <w:col w:w="11240"/>
          </w:cols>
          <w:pgMar w:left="320" w:top="202" w:right="339" w:bottom="1440" w:gutter="0" w:footer="0" w:header="0"/>
        </w:sectPr>
      </w:pPr>
    </w:p>
    <w:bookmarkStart w:id="314" w:name="page315"/>
    <w:bookmarkEnd w:id="314"/>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this Plan, a change of control shall mean the occurrence of any of the following events (each a </w:t>
      </w:r>
      <w:r>
        <w:rPr>
          <w:rFonts w:ascii="Arial" w:cs="Arial" w:eastAsia="Arial" w:hAnsi="Arial"/>
          <w:sz w:val="17"/>
          <w:szCs w:val="17"/>
          <w:b w:val="1"/>
          <w:bCs w:val="1"/>
          <w:color w:val="auto"/>
        </w:rPr>
        <w:t>Change of Control</w:t>
      </w:r>
      <w:r>
        <w:rPr>
          <w:rFonts w:ascii="Arial" w:cs="Arial" w:eastAsia="Arial" w:hAnsi="Arial"/>
          <w:sz w:val="17"/>
          <w:szCs w:val="17"/>
          <w:color w:val="auto"/>
        </w:rPr>
        <w:t>):</w:t>
      </w:r>
    </w:p>
    <w:p>
      <w:pPr>
        <w:spacing w:after="0" w:line="286" w:lineRule="exact"/>
        <w:rPr>
          <w:sz w:val="20"/>
          <w:szCs w:val="20"/>
          <w:color w:val="auto"/>
        </w:rPr>
      </w:pPr>
    </w:p>
    <w:p>
      <w:pPr>
        <w:jc w:val="both"/>
        <w:ind w:left="480" w:hanging="479"/>
        <w:spacing w:after="0" w:line="304" w:lineRule="auto"/>
        <w:tabs>
          <w:tab w:leader="none" w:pos="46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194" w:lineRule="exact"/>
        <w:rPr>
          <w:rFonts w:ascii="Arial" w:cs="Arial" w:eastAsia="Arial" w:hAnsi="Arial"/>
          <w:sz w:val="17"/>
          <w:szCs w:val="17"/>
          <w:color w:val="auto"/>
        </w:rPr>
      </w:pPr>
    </w:p>
    <w:p>
      <w:pPr>
        <w:ind w:left="480" w:hanging="479"/>
        <w:spacing w:after="0" w:line="328" w:lineRule="auto"/>
        <w:tabs>
          <w:tab w:leader="none" w:pos="4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facts or circumstances that require any person or group of persons acting in concert to launch a mandatory offer within the meaning of applicable takeover regulations;</w:t>
      </w:r>
    </w:p>
    <w:p>
      <w:pPr>
        <w:spacing w:after="0" w:line="174" w:lineRule="exact"/>
        <w:rPr>
          <w:rFonts w:ascii="Arial" w:cs="Arial" w:eastAsia="Arial" w:hAnsi="Arial"/>
          <w:sz w:val="17"/>
          <w:szCs w:val="17"/>
          <w:color w:val="auto"/>
        </w:rPr>
      </w:pPr>
    </w:p>
    <w:p>
      <w:pPr>
        <w:jc w:val="both"/>
        <w:ind w:left="480" w:hanging="479"/>
        <w:spacing w:after="0" w:line="312" w:lineRule="auto"/>
        <w:tabs>
          <w:tab w:leader="none" w:pos="47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187" w:lineRule="exact"/>
        <w:rPr>
          <w:rFonts w:ascii="Arial" w:cs="Arial" w:eastAsia="Arial" w:hAnsi="Arial"/>
          <w:sz w:val="17"/>
          <w:szCs w:val="17"/>
          <w:color w:val="auto"/>
        </w:rPr>
      </w:pPr>
    </w:p>
    <w:p>
      <w:pPr>
        <w:ind w:left="480" w:hanging="479"/>
        <w:spacing w:after="0"/>
        <w:tabs>
          <w:tab w:leader="none" w:pos="4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reorganization, merger, scheme of arrangement, consolidation, liquidation or similar transaction of the Company otherwise than through a</w:t>
      </w:r>
    </w:p>
    <w:p>
      <w:pPr>
        <w:spacing w:after="0" w:line="45" w:lineRule="exact"/>
        <w:rPr>
          <w:rFonts w:ascii="Arial" w:cs="Arial" w:eastAsia="Arial" w:hAnsi="Arial"/>
          <w:sz w:val="17"/>
          <w:szCs w:val="17"/>
          <w:color w:val="auto"/>
        </w:rPr>
      </w:pPr>
    </w:p>
    <w:p>
      <w:pPr>
        <w:jc w:val="both"/>
        <w:ind w:left="480"/>
        <w:spacing w:after="0" w:line="304" w:lineRule="auto"/>
        <w:rPr>
          <w:rFonts w:ascii="Arial" w:cs="Arial" w:eastAsia="Arial" w:hAnsi="Arial"/>
          <w:sz w:val="17"/>
          <w:szCs w:val="17"/>
          <w:color w:val="auto"/>
        </w:rPr>
      </w:pPr>
      <w:r>
        <w:rPr>
          <w:rFonts w:ascii="Arial" w:cs="Arial" w:eastAsia="Arial" w:hAnsi="Arial"/>
          <w:sz w:val="17"/>
          <w:szCs w:val="17"/>
          <w:color w:val="auto"/>
        </w:rPr>
        <w:t>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194" w:lineRule="exact"/>
        <w:rPr>
          <w:sz w:val="20"/>
          <w:szCs w:val="20"/>
          <w:color w:val="auto"/>
        </w:rPr>
      </w:pPr>
    </w:p>
    <w:p>
      <w:pPr>
        <w:ind w:hanging="6"/>
        <w:spacing w:after="0" w:line="328" w:lineRule="auto"/>
        <w:rPr>
          <w:sz w:val="20"/>
          <w:szCs w:val="20"/>
          <w:color w:val="auto"/>
        </w:rPr>
      </w:pPr>
      <w:r>
        <w:rPr>
          <w:rFonts w:ascii="Arial" w:cs="Arial" w:eastAsia="Arial" w:hAnsi="Arial"/>
          <w:sz w:val="17"/>
          <w:szCs w:val="17"/>
          <w:color w:val="auto"/>
        </w:rPr>
        <w:t>In the event of a Change of Control of the Company, the following shall apply for all PSUs in respect of which the Vesting Date has not occurred by the date of the Change of Control:</w:t>
      </w:r>
    </w:p>
    <w:p>
      <w:pPr>
        <w:spacing w:after="0" w:line="175" w:lineRule="exact"/>
        <w:rPr>
          <w:sz w:val="20"/>
          <w:szCs w:val="20"/>
          <w:color w:val="auto"/>
        </w:rPr>
      </w:pPr>
    </w:p>
    <w:p>
      <w:pPr>
        <w:ind w:left="460" w:hanging="459"/>
        <w:spacing w:after="0"/>
        <w:tabs>
          <w:tab w:leader="none" w:pos="4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all PSUs will vest immediately;</w:t>
      </w:r>
    </w:p>
    <w:p>
      <w:pPr>
        <w:spacing w:after="0" w:line="285" w:lineRule="exact"/>
        <w:rPr>
          <w:rFonts w:ascii="Arial" w:cs="Arial" w:eastAsia="Arial" w:hAnsi="Arial"/>
          <w:sz w:val="17"/>
          <w:szCs w:val="17"/>
          <w:color w:val="auto"/>
        </w:rPr>
      </w:pPr>
    </w:p>
    <w:p>
      <w:pPr>
        <w:ind w:left="480" w:hanging="479"/>
        <w:spacing w:after="0" w:line="313" w:lineRule="auto"/>
        <w:tabs>
          <w:tab w:leader="none" w:pos="4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199" w:lineRule="exact"/>
        <w:rPr>
          <w:rFonts w:ascii="Arial" w:cs="Arial" w:eastAsia="Arial" w:hAnsi="Arial"/>
          <w:sz w:val="17"/>
          <w:szCs w:val="17"/>
          <w:color w:val="auto"/>
        </w:rPr>
      </w:pPr>
    </w:p>
    <w:p>
      <w:pPr>
        <w:ind w:left="480" w:hanging="479"/>
        <w:spacing w:after="0" w:line="313" w:lineRule="auto"/>
        <w:tabs>
          <w:tab w:leader="none" w:pos="47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199" w:lineRule="exact"/>
        <w:rPr>
          <w:sz w:val="20"/>
          <w:szCs w:val="20"/>
          <w:color w:val="auto"/>
        </w:rPr>
      </w:pPr>
    </w:p>
    <w:p>
      <w:pPr>
        <w:jc w:val="both"/>
        <w:ind w:hanging="2"/>
        <w:spacing w:after="0" w:line="296" w:lineRule="auto"/>
        <w:rPr>
          <w:sz w:val="20"/>
          <w:szCs w:val="20"/>
          <w:color w:val="auto"/>
        </w:rPr>
      </w:pPr>
      <w:r>
        <w:rPr>
          <w:rFonts w:ascii="Arial" w:cs="Arial" w:eastAsia="Arial" w:hAnsi="Arial"/>
          <w:sz w:val="17"/>
          <w:szCs w:val="17"/>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13" w:lineRule="exact"/>
        <w:rPr>
          <w:sz w:val="20"/>
          <w:szCs w:val="20"/>
          <w:color w:val="auto"/>
        </w:rPr>
      </w:pPr>
    </w:p>
    <w:p>
      <w:pPr>
        <w:jc w:val="both"/>
        <w:ind w:hanging="6"/>
        <w:spacing w:after="0" w:line="313" w:lineRule="auto"/>
        <w:rPr>
          <w:sz w:val="20"/>
          <w:szCs w:val="20"/>
          <w:color w:val="auto"/>
        </w:rPr>
      </w:pPr>
      <w:r>
        <w:rPr>
          <w:rFonts w:ascii="Arial" w:cs="Arial" w:eastAsia="Arial" w:hAnsi="Arial"/>
          <w:sz w:val="17"/>
          <w:szCs w:val="17"/>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w:t>
      </w:r>
    </w:p>
    <w:p>
      <w:pPr>
        <w:sectPr>
          <w:pgSz w:w="11900" w:h="16838" w:orient="portrait"/>
          <w:cols w:equalWidth="0" w:num="1">
            <w:col w:w="11240"/>
          </w:cols>
          <w:pgMar w:left="320" w:top="203" w:right="339" w:bottom="1440" w:gutter="0" w:footer="0" w:header="0"/>
        </w:sectPr>
      </w:pPr>
    </w:p>
    <w:bookmarkStart w:id="315" w:name="page316"/>
    <w:bookmarkEnd w:id="315"/>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like a Change of Control event, providing, however, such adjustments to the consequences set forth above, that adequately and fairly address the differences to an actual Change of Control.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Events</w:t>
      </w:r>
    </w:p>
    <w:p>
      <w:pPr>
        <w:spacing w:after="0" w:line="299"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Protection</w:t>
      </w:r>
    </w:p>
    <w:p>
      <w:pPr>
        <w:spacing w:after="0" w:line="286" w:lineRule="exact"/>
        <w:rPr>
          <w:sz w:val="20"/>
          <w:szCs w:val="20"/>
          <w:color w:val="auto"/>
        </w:rPr>
      </w:pPr>
    </w:p>
    <w:p>
      <w:pPr>
        <w:jc w:val="both"/>
        <w:ind w:hanging="6"/>
        <w:spacing w:after="0" w:line="295" w:lineRule="auto"/>
        <w:rPr>
          <w:sz w:val="20"/>
          <w:szCs w:val="20"/>
          <w:color w:val="auto"/>
        </w:rPr>
      </w:pPr>
      <w:r>
        <w:rPr>
          <w:rFonts w:ascii="Arial" w:cs="Arial" w:eastAsia="Arial" w:hAnsi="Arial"/>
          <w:sz w:val="17"/>
          <w:szCs w:val="17"/>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by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05"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regulatory restrictions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Neither the Shares nor the PSUs have been or will be registered or listed in any jurisdiction other than, if and to the extent required, Switzerland.</w:t>
      </w:r>
    </w:p>
    <w:p>
      <w:pPr>
        <w:spacing w:after="0" w:line="286" w:lineRule="exact"/>
        <w:rPr>
          <w:sz w:val="20"/>
          <w:szCs w:val="20"/>
          <w:color w:val="auto"/>
        </w:rPr>
      </w:pPr>
    </w:p>
    <w:p>
      <w:pPr>
        <w:jc w:val="both"/>
        <w:ind w:hanging="6"/>
        <w:spacing w:after="0" w:line="296" w:lineRule="auto"/>
        <w:rPr>
          <w:sz w:val="20"/>
          <w:szCs w:val="20"/>
          <w:color w:val="auto"/>
        </w:rPr>
      </w:pPr>
      <w:r>
        <w:rPr>
          <w:rFonts w:ascii="Arial" w:cs="Arial" w:eastAsia="Arial" w:hAnsi="Arial"/>
          <w:sz w:val="17"/>
          <w:szCs w:val="17"/>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ectPr>
          <w:pgSz w:w="11900" w:h="16838" w:orient="portrait"/>
          <w:cols w:equalWidth="0" w:num="1">
            <w:col w:w="11240"/>
          </w:cols>
          <w:pgMar w:left="320" w:top="203" w:right="339" w:bottom="1440" w:gutter="0" w:footer="0" w:header="0"/>
        </w:sectPr>
      </w:pPr>
    </w:p>
    <w:bookmarkStart w:id="316" w:name="page317"/>
    <w:bookmarkEnd w:id="316"/>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6"/>
          <w:szCs w:val="16"/>
          <w:i w:val="1"/>
          <w:iCs w:val="1"/>
          <w:color w:val="auto"/>
        </w:rPr>
        <w:t>Bucheffekten</w:t>
      </w:r>
      <w:r>
        <w:rPr>
          <w:rFonts w:ascii="Arial" w:cs="Arial" w:eastAsia="Arial" w:hAnsi="Arial"/>
          <w:sz w:val="16"/>
          <w:szCs w:val="16"/>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191" w:lineRule="exact"/>
        <w:rPr>
          <w:sz w:val="20"/>
          <w:szCs w:val="20"/>
          <w:color w:val="auto"/>
        </w:rPr>
      </w:pPr>
    </w:p>
    <w:p>
      <w:pPr>
        <w:jc w:val="both"/>
        <w:ind w:hanging="2"/>
        <w:spacing w:after="0" w:line="313" w:lineRule="auto"/>
        <w:rPr>
          <w:sz w:val="20"/>
          <w:szCs w:val="20"/>
          <w:color w:val="auto"/>
        </w:rPr>
      </w:pPr>
      <w:r>
        <w:rPr>
          <w:rFonts w:ascii="Arial" w:cs="Arial" w:eastAsia="Arial" w:hAnsi="Arial"/>
          <w:sz w:val="17"/>
          <w:szCs w:val="17"/>
          <w:color w:val="auto"/>
        </w:rPr>
        <w:t>Any Participant shall be required to observe trading or other bans as well as the prohibitions of insider trading and market manipulation in connection with the PSUs and any shares granted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and Termination</w:t>
      </w:r>
    </w:p>
    <w:p>
      <w:pPr>
        <w:spacing w:after="0" w:line="299"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Award Agreement shall be fairly compensated in cash, by adjustment of other terms of the grant, by replacement by other grants or benefits, or otherwise.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Severability</w:t>
      </w:r>
    </w:p>
    <w:p>
      <w:pPr>
        <w:spacing w:after="0" w:line="299"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 and Jurisdiction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This Plan and any PSU Award Agreement shall be governed by, and construed in accordance with, the substantive laws of Switzerland.</w:t>
      </w:r>
    </w:p>
    <w:p>
      <w:pPr>
        <w:spacing w:after="0" w:line="273"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Entry into Force</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As per approval of the Board of Directors, this Plan shall enter into force as of March 12, 2025.</w:t>
      </w:r>
    </w:p>
    <w:p>
      <w:pPr>
        <w:sectPr>
          <w:pgSz w:w="11900" w:h="16838" w:orient="portrait"/>
          <w:cols w:equalWidth="0" w:num="1">
            <w:col w:w="11240"/>
          </w:cols>
          <w:pgMar w:left="320" w:top="203" w:right="339" w:bottom="1440" w:gutter="0" w:footer="0" w:header="0"/>
        </w:sectPr>
      </w:pPr>
    </w:p>
    <w:bookmarkStart w:id="317" w:name="page318"/>
    <w:bookmarkEnd w:id="317"/>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Plan in capitalized form, the following terms shall have the following meaning:</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shall have the meaning set forth in Section 3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shall mean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shall have the meaning set forth in Section 15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 </w:t>
      </w:r>
      <w:r>
        <w:rPr>
          <w:rFonts w:ascii="Arial" w:cs="Arial" w:eastAsia="Arial" w:hAnsi="Arial"/>
          <w:sz w:val="17"/>
          <w:szCs w:val="17"/>
          <w:color w:val="auto"/>
        </w:rPr>
        <w:t>shall mean the Swiss Code of Obligations as amended.</w:t>
      </w:r>
    </w:p>
    <w:p>
      <w:pPr>
        <w:spacing w:after="0" w:line="184"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shall mean Molecular Partners AG or any successor or replacement company or a new parent company, all as may be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Nomination and Compensation Committee </w:t>
      </w:r>
      <w:r>
        <w:rPr>
          <w:rFonts w:ascii="Arial" w:cs="Arial" w:eastAsia="Arial" w:hAnsi="Arial"/>
          <w:sz w:val="17"/>
          <w:szCs w:val="17"/>
          <w:color w:val="auto"/>
        </w:rPr>
        <w:t>shall have the meaning set forth in Section 3 above.</w:t>
      </w:r>
    </w:p>
    <w:p>
      <w:pPr>
        <w:spacing w:after="0" w:line="184" w:lineRule="exact"/>
        <w:rPr>
          <w:sz w:val="20"/>
          <w:szCs w:val="20"/>
          <w:color w:val="auto"/>
        </w:rPr>
      </w:pPr>
    </w:p>
    <w:p>
      <w:pPr>
        <w:spacing w:after="0" w:line="360" w:lineRule="auto"/>
        <w:rPr>
          <w:sz w:val="20"/>
          <w:szCs w:val="20"/>
          <w:color w:val="auto"/>
        </w:rPr>
      </w:pPr>
      <w:r>
        <w:rPr>
          <w:rFonts w:ascii="Arial" w:cs="Arial" w:eastAsia="Arial" w:hAnsi="Arial"/>
          <w:sz w:val="17"/>
          <w:szCs w:val="17"/>
          <w:b w:val="1"/>
          <w:bCs w:val="1"/>
          <w:color w:val="auto"/>
        </w:rPr>
        <w:t xml:space="preserve">Compensation Ordinance </w:t>
      </w:r>
      <w:r>
        <w:rPr>
          <w:rFonts w:ascii="Arial" w:cs="Arial" w:eastAsia="Arial" w:hAnsi="Arial"/>
          <w:sz w:val="17"/>
          <w:szCs w:val="17"/>
          <w:color w:val="auto"/>
        </w:rPr>
        <w:t>shall mean the Federal Ordinance against Excessive Compensation in Listed Companies of November 20, 2013,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amended or replaced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Goal </w:t>
      </w:r>
      <w:r>
        <w:rPr>
          <w:rFonts w:ascii="Arial" w:cs="Arial" w:eastAsia="Arial" w:hAnsi="Arial"/>
          <w:sz w:val="17"/>
          <w:szCs w:val="17"/>
          <w:color w:val="auto"/>
        </w:rPr>
        <w:t>shall have the meaning set forth in Section 10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Date </w:t>
      </w:r>
      <w:r>
        <w:rPr>
          <w:rFonts w:ascii="Arial" w:cs="Arial" w:eastAsia="Arial" w:hAnsi="Arial"/>
          <w:sz w:val="17"/>
          <w:szCs w:val="17"/>
          <w:color w:val="auto"/>
        </w:rPr>
        <w:t>shall have the meaning set forth in Section 5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w:t>
      </w:r>
      <w:r>
        <w:rPr>
          <w:rFonts w:ascii="Arial" w:cs="Arial" w:eastAsia="Arial" w:hAnsi="Arial"/>
          <w:sz w:val="17"/>
          <w:szCs w:val="17"/>
          <w:color w:val="auto"/>
        </w:rPr>
        <w:t>shall mean all Group Companies.</w:t>
      </w:r>
    </w:p>
    <w:p>
      <w:pPr>
        <w:spacing w:after="0" w:line="184" w:lineRule="exact"/>
        <w:rPr>
          <w:sz w:val="20"/>
          <w:szCs w:val="20"/>
          <w:color w:val="auto"/>
        </w:rPr>
      </w:pPr>
    </w:p>
    <w:p>
      <w:pPr>
        <w:spacing w:after="0" w:line="360" w:lineRule="auto"/>
        <w:rPr>
          <w:sz w:val="20"/>
          <w:szCs w:val="20"/>
          <w:color w:val="auto"/>
        </w:rPr>
      </w:pPr>
      <w:r>
        <w:rPr>
          <w:rFonts w:ascii="Arial" w:cs="Arial" w:eastAsia="Arial" w:hAnsi="Arial"/>
          <w:sz w:val="17"/>
          <w:szCs w:val="17"/>
          <w:b w:val="1"/>
          <w:bCs w:val="1"/>
          <w:color w:val="auto"/>
        </w:rPr>
        <w:t xml:space="preserve">Group Company </w:t>
      </w:r>
      <w:r>
        <w:rPr>
          <w:rFonts w:ascii="Arial" w:cs="Arial" w:eastAsia="Arial" w:hAnsi="Arial"/>
          <w:sz w:val="17"/>
          <w:szCs w:val="17"/>
          <w:color w:val="auto"/>
        </w:rPr>
        <w:t>shall mean the Company and any company or entity of which at least 50% of the ownership or voting rights are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owned or otherwise controlled by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LTI Score Card </w:t>
      </w:r>
      <w:r>
        <w:rPr>
          <w:rFonts w:ascii="Arial" w:cs="Arial" w:eastAsia="Arial" w:hAnsi="Arial"/>
          <w:sz w:val="17"/>
          <w:szCs w:val="17"/>
          <w:color w:val="auto"/>
        </w:rPr>
        <w:t>shall have the meaning set forth in Section 10 above.</w:t>
      </w:r>
    </w:p>
    <w:p>
      <w:pPr>
        <w:spacing w:after="0" w:line="172"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Management Board </w:t>
      </w:r>
      <w:r>
        <w:rPr>
          <w:rFonts w:ascii="Arial" w:cs="Arial" w:eastAsia="Arial" w:hAnsi="Arial"/>
          <w:sz w:val="17"/>
          <w:szCs w:val="17"/>
          <w:color w:val="auto"/>
        </w:rPr>
        <w:t>shall mean the members of the top level executive management, i.e. those managers whose compensation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Ordinance.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shall mean any eligible person to whom the Company has granted PSUs through a PSU Award Agreement based on this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shall have the meaning set forth in Section 1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Service Provider </w:t>
      </w:r>
      <w:r>
        <w:rPr>
          <w:rFonts w:ascii="Arial" w:cs="Arial" w:eastAsia="Arial" w:hAnsi="Arial"/>
          <w:sz w:val="17"/>
          <w:szCs w:val="17"/>
          <w:color w:val="auto"/>
        </w:rPr>
        <w:t>shall have the meaning set forth in Section 3 (e)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PSU </w:t>
      </w:r>
      <w:r>
        <w:rPr>
          <w:rFonts w:ascii="Arial" w:cs="Arial" w:eastAsia="Arial" w:hAnsi="Arial"/>
          <w:sz w:val="17"/>
          <w:szCs w:val="17"/>
          <w:color w:val="auto"/>
        </w:rPr>
        <w:t>shall have the meaning set forth in Section 1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PSU Award Agreement </w:t>
      </w:r>
      <w:r>
        <w:rPr>
          <w:rFonts w:ascii="Arial" w:cs="Arial" w:eastAsia="Arial" w:hAnsi="Arial"/>
          <w:sz w:val="17"/>
          <w:szCs w:val="17"/>
          <w:color w:val="auto"/>
        </w:rPr>
        <w:t>shall have the meaning set forth in Section 4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Shares </w:t>
      </w:r>
      <w:r>
        <w:rPr>
          <w:rFonts w:ascii="Arial" w:cs="Arial" w:eastAsia="Arial" w:hAnsi="Arial"/>
          <w:sz w:val="17"/>
          <w:szCs w:val="17"/>
          <w:color w:val="auto"/>
        </w:rPr>
        <w:t>shall have the meaning set forth in Section 9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Date </w:t>
      </w:r>
      <w:r>
        <w:rPr>
          <w:rFonts w:ascii="Arial" w:cs="Arial" w:eastAsia="Arial" w:hAnsi="Arial"/>
          <w:sz w:val="17"/>
          <w:szCs w:val="17"/>
          <w:color w:val="auto"/>
        </w:rPr>
        <w:t>shall have the meaning set forth in Section 8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Multiple </w:t>
      </w:r>
      <w:r>
        <w:rPr>
          <w:rFonts w:ascii="Arial" w:cs="Arial" w:eastAsia="Arial" w:hAnsi="Arial"/>
          <w:sz w:val="17"/>
          <w:szCs w:val="17"/>
          <w:color w:val="auto"/>
        </w:rPr>
        <w:t>shall be the multiple determined in accordance with Section 10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Period </w:t>
      </w:r>
      <w:r>
        <w:rPr>
          <w:rFonts w:ascii="Arial" w:cs="Arial" w:eastAsia="Arial" w:hAnsi="Arial"/>
          <w:sz w:val="17"/>
          <w:szCs w:val="17"/>
          <w:color w:val="auto"/>
        </w:rPr>
        <w:t>shall have the meaning set forth in Section 8 above.</w:t>
      </w:r>
    </w:p>
    <w:p>
      <w:pPr>
        <w:sectPr>
          <w:pgSz w:w="11900" w:h="16838" w:orient="portrait"/>
          <w:cols w:equalWidth="0" w:num="1">
            <w:col w:w="11240"/>
          </w:cols>
          <w:pgMar w:left="320" w:top="202" w:right="339" w:bottom="1440" w:gutter="0" w:footer="0" w:header="0"/>
        </w:sectPr>
      </w:pPr>
    </w:p>
    <w:bookmarkStart w:id="318" w:name="page319"/>
    <w:bookmarkEnd w:id="318"/>
    <w:p>
      <w:pPr>
        <w:spacing w:after="0"/>
        <w:rPr>
          <w:sz w:val="20"/>
          <w:szCs w:val="20"/>
          <w:color w:val="auto"/>
        </w:rPr>
      </w:pPr>
      <w:r>
        <w:rPr>
          <w:rFonts w:ascii="Arial" w:cs="Arial" w:eastAsia="Arial" w:hAnsi="Arial"/>
          <w:sz w:val="12"/>
          <w:szCs w:val="12"/>
          <w:color w:val="auto"/>
        </w:rPr>
        <w:t>Molecular Partners AG: Performance Share Plan 2025 - Employees</w:t>
      </w:r>
    </w:p>
    <w:p>
      <w:pPr>
        <w:sectPr>
          <w:pgSz w:w="11900" w:h="16838" w:orient="portrait"/>
          <w:cols w:equalWidth="0" w:num="1">
            <w:col w:w="10119"/>
          </w:cols>
          <w:pgMar w:left="340" w:top="202" w:right="1440" w:bottom="1440" w:gutter="0" w:footer="0" w:header="0"/>
        </w:sectPr>
      </w:pPr>
    </w:p>
    <w:bookmarkStart w:id="319" w:name="page320"/>
    <w:bookmarkEnd w:id="319"/>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PSU Award Agreement 2025</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the Grant Date set forth below by and between Molecular Partners AG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«first_name» «last_name», «Address1», «Zip_Code» «City» </w:t>
      </w:r>
      <w:r>
        <w:rPr>
          <w:rFonts w:ascii="Arial" w:cs="Arial" w:eastAsia="Arial" w:hAnsi="Arial"/>
          <w:sz w:val="17"/>
          <w:szCs w:val="17"/>
          <w:color w:val="auto"/>
        </w:rPr>
        <w:t>(the</w:t>
      </w:r>
      <w:r>
        <w:rPr>
          <w:rFonts w:ascii="Arial" w:cs="Arial" w:eastAsia="Arial" w:hAnsi="Arial"/>
          <w:sz w:val="17"/>
          <w:szCs w:val="17"/>
          <w:b w:val="1"/>
          <w:bCs w:val="1"/>
          <w:color w:val="auto"/>
        </w:rPr>
        <w:t xml:space="preserve"> Participant</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connection with the Performance Share Plan 2025 for employees (the </w:t>
      </w:r>
      <w:r>
        <w:rPr>
          <w:rFonts w:ascii="Arial" w:cs="Arial" w:eastAsia="Arial" w:hAnsi="Arial"/>
          <w:sz w:val="17"/>
          <w:szCs w:val="17"/>
          <w:b w:val="1"/>
          <w:bCs w:val="1"/>
          <w:color w:val="auto"/>
        </w:rPr>
        <w:t>PSU Plan</w:t>
      </w:r>
      <w:r>
        <w:rPr>
          <w:rFonts w:ascii="Arial" w:cs="Arial" w:eastAsia="Arial" w:hAnsi="Arial"/>
          <w:sz w:val="17"/>
          <w:szCs w:val="17"/>
          <w:color w:val="auto"/>
        </w:rPr>
        <w:t>), issued by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 assigned to them in the PSU Plan. Subject to the terms and conditions of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PSU Plan, the Company hereby grants to you the following PSUs: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341"/>
        </w:trPr>
        <w:tc>
          <w:tcPr>
            <w:tcW w:w="2780" w:type="dxa"/>
            <w:vAlign w:val="bottom"/>
          </w:tcPr>
          <w:p>
            <w:pPr>
              <w:spacing w:after="0"/>
              <w:rPr>
                <w:sz w:val="20"/>
                <w:szCs w:val="20"/>
                <w:color w:val="auto"/>
              </w:rPr>
            </w:pPr>
            <w:r>
              <w:rPr>
                <w:rFonts w:ascii="Arial" w:cs="Arial" w:eastAsia="Arial" w:hAnsi="Arial"/>
                <w:sz w:val="17"/>
                <w:szCs w:val="17"/>
                <w:b w:val="1"/>
                <w:bCs w:val="1"/>
                <w:color w:val="auto"/>
              </w:rPr>
              <w:t>Number of PSUs</w:t>
            </w:r>
          </w:p>
        </w:tc>
        <w:tc>
          <w:tcPr>
            <w:tcW w:w="8420" w:type="dxa"/>
            <w:vAlign w:val="bottom"/>
            <w:shd w:val="clear" w:color="auto" w:fill="D9D9D9"/>
          </w:tcPr>
          <w:p>
            <w:pPr>
              <w:ind w:left="40"/>
              <w:spacing w:after="0"/>
              <w:rPr>
                <w:sz w:val="20"/>
                <w:szCs w:val="20"/>
                <w:color w:val="auto"/>
              </w:rPr>
            </w:pPr>
            <w:r>
              <w:rPr>
                <w:rFonts w:ascii="Arial" w:cs="Arial" w:eastAsia="Arial" w:hAnsi="Arial"/>
                <w:sz w:val="17"/>
                <w:szCs w:val="17"/>
                <w:color w:val="auto"/>
              </w:rPr>
              <w:t>«total_final_no_of_PSUs»</w:t>
            </w:r>
          </w:p>
        </w:tc>
      </w:tr>
      <w:tr>
        <w:trPr>
          <w:trHeight w:val="456"/>
        </w:trPr>
        <w:tc>
          <w:tcPr>
            <w:tcW w:w="278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8420" w:type="dxa"/>
            <w:vAlign w:val="bottom"/>
            <w:shd w:val="clear" w:color="auto" w:fill="D9D9D9"/>
          </w:tcPr>
          <w:p>
            <w:pPr>
              <w:ind w:left="40"/>
              <w:spacing w:after="0"/>
              <w:rPr>
                <w:sz w:val="20"/>
                <w:szCs w:val="20"/>
                <w:color w:val="auto"/>
              </w:rPr>
            </w:pPr>
            <w:r>
              <w:rPr>
                <w:rFonts w:ascii="Arial" w:cs="Arial" w:eastAsia="Arial" w:hAnsi="Arial"/>
                <w:sz w:val="17"/>
                <w:szCs w:val="17"/>
                <w:color w:val="auto"/>
              </w:rPr>
              <w:t>«Grant_Date»</w:t>
            </w:r>
          </w:p>
        </w:tc>
      </w:tr>
      <w:tr>
        <w:trPr>
          <w:trHeight w:val="456"/>
        </w:trPr>
        <w:tc>
          <w:tcPr>
            <w:tcW w:w="2780" w:type="dxa"/>
            <w:vAlign w:val="bottom"/>
          </w:tcPr>
          <w:p>
            <w:pPr>
              <w:spacing w:after="0"/>
              <w:rPr>
                <w:sz w:val="20"/>
                <w:szCs w:val="20"/>
                <w:color w:val="auto"/>
              </w:rPr>
            </w:pPr>
            <w:r>
              <w:rPr>
                <w:rFonts w:ascii="Arial" w:cs="Arial" w:eastAsia="Arial" w:hAnsi="Arial"/>
                <w:sz w:val="17"/>
                <w:szCs w:val="17"/>
                <w:b w:val="1"/>
                <w:bCs w:val="1"/>
                <w:color w:val="auto"/>
              </w:rPr>
              <w:t>Start Vesting Date</w:t>
            </w:r>
          </w:p>
        </w:tc>
        <w:tc>
          <w:tcPr>
            <w:tcW w:w="8420" w:type="dxa"/>
            <w:vAlign w:val="bottom"/>
            <w:shd w:val="clear" w:color="auto" w:fill="D9D9D9"/>
          </w:tcPr>
          <w:p>
            <w:pPr>
              <w:ind w:left="40"/>
              <w:spacing w:after="0"/>
              <w:rPr>
                <w:sz w:val="20"/>
                <w:szCs w:val="20"/>
                <w:color w:val="auto"/>
              </w:rPr>
            </w:pPr>
            <w:r>
              <w:rPr>
                <w:rFonts w:ascii="Arial" w:cs="Arial" w:eastAsia="Arial" w:hAnsi="Arial"/>
                <w:sz w:val="17"/>
                <w:szCs w:val="17"/>
                <w:color w:val="auto"/>
              </w:rPr>
              <w:t>«Start_Vesting»</w:t>
            </w:r>
          </w:p>
        </w:tc>
      </w:tr>
      <w:tr>
        <w:trPr>
          <w:trHeight w:val="456"/>
        </w:trPr>
        <w:tc>
          <w:tcPr>
            <w:tcW w:w="2780" w:type="dxa"/>
            <w:vAlign w:val="bottom"/>
          </w:tcPr>
          <w:p>
            <w:pPr>
              <w:spacing w:after="0"/>
              <w:rPr>
                <w:sz w:val="20"/>
                <w:szCs w:val="20"/>
                <w:color w:val="auto"/>
              </w:rPr>
            </w:pPr>
            <w:r>
              <w:rPr>
                <w:rFonts w:ascii="Arial" w:cs="Arial" w:eastAsia="Arial" w:hAnsi="Arial"/>
                <w:sz w:val="17"/>
                <w:szCs w:val="17"/>
                <w:b w:val="1"/>
                <w:bCs w:val="1"/>
                <w:color w:val="auto"/>
              </w:rPr>
              <w:t>Vesting Date</w:t>
            </w:r>
          </w:p>
        </w:tc>
        <w:tc>
          <w:tcPr>
            <w:tcW w:w="8420" w:type="dxa"/>
            <w:vAlign w:val="bottom"/>
            <w:shd w:val="clear" w:color="auto" w:fill="D9D9D9"/>
          </w:tcPr>
          <w:p>
            <w:pPr>
              <w:ind w:left="40"/>
              <w:spacing w:after="0"/>
              <w:rPr>
                <w:sz w:val="20"/>
                <w:szCs w:val="20"/>
                <w:color w:val="auto"/>
              </w:rPr>
            </w:pPr>
            <w:r>
              <w:rPr>
                <w:rFonts w:ascii="Arial" w:cs="Arial" w:eastAsia="Arial" w:hAnsi="Arial"/>
                <w:sz w:val="17"/>
                <w:szCs w:val="17"/>
                <w:color w:val="auto"/>
              </w:rPr>
              <w:t>«End_Vesting_1», «End_Vesting_2», «End_Vesting_3»</w:t>
            </w:r>
          </w:p>
        </w:tc>
      </w:tr>
      <w:tr>
        <w:trPr>
          <w:trHeight w:val="456"/>
        </w:trPr>
        <w:tc>
          <w:tcPr>
            <w:tcW w:w="2780" w:type="dxa"/>
            <w:vAlign w:val="bottom"/>
          </w:tcPr>
          <w:p>
            <w:pPr>
              <w:spacing w:after="0"/>
              <w:rPr>
                <w:sz w:val="20"/>
                <w:szCs w:val="20"/>
                <w:color w:val="auto"/>
              </w:rPr>
            </w:pPr>
            <w:r>
              <w:rPr>
                <w:rFonts w:ascii="Arial" w:cs="Arial" w:eastAsia="Arial" w:hAnsi="Arial"/>
                <w:sz w:val="17"/>
                <w:szCs w:val="17"/>
                <w:b w:val="1"/>
                <w:bCs w:val="1"/>
                <w:color w:val="auto"/>
              </w:rPr>
              <w:t>Agreement number</w:t>
            </w:r>
          </w:p>
        </w:tc>
        <w:tc>
          <w:tcPr>
            <w:tcW w:w="8420" w:type="dxa"/>
            <w:vAlign w:val="bottom"/>
            <w:shd w:val="clear" w:color="auto" w:fill="D9D9D9"/>
          </w:tcPr>
          <w:p>
            <w:pPr>
              <w:ind w:left="40"/>
              <w:spacing w:after="0"/>
              <w:rPr>
                <w:sz w:val="20"/>
                <w:szCs w:val="20"/>
                <w:color w:val="auto"/>
              </w:rPr>
            </w:pPr>
            <w:r>
              <w:rPr>
                <w:rFonts w:ascii="Arial" w:cs="Arial" w:eastAsia="Arial" w:hAnsi="Arial"/>
                <w:sz w:val="17"/>
                <w:szCs w:val="17"/>
                <w:color w:val="auto"/>
              </w:rPr>
              <w:t>«Agreement_no»</w:t>
            </w:r>
          </w:p>
        </w:tc>
      </w:tr>
      <w:tr>
        <w:trPr>
          <w:trHeight w:val="115"/>
        </w:trPr>
        <w:tc>
          <w:tcPr>
            <w:tcW w:w="2780" w:type="dxa"/>
            <w:vAlign w:val="bottom"/>
          </w:tcPr>
          <w:p>
            <w:pPr>
              <w:spacing w:after="0"/>
              <w:rPr>
                <w:sz w:val="10"/>
                <w:szCs w:val="10"/>
                <w:color w:val="auto"/>
              </w:rPr>
            </w:pPr>
          </w:p>
        </w:tc>
        <w:tc>
          <w:tcPr>
            <w:tcW w:w="8420" w:type="dxa"/>
            <w:vAlign w:val="bottom"/>
            <w:shd w:val="clear" w:color="auto" w:fill="D9D9D9"/>
          </w:tcPr>
          <w:p>
            <w:pPr>
              <w:spacing w:after="0"/>
              <w:rPr>
                <w:sz w:val="10"/>
                <w:szCs w:val="10"/>
                <w:color w:val="auto"/>
              </w:rPr>
            </w:pPr>
          </w:p>
        </w:tc>
      </w:tr>
    </w:tbl>
    <w:p>
      <w:pPr>
        <w:spacing w:after="0" w:line="3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MPConnect, Our People, LTI_PSU). Please note that the PSU Plan includes a number of restrictions and conditions, which may lead to a complete loss of any entitlements hereunder.</w:t>
      </w:r>
    </w:p>
    <w:p>
      <w:pPr>
        <w:spacing w:after="0" w:line="21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By entering this Agreement, you accept the grant of the PSUs in accordance with this Agreement and the PSU Plan. In order to do so, please tick the Accept button in your Credit Suisse e-banking login within the next 10 days.</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Molecular Partners AG</w:t>
      </w:r>
    </w:p>
    <w:p>
      <w:pPr>
        <w:spacing w:after="0" w:line="260"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Patrick Amstutz, CEO</w:t>
      </w:r>
      <w:r>
        <w:rPr>
          <w:sz w:val="20"/>
          <w:szCs w:val="20"/>
          <w:color w:val="auto"/>
        </w:rPr>
        <w:tab/>
      </w:r>
      <w:r>
        <w:rPr>
          <w:rFonts w:ascii="Arial" w:cs="Arial" w:eastAsia="Arial" w:hAnsi="Arial"/>
          <w:sz w:val="16"/>
          <w:szCs w:val="16"/>
          <w:color w:val="auto"/>
        </w:rPr>
        <w:t>Robert Hendriks, SVP Finance</w:t>
      </w:r>
    </w:p>
    <w:p>
      <w:pPr>
        <w:sectPr>
          <w:pgSz w:w="11900" w:h="16838" w:orient="portrait"/>
          <w:cols w:equalWidth="0" w:num="1">
            <w:col w:w="11240"/>
          </w:cols>
          <w:pgMar w:left="320" w:top="202" w:right="339" w:bottom="1440" w:gutter="0" w:footer="0" w:header="0"/>
        </w:sectPr>
      </w:pPr>
    </w:p>
    <w:bookmarkStart w:id="320" w:name="page321"/>
    <w:bookmarkEnd w:id="320"/>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PSU Award Agreement 2025</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the Grant Date set forth below by and between Molecular Partners AG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«first_name» «last_name», «Address1», «Zip_Code» «City» </w:t>
      </w:r>
      <w:r>
        <w:rPr>
          <w:rFonts w:ascii="Arial" w:cs="Arial" w:eastAsia="Arial" w:hAnsi="Arial"/>
          <w:sz w:val="17"/>
          <w:szCs w:val="17"/>
          <w:color w:val="auto"/>
        </w:rPr>
        <w:t>(the</w:t>
      </w:r>
      <w:r>
        <w:rPr>
          <w:rFonts w:ascii="Arial" w:cs="Arial" w:eastAsia="Arial" w:hAnsi="Arial"/>
          <w:sz w:val="17"/>
          <w:szCs w:val="17"/>
          <w:b w:val="1"/>
          <w:bCs w:val="1"/>
          <w:color w:val="auto"/>
        </w:rPr>
        <w:t xml:space="preserve"> Participant</w:t>
      </w:r>
      <w:r>
        <w:rPr>
          <w:rFonts w:ascii="Arial" w:cs="Arial" w:eastAsia="Arial" w:hAnsi="Arial"/>
          <w:sz w:val="17"/>
          <w:szCs w:val="17"/>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connection with the Performance Share Plan 2025 for employees (the </w:t>
      </w:r>
      <w:r>
        <w:rPr>
          <w:rFonts w:ascii="Arial" w:cs="Arial" w:eastAsia="Arial" w:hAnsi="Arial"/>
          <w:sz w:val="17"/>
          <w:szCs w:val="17"/>
          <w:b w:val="1"/>
          <w:bCs w:val="1"/>
          <w:color w:val="auto"/>
        </w:rPr>
        <w:t>PSU Plan</w:t>
      </w:r>
      <w:r>
        <w:rPr>
          <w:rFonts w:ascii="Arial" w:cs="Arial" w:eastAsia="Arial" w:hAnsi="Arial"/>
          <w:sz w:val="17"/>
          <w:szCs w:val="17"/>
          <w:color w:val="auto"/>
        </w:rPr>
        <w:t>), issued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 assigned to them in the PSU Plan. Subject to the terms and conditions of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PSU Plan, the Company hereby grants to you the following PSUs: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341"/>
        </w:trPr>
        <w:tc>
          <w:tcPr>
            <w:tcW w:w="2720" w:type="dxa"/>
            <w:vAlign w:val="bottom"/>
          </w:tcPr>
          <w:p>
            <w:pPr>
              <w:spacing w:after="0"/>
              <w:rPr>
                <w:sz w:val="20"/>
                <w:szCs w:val="20"/>
                <w:color w:val="auto"/>
              </w:rPr>
            </w:pPr>
            <w:r>
              <w:rPr>
                <w:rFonts w:ascii="Arial" w:cs="Arial" w:eastAsia="Arial" w:hAnsi="Arial"/>
                <w:sz w:val="17"/>
                <w:szCs w:val="17"/>
                <w:b w:val="1"/>
                <w:bCs w:val="1"/>
                <w:color w:val="auto"/>
              </w:rPr>
              <w:t>Number of PSUs</w:t>
            </w:r>
          </w:p>
        </w:tc>
        <w:tc>
          <w:tcPr>
            <w:tcW w:w="7560" w:type="dxa"/>
            <w:vAlign w:val="bottom"/>
            <w:shd w:val="clear" w:color="auto" w:fill="D9D9D9"/>
          </w:tcPr>
          <w:p>
            <w:pPr>
              <w:ind w:left="40"/>
              <w:spacing w:after="0"/>
              <w:rPr>
                <w:sz w:val="20"/>
                <w:szCs w:val="20"/>
                <w:color w:val="auto"/>
              </w:rPr>
            </w:pPr>
            <w:r>
              <w:rPr>
                <w:rFonts w:ascii="Arial" w:cs="Arial" w:eastAsia="Arial" w:hAnsi="Arial"/>
                <w:sz w:val="17"/>
                <w:szCs w:val="17"/>
                <w:color w:val="auto"/>
              </w:rPr>
              <w:t>«total_final_no_of_PSUs»</w:t>
            </w:r>
          </w:p>
        </w:tc>
      </w:tr>
      <w:tr>
        <w:trPr>
          <w:trHeight w:val="456"/>
        </w:trPr>
        <w:tc>
          <w:tcPr>
            <w:tcW w:w="272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7560" w:type="dxa"/>
            <w:vAlign w:val="bottom"/>
            <w:shd w:val="clear" w:color="auto" w:fill="D9D9D9"/>
          </w:tcPr>
          <w:p>
            <w:pPr>
              <w:ind w:left="40"/>
              <w:spacing w:after="0"/>
              <w:rPr>
                <w:sz w:val="20"/>
                <w:szCs w:val="20"/>
                <w:color w:val="auto"/>
              </w:rPr>
            </w:pPr>
            <w:r>
              <w:rPr>
                <w:rFonts w:ascii="Arial" w:cs="Arial" w:eastAsia="Arial" w:hAnsi="Arial"/>
                <w:sz w:val="17"/>
                <w:szCs w:val="17"/>
                <w:color w:val="auto"/>
              </w:rPr>
              <w:t>«Grant_Date»</w:t>
            </w:r>
          </w:p>
        </w:tc>
      </w:tr>
      <w:tr>
        <w:trPr>
          <w:trHeight w:val="456"/>
        </w:trPr>
        <w:tc>
          <w:tcPr>
            <w:tcW w:w="2720" w:type="dxa"/>
            <w:vAlign w:val="bottom"/>
          </w:tcPr>
          <w:p>
            <w:pPr>
              <w:spacing w:after="0"/>
              <w:rPr>
                <w:sz w:val="20"/>
                <w:szCs w:val="20"/>
                <w:color w:val="auto"/>
              </w:rPr>
            </w:pPr>
            <w:r>
              <w:rPr>
                <w:rFonts w:ascii="Arial" w:cs="Arial" w:eastAsia="Arial" w:hAnsi="Arial"/>
                <w:sz w:val="17"/>
                <w:szCs w:val="17"/>
                <w:b w:val="1"/>
                <w:bCs w:val="1"/>
                <w:color w:val="auto"/>
              </w:rPr>
              <w:t>Start Vesting Date</w:t>
            </w:r>
          </w:p>
        </w:tc>
        <w:tc>
          <w:tcPr>
            <w:tcW w:w="7560" w:type="dxa"/>
            <w:vAlign w:val="bottom"/>
            <w:shd w:val="clear" w:color="auto" w:fill="D9D9D9"/>
          </w:tcPr>
          <w:p>
            <w:pPr>
              <w:ind w:left="40"/>
              <w:spacing w:after="0"/>
              <w:rPr>
                <w:sz w:val="20"/>
                <w:szCs w:val="20"/>
                <w:color w:val="auto"/>
              </w:rPr>
            </w:pPr>
            <w:r>
              <w:rPr>
                <w:rFonts w:ascii="Arial" w:cs="Arial" w:eastAsia="Arial" w:hAnsi="Arial"/>
                <w:sz w:val="17"/>
                <w:szCs w:val="17"/>
                <w:color w:val="auto"/>
              </w:rPr>
              <w:t>«Start_Vesting»</w:t>
            </w:r>
          </w:p>
        </w:tc>
      </w:tr>
      <w:tr>
        <w:trPr>
          <w:trHeight w:val="456"/>
        </w:trPr>
        <w:tc>
          <w:tcPr>
            <w:tcW w:w="2720" w:type="dxa"/>
            <w:vAlign w:val="bottom"/>
          </w:tcPr>
          <w:p>
            <w:pPr>
              <w:spacing w:after="0"/>
              <w:rPr>
                <w:sz w:val="20"/>
                <w:szCs w:val="20"/>
                <w:color w:val="auto"/>
              </w:rPr>
            </w:pPr>
            <w:r>
              <w:rPr>
                <w:rFonts w:ascii="Arial" w:cs="Arial" w:eastAsia="Arial" w:hAnsi="Arial"/>
                <w:sz w:val="17"/>
                <w:szCs w:val="17"/>
                <w:b w:val="1"/>
                <w:bCs w:val="1"/>
                <w:color w:val="auto"/>
              </w:rPr>
              <w:t>Vesting Date</w:t>
            </w:r>
          </w:p>
        </w:tc>
        <w:tc>
          <w:tcPr>
            <w:tcW w:w="7560" w:type="dxa"/>
            <w:vAlign w:val="bottom"/>
            <w:shd w:val="clear" w:color="auto" w:fill="D9D9D9"/>
          </w:tcPr>
          <w:p>
            <w:pPr>
              <w:ind w:left="40"/>
              <w:spacing w:after="0"/>
              <w:rPr>
                <w:sz w:val="20"/>
                <w:szCs w:val="20"/>
                <w:color w:val="auto"/>
              </w:rPr>
            </w:pPr>
            <w:r>
              <w:rPr>
                <w:rFonts w:ascii="Arial" w:cs="Arial" w:eastAsia="Arial" w:hAnsi="Arial"/>
                <w:sz w:val="17"/>
                <w:szCs w:val="17"/>
                <w:color w:val="auto"/>
              </w:rPr>
              <w:t>«End_Vesting_1», «End_Vesting_2», «End_Vesting_3»</w:t>
            </w:r>
          </w:p>
        </w:tc>
      </w:tr>
      <w:tr>
        <w:trPr>
          <w:trHeight w:val="456"/>
        </w:trPr>
        <w:tc>
          <w:tcPr>
            <w:tcW w:w="2720" w:type="dxa"/>
            <w:vAlign w:val="bottom"/>
          </w:tcPr>
          <w:p>
            <w:pPr>
              <w:spacing w:after="0"/>
              <w:rPr>
                <w:sz w:val="20"/>
                <w:szCs w:val="20"/>
                <w:color w:val="auto"/>
              </w:rPr>
            </w:pPr>
            <w:r>
              <w:rPr>
                <w:rFonts w:ascii="Arial" w:cs="Arial" w:eastAsia="Arial" w:hAnsi="Arial"/>
                <w:sz w:val="17"/>
                <w:szCs w:val="17"/>
                <w:b w:val="1"/>
                <w:bCs w:val="1"/>
                <w:color w:val="auto"/>
              </w:rPr>
              <w:t>Agreement number</w:t>
            </w:r>
          </w:p>
        </w:tc>
        <w:tc>
          <w:tcPr>
            <w:tcW w:w="7560" w:type="dxa"/>
            <w:vAlign w:val="bottom"/>
            <w:shd w:val="clear" w:color="auto" w:fill="D9D9D9"/>
          </w:tcPr>
          <w:p>
            <w:pPr>
              <w:ind w:left="60"/>
              <w:spacing w:after="0"/>
              <w:rPr>
                <w:sz w:val="20"/>
                <w:szCs w:val="20"/>
                <w:color w:val="auto"/>
              </w:rPr>
            </w:pPr>
            <w:r>
              <w:rPr>
                <w:rFonts w:ascii="Arial" w:cs="Arial" w:eastAsia="Arial" w:hAnsi="Arial"/>
                <w:sz w:val="17"/>
                <w:szCs w:val="17"/>
                <w:color w:val="auto"/>
              </w:rPr>
              <w:t>«Agreement_no»</w:t>
            </w:r>
          </w:p>
        </w:tc>
      </w:tr>
      <w:tr>
        <w:trPr>
          <w:trHeight w:val="115"/>
        </w:trPr>
        <w:tc>
          <w:tcPr>
            <w:tcW w:w="2720" w:type="dxa"/>
            <w:vAlign w:val="bottom"/>
          </w:tcPr>
          <w:p>
            <w:pPr>
              <w:spacing w:after="0"/>
              <w:rPr>
                <w:sz w:val="10"/>
                <w:szCs w:val="10"/>
                <w:color w:val="auto"/>
              </w:rPr>
            </w:pPr>
          </w:p>
        </w:tc>
        <w:tc>
          <w:tcPr>
            <w:tcW w:w="7560" w:type="dxa"/>
            <w:vAlign w:val="bottom"/>
            <w:shd w:val="clear" w:color="auto" w:fill="D9D9D9"/>
          </w:tcPr>
          <w:p>
            <w:pPr>
              <w:spacing w:after="0"/>
              <w:rPr>
                <w:sz w:val="10"/>
                <w:szCs w:val="10"/>
                <w:color w:val="auto"/>
              </w:rPr>
            </w:pPr>
          </w:p>
        </w:tc>
      </w:tr>
    </w:tbl>
    <w:p>
      <w:pPr>
        <w:spacing w:after="0" w:line="32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MPConnect, Our People, LTI_PSU). Please note that the PSU Plan includes a number of restrictions and conditions, which may lead to a complete loss of any entitlements hereunder.</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By entering this Agreement, you accept the grant of the PSUs in accordance with this Agreement and the PSU Plan. In order to do so, please tick the Accept button in your Credit Suisse e-banking login within the next 10 days.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18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Notwithstanding any provison of the PSU Plan or this Agreement, the following terms and conditions will apply in the case of any Participant who is or becomes a United States taxpayer (including a Participant who is a United States citizen or resident, or a person who is otherwise subject to the income tax laws of the United States):</w:t>
      </w:r>
    </w:p>
    <w:p>
      <w:pPr>
        <w:sectPr>
          <w:pgSz w:w="11900" w:h="16838" w:orient="portrait"/>
          <w:cols w:equalWidth="0" w:num="1">
            <w:col w:w="11240"/>
          </w:cols>
          <w:pgMar w:left="320" w:top="202" w:right="339" w:bottom="1440" w:gutter="0" w:footer="0" w:header="0"/>
        </w:sectPr>
      </w:pPr>
    </w:p>
    <w:bookmarkStart w:id="321" w:name="page322"/>
    <w:bookmarkEnd w:id="321"/>
    <w:p>
      <w:pPr>
        <w:ind w:left="20"/>
        <w:spacing w:after="0"/>
        <w:rPr>
          <w:sz w:val="20"/>
          <w:szCs w:val="20"/>
          <w:color w:val="auto"/>
        </w:rPr>
      </w:pPr>
      <w:r>
        <w:rPr>
          <w:rFonts w:ascii="Arial" w:cs="Arial" w:eastAsia="Arial" w:hAnsi="Arial"/>
          <w:sz w:val="13"/>
          <w:szCs w:val="13"/>
          <w:color w:val="auto"/>
        </w:rPr>
        <w:t>Molecular Partners AG: Performance Share Plan 2025 -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99"/>
        <w:spacing w:after="0"/>
        <w:tabs>
          <w:tab w:leader="none" w:pos="6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Company is required to issue the Shares underlying a PSU at the time the PSU vests (as set forth in the Plan and this Agreement),</w:t>
      </w:r>
    </w:p>
    <w:p>
      <w:pPr>
        <w:spacing w:after="0" w:line="45" w:lineRule="exact"/>
        <w:rPr>
          <w:rFonts w:ascii="Arial" w:cs="Arial" w:eastAsia="Arial" w:hAnsi="Arial"/>
          <w:sz w:val="17"/>
          <w:szCs w:val="17"/>
          <w:color w:val="auto"/>
        </w:rPr>
      </w:pPr>
    </w:p>
    <w:p>
      <w:pPr>
        <w:jc w:val="both"/>
        <w:ind w:left="240"/>
        <w:spacing w:after="0" w:line="308" w:lineRule="auto"/>
        <w:rPr>
          <w:rFonts w:ascii="Arial" w:cs="Arial" w:eastAsia="Arial" w:hAnsi="Arial"/>
          <w:sz w:val="17"/>
          <w:szCs w:val="17"/>
          <w:color w:val="auto"/>
        </w:rPr>
      </w:pPr>
      <w:r>
        <w:rPr>
          <w:rFonts w:ascii="Arial" w:cs="Arial" w:eastAsia="Arial" w:hAnsi="Arial"/>
          <w:sz w:val="16"/>
          <w:szCs w:val="16"/>
          <w:color w:val="auto"/>
        </w:rPr>
        <w:t>provided that the Company may require the signing of an acquisition declaration and payment of nominal value for the Shares as provided in Section 8(c) of the Plan (and subject to the satisfaction of any tax withholding obligations under Section 11 of the Plan). Notwithstanding the above, in no event will the Shares be delivered to the Participant later than thirty (30) days after the date the PSU is considered to vest under the terms of</w:t>
      </w:r>
    </w:p>
    <w:p>
      <w:pPr>
        <w:ind w:left="240"/>
        <w:spacing w:after="0" w:line="313" w:lineRule="auto"/>
        <w:rPr>
          <w:rFonts w:ascii="Arial" w:cs="Arial" w:eastAsia="Arial" w:hAnsi="Arial"/>
          <w:sz w:val="17"/>
          <w:szCs w:val="17"/>
          <w:color w:val="auto"/>
        </w:rPr>
      </w:pPr>
      <w:r>
        <w:rPr>
          <w:rFonts w:ascii="Arial" w:cs="Arial" w:eastAsia="Arial" w:hAnsi="Arial"/>
          <w:sz w:val="17"/>
          <w:szCs w:val="17"/>
          <w:color w:val="auto"/>
        </w:rPr>
        <w:t>the Plan and this Agreement (unless any such delay or non-delivery of the Shares is required under the provisions below in order to comply with Section 409A of the Code).</w:t>
      </w:r>
    </w:p>
    <w:p>
      <w:pPr>
        <w:spacing w:after="0" w:line="199" w:lineRule="exact"/>
        <w:rPr>
          <w:rFonts w:ascii="Arial" w:cs="Arial" w:eastAsia="Arial" w:hAnsi="Arial"/>
          <w:sz w:val="17"/>
          <w:szCs w:val="17"/>
          <w:color w:val="auto"/>
        </w:rPr>
      </w:pPr>
    </w:p>
    <w:p>
      <w:pPr>
        <w:jc w:val="both"/>
        <w:ind w:left="240" w:firstLine="1"/>
        <w:spacing w:after="0" w:line="287" w:lineRule="auto"/>
        <w:tabs>
          <w:tab w:leader="none" w:pos="622"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To the greatest extent possible the PSUs are intended to be exempt from the application of Section 409A of the Internal Revenue Code of 1986, as amended (Code), including but not limited to by reason of complying with the “short-term deferral” rule set forth in Treasury Regulation</w:t>
      </w:r>
    </w:p>
    <w:p>
      <w:pPr>
        <w:spacing w:after="0" w:line="1" w:lineRule="exact"/>
        <w:rPr>
          <w:rFonts w:ascii="Arial" w:cs="Arial" w:eastAsia="Arial" w:hAnsi="Arial"/>
          <w:sz w:val="17"/>
          <w:szCs w:val="17"/>
          <w:color w:val="auto"/>
        </w:rPr>
      </w:pPr>
    </w:p>
    <w:p>
      <w:pPr>
        <w:jc w:val="both"/>
        <w:ind w:left="240"/>
        <w:spacing w:after="0" w:line="301" w:lineRule="auto"/>
        <w:rPr>
          <w:rFonts w:ascii="Arial" w:cs="Arial" w:eastAsia="Arial" w:hAnsi="Arial"/>
          <w:sz w:val="17"/>
          <w:szCs w:val="17"/>
          <w:color w:val="auto"/>
        </w:rPr>
      </w:pPr>
      <w:r>
        <w:rPr>
          <w:rFonts w:ascii="Arial" w:cs="Arial" w:eastAsia="Arial" w:hAnsi="Arial"/>
          <w:sz w:val="17"/>
          <w:szCs w:val="17"/>
          <w:color w:val="auto"/>
        </w:rPr>
        <w:t>Section 1.409A-1(b)(4) and any ambiguities herein shall be interpreted accordingly. Notwithstanding the foregoing, if it is determined that a PSU fails to satisfy the requirements of the short-term deferral rule and is otherwise not exempt from, and determined to be deferred compensation subject to Section 409A of the Code, then such PSU shall comply with Section 409A to the extent necessary to avoid adverse personal tax consequences and any ambiguities herein shall be interpreted accordingly.</w:t>
      </w:r>
    </w:p>
    <w:p>
      <w:pPr>
        <w:spacing w:after="0" w:line="197" w:lineRule="exact"/>
        <w:rPr>
          <w:rFonts w:ascii="Arial" w:cs="Arial" w:eastAsia="Arial" w:hAnsi="Arial"/>
          <w:sz w:val="17"/>
          <w:szCs w:val="17"/>
          <w:color w:val="auto"/>
        </w:rPr>
      </w:pPr>
    </w:p>
    <w:p>
      <w:pPr>
        <w:ind w:left="640" w:hanging="399"/>
        <w:spacing w:after="0"/>
        <w:tabs>
          <w:tab w:leader="none" w:pos="6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a PSU is treated as deferred compensation under Section 409A of the Code, and the delivery or issuance of the underlying Shares will</w:t>
      </w:r>
    </w:p>
    <w:p>
      <w:pPr>
        <w:spacing w:after="0" w:line="45" w:lineRule="exact"/>
        <w:rPr>
          <w:rFonts w:ascii="Arial" w:cs="Arial" w:eastAsia="Arial" w:hAnsi="Arial"/>
          <w:sz w:val="17"/>
          <w:szCs w:val="17"/>
          <w:color w:val="auto"/>
        </w:rPr>
      </w:pPr>
    </w:p>
    <w:p>
      <w:pPr>
        <w:jc w:val="both"/>
        <w:ind w:left="240"/>
        <w:spacing w:after="0" w:line="330" w:lineRule="auto"/>
        <w:rPr>
          <w:rFonts w:ascii="Arial" w:cs="Arial" w:eastAsia="Arial" w:hAnsi="Arial"/>
          <w:sz w:val="17"/>
          <w:szCs w:val="17"/>
          <w:color w:val="auto"/>
        </w:rPr>
      </w:pPr>
      <w:r>
        <w:rPr>
          <w:rFonts w:ascii="Arial" w:cs="Arial" w:eastAsia="Arial" w:hAnsi="Arial"/>
          <w:sz w:val="16"/>
          <w:szCs w:val="16"/>
          <w:color w:val="auto"/>
        </w:rPr>
        <w:t>otherwise occur upon a termination of employment with, or service to, the Group Company, then (to the extent necessary to avoid the imposition of taxes or adverse consequences under Section 409A) the Shares will not be delivered or issued to the Participant unless and until such termination of employment or service also qualifies as a “separation from service” (Separation from Service) under Treasury Regulation Section 1.409A-1(h).</w:t>
      </w:r>
    </w:p>
    <w:p>
      <w:pPr>
        <w:spacing w:after="0" w:line="178" w:lineRule="exact"/>
        <w:rPr>
          <w:rFonts w:ascii="Arial" w:cs="Arial" w:eastAsia="Arial" w:hAnsi="Arial"/>
          <w:sz w:val="17"/>
          <w:szCs w:val="17"/>
          <w:color w:val="auto"/>
        </w:rPr>
      </w:pPr>
    </w:p>
    <w:p>
      <w:pPr>
        <w:jc w:val="both"/>
        <w:ind w:left="240" w:firstLine="1"/>
        <w:spacing w:after="0" w:line="295" w:lineRule="auto"/>
        <w:tabs>
          <w:tab w:leader="none" w:pos="63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a PSU is treated as deferred compensation under Section 409A of the Code, and the delivery or issuance of the underlying Shares will otherwise occur upon a Change of Control, then (to the extent necessary to avoid the imposition of taxes or adverse consequences under Section</w:t>
      </w:r>
    </w:p>
    <w:p>
      <w:pPr>
        <w:ind w:left="240"/>
        <w:spacing w:after="0" w:line="313" w:lineRule="auto"/>
        <w:rPr>
          <w:rFonts w:ascii="Arial" w:cs="Arial" w:eastAsia="Arial" w:hAnsi="Arial"/>
          <w:sz w:val="17"/>
          <w:szCs w:val="17"/>
          <w:color w:val="auto"/>
        </w:rPr>
      </w:pPr>
      <w:r>
        <w:rPr>
          <w:rFonts w:ascii="Arial" w:cs="Arial" w:eastAsia="Arial" w:hAnsi="Arial"/>
          <w:sz w:val="17"/>
          <w:szCs w:val="17"/>
          <w:color w:val="auto"/>
        </w:rPr>
        <w:t>409A) the Shares will not be delivered or issued unless and until such Change of Control also qualifies as a “change in control event” under Treasury Regulation Section 1.409A-3(i)(5).</w:t>
      </w:r>
    </w:p>
    <w:p>
      <w:pPr>
        <w:spacing w:after="0" w:line="199" w:lineRule="exact"/>
        <w:rPr>
          <w:rFonts w:ascii="Arial" w:cs="Arial" w:eastAsia="Arial" w:hAnsi="Arial"/>
          <w:sz w:val="17"/>
          <w:szCs w:val="17"/>
          <w:color w:val="auto"/>
        </w:rPr>
      </w:pPr>
    </w:p>
    <w:p>
      <w:pPr>
        <w:jc w:val="both"/>
        <w:ind w:left="240" w:firstLine="1"/>
        <w:spacing w:after="0" w:line="308" w:lineRule="auto"/>
        <w:tabs>
          <w:tab w:leader="none" w:pos="59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it is determined that the PSUs are deferred compensation subject to Section 409A and the Participant is a “Specified Employee” (within the meaning set forth in Section 409A(a)(2)(B)(i) of the Code) as of the date of the Participant’s Separation from Service, then the issuance of any Shares that would otherwise be made upon the date of the Participant’s Separation from Service or within the first six (6) months thereafter will not</w:t>
      </w:r>
    </w:p>
    <w:p>
      <w:pPr>
        <w:jc w:val="both"/>
        <w:ind w:left="240"/>
        <w:spacing w:after="0" w:line="308" w:lineRule="auto"/>
        <w:rPr>
          <w:rFonts w:ascii="Arial" w:cs="Arial" w:eastAsia="Arial" w:hAnsi="Arial"/>
          <w:sz w:val="16"/>
          <w:szCs w:val="16"/>
          <w:color w:val="auto"/>
        </w:rPr>
      </w:pPr>
      <w:r>
        <w:rPr>
          <w:rFonts w:ascii="Arial" w:cs="Arial" w:eastAsia="Arial" w:hAnsi="Arial"/>
          <w:sz w:val="16"/>
          <w:szCs w:val="16"/>
          <w:color w:val="auto"/>
        </w:rPr>
        <w:t>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the Participant in</w:t>
      </w:r>
    </w:p>
    <w:p>
      <w:pPr>
        <w:ind w:left="240"/>
        <w:spacing w:after="0" w:line="313" w:lineRule="auto"/>
        <w:rPr>
          <w:rFonts w:ascii="Arial" w:cs="Arial" w:eastAsia="Arial" w:hAnsi="Arial"/>
          <w:sz w:val="16"/>
          <w:szCs w:val="16"/>
          <w:color w:val="auto"/>
        </w:rPr>
      </w:pPr>
      <w:r>
        <w:rPr>
          <w:rFonts w:ascii="Arial" w:cs="Arial" w:eastAsia="Arial" w:hAnsi="Arial"/>
          <w:sz w:val="17"/>
          <w:szCs w:val="17"/>
          <w:color w:val="auto"/>
        </w:rPr>
        <w:t>respect of the Shares under Section 409A of the Code. Each installment of shares that vests is intended to constitute a “separate payment” for purposes of Treasury Regulation Section 1.409A-2(b)(2).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Molecular Partners AG</w:t>
      </w:r>
    </w:p>
    <w:p>
      <w:pPr>
        <w:spacing w:after="0" w:line="273"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Patrick Amstutz, CEO</w:t>
      </w:r>
      <w:r>
        <w:rPr>
          <w:sz w:val="20"/>
          <w:szCs w:val="20"/>
          <w:color w:val="auto"/>
        </w:rPr>
        <w:tab/>
      </w:r>
      <w:r>
        <w:rPr>
          <w:rFonts w:ascii="Arial" w:cs="Arial" w:eastAsia="Arial" w:hAnsi="Arial"/>
          <w:sz w:val="16"/>
          <w:szCs w:val="16"/>
          <w:color w:val="auto"/>
        </w:rPr>
        <w:t>Robert Hendriks, VP Finance</w:t>
      </w:r>
    </w:p>
    <w:p>
      <w:pPr>
        <w:sectPr>
          <w:pgSz w:w="11900" w:h="16838" w:orient="portrait"/>
          <w:cols w:equalWidth="0" w:num="1">
            <w:col w:w="11200"/>
          </w:cols>
          <w:pgMar w:left="320" w:top="202" w:right="379" w:bottom="1440" w:gutter="0" w:footer="0" w:header="0"/>
        </w:sectPr>
      </w:pPr>
    </w:p>
    <w:bookmarkStart w:id="322" w:name="page323"/>
    <w:bookmarkEnd w:id="322"/>
    <w:p>
      <w:pPr>
        <w:spacing w:after="0"/>
        <w:tabs>
          <w:tab w:leader="none" w:pos="10580" w:val="left"/>
        </w:tabs>
        <w:rPr>
          <w:sz w:val="20"/>
          <w:szCs w:val="20"/>
          <w:color w:val="auto"/>
        </w:rPr>
      </w:pPr>
      <w:r>
        <w:rPr>
          <w:rFonts w:ascii="Arial" w:cs="Arial" w:eastAsia="Arial" w:hAnsi="Arial"/>
          <w:sz w:val="13"/>
          <w:szCs w:val="13"/>
          <w:color w:val="auto"/>
        </w:rPr>
        <w:t>Molecular Partners AG: Performance Share Plan 2025 – Management Board</w:t>
      </w:r>
      <w:r>
        <w:rPr>
          <w:sz w:val="20"/>
          <w:szCs w:val="20"/>
          <w:color w:val="auto"/>
        </w:rPr>
        <w:tab/>
      </w:r>
      <w:r>
        <w:rPr>
          <w:rFonts w:ascii="Arial" w:cs="Arial" w:eastAsia="Arial" w:hAnsi="Arial"/>
          <w:sz w:val="11"/>
          <w:szCs w:val="11"/>
          <w:color w:val="auto"/>
        </w:rPr>
        <w:t>Exhibit 4.21</w:t>
      </w:r>
    </w:p>
    <w:p>
      <w:pPr>
        <w:sectPr>
          <w:pgSz w:w="11900" w:h="16838" w:orient="portrait"/>
          <w:cols w:equalWidth="0" w:num="1">
            <w:col w:w="11220"/>
          </w:cols>
          <w:pgMar w:left="340" w:top="2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00"/>
        <w:spacing w:after="0"/>
        <w:rPr>
          <w:sz w:val="20"/>
          <w:szCs w:val="20"/>
          <w:color w:val="auto"/>
        </w:rPr>
      </w:pPr>
      <w:r>
        <w:rPr>
          <w:rFonts w:ascii="Arial" w:cs="Arial" w:eastAsia="Arial" w:hAnsi="Arial"/>
          <w:sz w:val="27"/>
          <w:szCs w:val="27"/>
          <w:b w:val="1"/>
          <w:bCs w:val="1"/>
          <w:color w:val="auto"/>
        </w:rPr>
        <w:t>Performance Share Plan 2025</w:t>
      </w:r>
    </w:p>
    <w:p>
      <w:pPr>
        <w:spacing w:after="0" w:line="272" w:lineRule="exact"/>
        <w:rPr>
          <w:sz w:val="20"/>
          <w:szCs w:val="20"/>
          <w:color w:val="auto"/>
        </w:rPr>
      </w:pPr>
    </w:p>
    <w:p>
      <w:pPr>
        <w:ind w:left="1700"/>
        <w:spacing w:after="0"/>
        <w:rPr>
          <w:sz w:val="20"/>
          <w:szCs w:val="20"/>
          <w:color w:val="auto"/>
        </w:rPr>
      </w:pPr>
      <w:r>
        <w:rPr>
          <w:rFonts w:ascii="Arial" w:cs="Arial" w:eastAsia="Arial" w:hAnsi="Arial"/>
          <w:sz w:val="27"/>
          <w:szCs w:val="27"/>
          <w:b w:val="1"/>
          <w:bCs w:val="1"/>
          <w:color w:val="auto"/>
        </w:rPr>
        <w:t>Management Board</w:t>
      </w:r>
    </w:p>
    <w:p>
      <w:pPr>
        <w:sectPr>
          <w:pgSz w:w="11900" w:h="16838" w:orient="portrait"/>
          <w:cols w:equalWidth="0" w:num="1">
            <w:col w:w="11220"/>
          </w:cols>
          <w:pgMar w:left="340" w:top="200" w:right="339" w:bottom="1440" w:gutter="0" w:footer="0" w:header="0"/>
          <w:type w:val="continuous"/>
        </w:sectPr>
      </w:pPr>
    </w:p>
    <w:bookmarkStart w:id="323" w:name="page324"/>
    <w:bookmarkEnd w:id="323"/>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2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60" w:type="dxa"/>
            <w:vAlign w:val="bottom"/>
          </w:tcPr>
          <w:p>
            <w:pPr>
              <w:spacing w:after="0"/>
              <w:rPr>
                <w:sz w:val="20"/>
                <w:szCs w:val="20"/>
                <w:color w:val="auto"/>
              </w:rPr>
            </w:pPr>
            <w:r>
              <w:rPr>
                <w:rFonts w:ascii="Arial" w:cs="Arial" w:eastAsia="Arial" w:hAnsi="Arial"/>
                <w:sz w:val="19"/>
                <w:szCs w:val="19"/>
                <w:color w:val="auto"/>
              </w:rPr>
              <w:t>1.</w:t>
            </w:r>
          </w:p>
        </w:tc>
        <w:tc>
          <w:tcPr>
            <w:tcW w:w="7200" w:type="dxa"/>
            <w:vAlign w:val="bottom"/>
            <w:gridSpan w:val="2"/>
          </w:tcPr>
          <w:p>
            <w:pPr>
              <w:ind w:left="100"/>
              <w:spacing w:after="0"/>
              <w:rPr>
                <w:sz w:val="20"/>
                <w:szCs w:val="20"/>
                <w:color w:val="auto"/>
              </w:rPr>
            </w:pPr>
            <w:r>
              <w:rPr>
                <w:rFonts w:ascii="Arial" w:cs="Arial" w:eastAsia="Arial" w:hAnsi="Arial"/>
                <w:sz w:val="19"/>
                <w:szCs w:val="19"/>
                <w:color w:val="auto"/>
              </w:rPr>
              <w:t>Performance Share Plan 2025</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Purpose</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Definitions and Interpretation</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Responsibilities and Administration</w:t>
            </w:r>
          </w:p>
        </w:tc>
        <w:tc>
          <w:tcPr>
            <w:tcW w:w="37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4.</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Eligibility and Participation</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5.</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Grant of PSUs</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6.</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No Securities</w:t>
            </w:r>
          </w:p>
        </w:tc>
        <w:tc>
          <w:tcPr>
            <w:tcW w:w="37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7.</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No Transfer</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8.</w:t>
            </w:r>
          </w:p>
        </w:tc>
        <w:tc>
          <w:tcPr>
            <w:tcW w:w="7200" w:type="dxa"/>
            <w:vAlign w:val="bottom"/>
            <w:gridSpan w:val="2"/>
          </w:tcPr>
          <w:p>
            <w:pPr>
              <w:ind w:left="100"/>
              <w:spacing w:after="0"/>
              <w:rPr>
                <w:sz w:val="20"/>
                <w:szCs w:val="20"/>
                <w:color w:val="auto"/>
              </w:rPr>
            </w:pPr>
            <w:r>
              <w:rPr>
                <w:rFonts w:ascii="Arial" w:cs="Arial" w:eastAsia="Arial" w:hAnsi="Arial"/>
                <w:sz w:val="19"/>
                <w:szCs w:val="19"/>
                <w:color w:val="auto"/>
              </w:rPr>
              <w:t>Vesting and Delivery of Shares</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260" w:type="dxa"/>
            <w:vAlign w:val="bottom"/>
          </w:tcPr>
          <w:p>
            <w:pPr>
              <w:spacing w:after="0"/>
              <w:rPr>
                <w:sz w:val="20"/>
                <w:szCs w:val="20"/>
                <w:color w:val="auto"/>
              </w:rPr>
            </w:pPr>
            <w:r>
              <w:rPr>
                <w:rFonts w:ascii="Arial" w:cs="Arial" w:eastAsia="Arial" w:hAnsi="Arial"/>
                <w:sz w:val="19"/>
                <w:szCs w:val="19"/>
                <w:color w:val="auto"/>
              </w:rPr>
              <w:t>9.</w:t>
            </w:r>
          </w:p>
        </w:tc>
        <w:tc>
          <w:tcPr>
            <w:tcW w:w="40" w:type="dxa"/>
            <w:vAlign w:val="bottom"/>
          </w:tcPr>
          <w:p>
            <w:pPr>
              <w:spacing w:after="0"/>
              <w:rPr>
                <w:sz w:val="22"/>
                <w:szCs w:val="22"/>
                <w:color w:val="auto"/>
              </w:rPr>
            </w:pPr>
          </w:p>
        </w:tc>
        <w:tc>
          <w:tcPr>
            <w:tcW w:w="7160" w:type="dxa"/>
            <w:vAlign w:val="bottom"/>
          </w:tcPr>
          <w:p>
            <w:pPr>
              <w:ind w:left="60"/>
              <w:spacing w:after="0"/>
              <w:rPr>
                <w:sz w:val="20"/>
                <w:szCs w:val="20"/>
                <w:color w:val="auto"/>
              </w:rPr>
            </w:pPr>
            <w:r>
              <w:rPr>
                <w:rFonts w:ascii="Arial" w:cs="Arial" w:eastAsia="Arial" w:hAnsi="Arial"/>
                <w:sz w:val="19"/>
                <w:szCs w:val="19"/>
                <w:color w:val="auto"/>
              </w:rPr>
              <w:t>Underlying Shares</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10.</w:t>
            </w:r>
          </w:p>
        </w:tc>
        <w:tc>
          <w:tcPr>
            <w:tcW w:w="7160" w:type="dxa"/>
            <w:vAlign w:val="bottom"/>
          </w:tcPr>
          <w:p>
            <w:pPr>
              <w:ind w:left="160"/>
              <w:spacing w:after="0"/>
              <w:rPr>
                <w:sz w:val="20"/>
                <w:szCs w:val="20"/>
                <w:color w:val="auto"/>
              </w:rPr>
            </w:pPr>
            <w:r>
              <w:rPr>
                <w:rFonts w:ascii="Arial" w:cs="Arial" w:eastAsia="Arial" w:hAnsi="Arial"/>
                <w:sz w:val="19"/>
                <w:szCs w:val="19"/>
                <w:color w:val="auto"/>
              </w:rPr>
              <w:t>Vesting Multiple</w:t>
            </w:r>
          </w:p>
        </w:tc>
        <w:tc>
          <w:tcPr>
            <w:tcW w:w="37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7460" w:type="dxa"/>
            <w:vAlign w:val="bottom"/>
            <w:gridSpan w:val="3"/>
          </w:tcPr>
          <w:p>
            <w:pPr>
              <w:spacing w:after="0"/>
              <w:rPr>
                <w:sz w:val="20"/>
                <w:szCs w:val="20"/>
                <w:color w:val="auto"/>
              </w:rPr>
            </w:pPr>
            <w:r>
              <w:rPr>
                <w:rFonts w:ascii="Arial" w:cs="Arial" w:eastAsia="Arial" w:hAnsi="Arial"/>
                <w:sz w:val="19"/>
                <w:szCs w:val="19"/>
                <w:color w:val="auto"/>
              </w:rPr>
              <w:t>11.  Taxes and Social Security Contributions</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12.</w:t>
            </w:r>
          </w:p>
        </w:tc>
        <w:tc>
          <w:tcPr>
            <w:tcW w:w="7160" w:type="dxa"/>
            <w:vAlign w:val="bottom"/>
          </w:tcPr>
          <w:p>
            <w:pPr>
              <w:ind w:left="160"/>
              <w:spacing w:after="0"/>
              <w:rPr>
                <w:sz w:val="20"/>
                <w:szCs w:val="20"/>
                <w:color w:val="auto"/>
              </w:rPr>
            </w:pPr>
            <w:r>
              <w:rPr>
                <w:rFonts w:ascii="Arial" w:cs="Arial" w:eastAsia="Arial" w:hAnsi="Arial"/>
                <w:sz w:val="19"/>
                <w:szCs w:val="19"/>
                <w:color w:val="auto"/>
              </w:rPr>
              <w:t>Disclosure Requirements</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13.</w:t>
            </w:r>
          </w:p>
        </w:tc>
        <w:tc>
          <w:tcPr>
            <w:tcW w:w="7160" w:type="dxa"/>
            <w:vAlign w:val="bottom"/>
          </w:tcPr>
          <w:p>
            <w:pPr>
              <w:ind w:left="160"/>
              <w:spacing w:after="0"/>
              <w:rPr>
                <w:sz w:val="20"/>
                <w:szCs w:val="20"/>
                <w:color w:val="auto"/>
              </w:rPr>
            </w:pPr>
            <w:r>
              <w:rPr>
                <w:rFonts w:ascii="Arial" w:cs="Arial" w:eastAsia="Arial" w:hAnsi="Arial"/>
                <w:sz w:val="19"/>
                <w:szCs w:val="19"/>
                <w:color w:val="auto"/>
              </w:rPr>
              <w:t>Other Obligations of the Participant</w:t>
            </w:r>
          </w:p>
        </w:tc>
        <w:tc>
          <w:tcPr>
            <w:tcW w:w="37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14.</w:t>
            </w:r>
          </w:p>
        </w:tc>
        <w:tc>
          <w:tcPr>
            <w:tcW w:w="7160" w:type="dxa"/>
            <w:vAlign w:val="bottom"/>
          </w:tcPr>
          <w:p>
            <w:pPr>
              <w:ind w:left="160"/>
              <w:spacing w:after="0"/>
              <w:rPr>
                <w:sz w:val="20"/>
                <w:szCs w:val="20"/>
                <w:color w:val="auto"/>
              </w:rPr>
            </w:pPr>
            <w:r>
              <w:rPr>
                <w:rFonts w:ascii="Arial" w:cs="Arial" w:eastAsia="Arial" w:hAnsi="Arial"/>
                <w:sz w:val="19"/>
                <w:szCs w:val="19"/>
                <w:color w:val="auto"/>
              </w:rPr>
              <w:t>Termination of Employment and Forfeiture</w:t>
            </w:r>
          </w:p>
        </w:tc>
        <w:tc>
          <w:tcPr>
            <w:tcW w:w="37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15.</w:t>
            </w:r>
          </w:p>
        </w:tc>
        <w:tc>
          <w:tcPr>
            <w:tcW w:w="7160" w:type="dxa"/>
            <w:vAlign w:val="bottom"/>
          </w:tcPr>
          <w:p>
            <w:pPr>
              <w:ind w:left="160"/>
              <w:spacing w:after="0"/>
              <w:rPr>
                <w:sz w:val="20"/>
                <w:szCs w:val="20"/>
                <w:color w:val="auto"/>
              </w:rPr>
            </w:pPr>
            <w:r>
              <w:rPr>
                <w:rFonts w:ascii="Arial" w:cs="Arial" w:eastAsia="Arial" w:hAnsi="Arial"/>
                <w:sz w:val="19"/>
                <w:szCs w:val="19"/>
                <w:color w:val="auto"/>
              </w:rPr>
              <w:t>Change of Control</w:t>
            </w:r>
          </w:p>
        </w:tc>
        <w:tc>
          <w:tcPr>
            <w:tcW w:w="37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16.</w:t>
            </w:r>
          </w:p>
        </w:tc>
        <w:tc>
          <w:tcPr>
            <w:tcW w:w="7160" w:type="dxa"/>
            <w:vAlign w:val="bottom"/>
          </w:tcPr>
          <w:p>
            <w:pPr>
              <w:ind w:left="160"/>
              <w:spacing w:after="0"/>
              <w:rPr>
                <w:sz w:val="20"/>
                <w:szCs w:val="20"/>
                <w:color w:val="auto"/>
              </w:rPr>
            </w:pPr>
            <w:r>
              <w:rPr>
                <w:rFonts w:ascii="Arial" w:cs="Arial" w:eastAsia="Arial" w:hAnsi="Arial"/>
                <w:sz w:val="19"/>
                <w:szCs w:val="19"/>
                <w:color w:val="auto"/>
              </w:rPr>
              <w:t>Corporate Events</w:t>
            </w:r>
          </w:p>
        </w:tc>
        <w:tc>
          <w:tcPr>
            <w:tcW w:w="37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17.</w:t>
            </w:r>
          </w:p>
        </w:tc>
        <w:tc>
          <w:tcPr>
            <w:tcW w:w="7160" w:type="dxa"/>
            <w:vAlign w:val="bottom"/>
          </w:tcPr>
          <w:p>
            <w:pPr>
              <w:ind w:left="160"/>
              <w:spacing w:after="0"/>
              <w:rPr>
                <w:sz w:val="20"/>
                <w:szCs w:val="20"/>
                <w:color w:val="auto"/>
              </w:rPr>
            </w:pPr>
            <w:r>
              <w:rPr>
                <w:rFonts w:ascii="Arial" w:cs="Arial" w:eastAsia="Arial" w:hAnsi="Arial"/>
                <w:sz w:val="19"/>
                <w:szCs w:val="19"/>
                <w:color w:val="auto"/>
              </w:rPr>
              <w:t>Data Protection</w:t>
            </w:r>
          </w:p>
        </w:tc>
        <w:tc>
          <w:tcPr>
            <w:tcW w:w="37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18.</w:t>
            </w:r>
          </w:p>
        </w:tc>
        <w:tc>
          <w:tcPr>
            <w:tcW w:w="7160" w:type="dxa"/>
            <w:vAlign w:val="bottom"/>
          </w:tcPr>
          <w:p>
            <w:pPr>
              <w:ind w:left="160"/>
              <w:spacing w:after="0"/>
              <w:rPr>
                <w:sz w:val="20"/>
                <w:szCs w:val="20"/>
                <w:color w:val="auto"/>
              </w:rPr>
            </w:pPr>
            <w:r>
              <w:rPr>
                <w:rFonts w:ascii="Arial" w:cs="Arial" w:eastAsia="Arial" w:hAnsi="Arial"/>
                <w:sz w:val="19"/>
                <w:szCs w:val="19"/>
                <w:color w:val="auto"/>
              </w:rPr>
              <w:t>Legal and regulatory restrictions</w:t>
            </w:r>
          </w:p>
        </w:tc>
        <w:tc>
          <w:tcPr>
            <w:tcW w:w="37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19.</w:t>
            </w:r>
          </w:p>
        </w:tc>
        <w:tc>
          <w:tcPr>
            <w:tcW w:w="7160" w:type="dxa"/>
            <w:vAlign w:val="bottom"/>
          </w:tcPr>
          <w:p>
            <w:pPr>
              <w:ind w:left="160"/>
              <w:spacing w:after="0"/>
              <w:rPr>
                <w:sz w:val="20"/>
                <w:szCs w:val="20"/>
                <w:color w:val="auto"/>
              </w:rPr>
            </w:pPr>
            <w:r>
              <w:rPr>
                <w:rFonts w:ascii="Arial" w:cs="Arial" w:eastAsia="Arial" w:hAnsi="Arial"/>
                <w:sz w:val="19"/>
                <w:szCs w:val="19"/>
                <w:color w:val="auto"/>
              </w:rPr>
              <w:t>Amendment and Termination</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20.</w:t>
            </w:r>
          </w:p>
        </w:tc>
        <w:tc>
          <w:tcPr>
            <w:tcW w:w="7160" w:type="dxa"/>
            <w:vAlign w:val="bottom"/>
          </w:tcPr>
          <w:p>
            <w:pPr>
              <w:ind w:left="160"/>
              <w:spacing w:after="0"/>
              <w:rPr>
                <w:sz w:val="20"/>
                <w:szCs w:val="20"/>
                <w:color w:val="auto"/>
              </w:rPr>
            </w:pPr>
            <w:r>
              <w:rPr>
                <w:rFonts w:ascii="Arial" w:cs="Arial" w:eastAsia="Arial" w:hAnsi="Arial"/>
                <w:sz w:val="19"/>
                <w:szCs w:val="19"/>
                <w:color w:val="auto"/>
              </w:rPr>
              <w:t>Severability</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21.</w:t>
            </w:r>
          </w:p>
        </w:tc>
        <w:tc>
          <w:tcPr>
            <w:tcW w:w="7160" w:type="dxa"/>
            <w:vAlign w:val="bottom"/>
          </w:tcPr>
          <w:p>
            <w:pPr>
              <w:ind w:left="160"/>
              <w:spacing w:after="0"/>
              <w:rPr>
                <w:sz w:val="20"/>
                <w:szCs w:val="20"/>
                <w:color w:val="auto"/>
              </w:rPr>
            </w:pPr>
            <w:r>
              <w:rPr>
                <w:rFonts w:ascii="Arial" w:cs="Arial" w:eastAsia="Arial" w:hAnsi="Arial"/>
                <w:sz w:val="19"/>
                <w:szCs w:val="19"/>
                <w:color w:val="auto"/>
              </w:rPr>
              <w:t>Governing Law and Jurisdiction</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gridSpan w:val="2"/>
          </w:tcPr>
          <w:p>
            <w:pPr>
              <w:spacing w:after="0"/>
              <w:rPr>
                <w:sz w:val="20"/>
                <w:szCs w:val="20"/>
                <w:color w:val="auto"/>
              </w:rPr>
            </w:pPr>
            <w:r>
              <w:rPr>
                <w:rFonts w:ascii="Arial" w:cs="Arial" w:eastAsia="Arial" w:hAnsi="Arial"/>
                <w:sz w:val="19"/>
                <w:szCs w:val="19"/>
                <w:color w:val="auto"/>
              </w:rPr>
              <w:t>22.</w:t>
            </w:r>
          </w:p>
        </w:tc>
        <w:tc>
          <w:tcPr>
            <w:tcW w:w="7160" w:type="dxa"/>
            <w:vAlign w:val="bottom"/>
          </w:tcPr>
          <w:p>
            <w:pPr>
              <w:ind w:left="160"/>
              <w:spacing w:after="0"/>
              <w:rPr>
                <w:sz w:val="20"/>
                <w:szCs w:val="20"/>
                <w:color w:val="auto"/>
              </w:rPr>
            </w:pPr>
            <w:r>
              <w:rPr>
                <w:rFonts w:ascii="Arial" w:cs="Arial" w:eastAsia="Arial" w:hAnsi="Arial"/>
                <w:sz w:val="19"/>
                <w:szCs w:val="19"/>
                <w:color w:val="auto"/>
              </w:rPr>
              <w:t>Entry into Force</w:t>
            </w:r>
          </w:p>
        </w:tc>
        <w:tc>
          <w:tcPr>
            <w:tcW w:w="3740" w:type="dxa"/>
            <w:vAlign w:val="bottom"/>
          </w:tcPr>
          <w:p>
            <w:pPr>
              <w:jc w:val="right"/>
              <w:spacing w:after="0"/>
              <w:rPr>
                <w:sz w:val="20"/>
                <w:szCs w:val="20"/>
                <w:color w:val="auto"/>
              </w:rPr>
            </w:pPr>
            <w:r>
              <w:rPr>
                <w:rFonts w:ascii="Arial" w:cs="Arial" w:eastAsia="Arial" w:hAnsi="Arial"/>
                <w:sz w:val="19"/>
                <w:szCs w:val="19"/>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Annex 1: Definitions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Annex 2: Form of PSU Award Agreement</w:t>
      </w:r>
    </w:p>
    <w:p>
      <w:pPr>
        <w:sectPr>
          <w:pgSz w:w="11900" w:h="16838" w:orient="portrait"/>
          <w:cols w:equalWidth="0" w:num="1">
            <w:col w:w="11240"/>
          </w:cols>
          <w:pgMar w:left="320" w:top="203" w:right="339" w:bottom="1440" w:gutter="0" w:footer="0" w:header="0"/>
        </w:sectPr>
      </w:pPr>
    </w:p>
    <w:bookmarkStart w:id="324" w:name="page325"/>
    <w:bookmarkEnd w:id="324"/>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3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0" w:hanging="599"/>
        <w:spacing w:after="0"/>
        <w:tabs>
          <w:tab w:leader="none" w:pos="600" w:val="left"/>
        </w:tabs>
        <w:numPr>
          <w:ilvl w:val="0"/>
          <w:numId w:val="288"/>
        </w:numPr>
        <w:rPr>
          <w:rFonts w:ascii="Arial" w:cs="Arial" w:eastAsia="Arial" w:hAnsi="Arial"/>
          <w:sz w:val="20"/>
          <w:szCs w:val="20"/>
          <w:b w:val="1"/>
          <w:bCs w:val="1"/>
          <w:color w:val="auto"/>
        </w:rPr>
      </w:pPr>
      <w:r>
        <w:rPr>
          <w:rFonts w:ascii="Arial" w:cs="Arial" w:eastAsia="Arial" w:hAnsi="Arial"/>
          <w:sz w:val="24"/>
          <w:szCs w:val="24"/>
          <w:b w:val="1"/>
          <w:bCs w:val="1"/>
          <w:color w:val="auto"/>
        </w:rPr>
        <w:t>Performance Share Plan 2025</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311" w:lineRule="exact"/>
        <w:rPr>
          <w:sz w:val="20"/>
          <w:szCs w:val="20"/>
          <w:color w:val="auto"/>
        </w:rPr>
      </w:pPr>
    </w:p>
    <w:p>
      <w:pPr>
        <w:jc w:val="both"/>
        <w:spacing w:after="0" w:line="355" w:lineRule="auto"/>
        <w:rPr>
          <w:sz w:val="20"/>
          <w:szCs w:val="20"/>
          <w:color w:val="auto"/>
        </w:rPr>
      </w:pPr>
      <w:r>
        <w:rPr>
          <w:rFonts w:ascii="Arial" w:cs="Arial" w:eastAsia="Arial" w:hAnsi="Arial"/>
          <w:sz w:val="17"/>
          <w:szCs w:val="17"/>
          <w:color w:val="auto"/>
        </w:rPr>
        <w:t>The purpose of this performance share plan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7"/>
          <w:szCs w:val="17"/>
          <w:b w:val="1"/>
          <w:bCs w:val="1"/>
          <w:color w:val="auto"/>
        </w:rPr>
        <w:t>PSU</w:t>
      </w:r>
      <w:r>
        <w:rPr>
          <w:rFonts w:ascii="Arial" w:cs="Arial" w:eastAsia="Arial" w:hAnsi="Arial"/>
          <w:sz w:val="17"/>
          <w:szCs w:val="17"/>
          <w:color w:val="auto"/>
        </w:rPr>
        <w:t>) to them.</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and Interpretation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Capitalized terms used in this Plan shall have the meaning set forth in </w:t>
      </w:r>
      <w:r>
        <w:rPr>
          <w:rFonts w:ascii="Arial" w:cs="Arial" w:eastAsia="Arial" w:hAnsi="Arial"/>
          <w:sz w:val="17"/>
          <w:szCs w:val="17"/>
          <w:b w:val="1"/>
          <w:bCs w:val="1"/>
          <w:color w:val="auto"/>
        </w:rPr>
        <w:t>Annex 1.</w:t>
      </w:r>
    </w:p>
    <w:p>
      <w:pPr>
        <w:spacing w:after="0" w:line="286"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Responsibilities and Administration</w:t>
      </w:r>
    </w:p>
    <w:p>
      <w:pPr>
        <w:spacing w:after="0" w:line="286"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7"/>
          <w:szCs w:val="17"/>
          <w:b w:val="1"/>
          <w:bCs w:val="1"/>
          <w:color w:val="auto"/>
        </w:rPr>
        <w:t>Nomination and Compensation Committee</w:t>
      </w:r>
      <w:r>
        <w:rPr>
          <w:rFonts w:ascii="Arial" w:cs="Arial" w:eastAsia="Arial" w:hAnsi="Arial"/>
          <w:sz w:val="17"/>
          <w:szCs w:val="17"/>
          <w:color w:val="auto"/>
        </w:rPr>
        <w:t>), the maximum number of PSUs that may be granted under this Plan and of shares to be allocated from the Company's conditional capital or otherwise in connection with such PSUs.</w:t>
      </w:r>
    </w:p>
    <w:p>
      <w:pPr>
        <w:spacing w:after="0" w:line="197"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The Nomination and Compensation Committee shall be responsible for the implementation and administration of the Plan and shall make recommendations to amend or renew or terminate the Plan or to replace it with new editions or other plans.</w:t>
      </w:r>
    </w:p>
    <w:p>
      <w:pPr>
        <w:spacing w:after="0" w:line="175" w:lineRule="exact"/>
        <w:rPr>
          <w:sz w:val="20"/>
          <w:szCs w:val="20"/>
          <w:color w:val="auto"/>
        </w:rPr>
      </w:pPr>
    </w:p>
    <w:p>
      <w:pPr>
        <w:jc w:val="both"/>
        <w:ind w:hanging="2"/>
        <w:spacing w:after="0" w:line="299" w:lineRule="auto"/>
        <w:rPr>
          <w:sz w:val="20"/>
          <w:szCs w:val="20"/>
          <w:color w:val="auto"/>
        </w:rPr>
      </w:pPr>
      <w:r>
        <w:rPr>
          <w:rFonts w:ascii="Arial" w:cs="Arial" w:eastAsia="Arial" w:hAnsi="Arial"/>
          <w:sz w:val="17"/>
          <w:szCs w:val="17"/>
          <w:color w:val="auto"/>
        </w:rPr>
        <w:t>Any grants of PSUs to members of the Management Board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spacing w:after="0" w:line="201"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All resolutions, decisions, determinations and interpretations made by the Nomination and Compensation Committee including any amendments or withdrawals of grants, are final and binding, unless approval by the Board of Directors or the shareholders' meeting is required.</w:t>
      </w:r>
    </w:p>
    <w:p>
      <w:pPr>
        <w:spacing w:after="0" w:line="175" w:lineRule="exact"/>
        <w:rPr>
          <w:sz w:val="20"/>
          <w:szCs w:val="20"/>
          <w:color w:val="auto"/>
        </w:rPr>
      </w:pPr>
    </w:p>
    <w:p>
      <w:pPr>
        <w:jc w:val="both"/>
        <w:ind w:hanging="6"/>
        <w:spacing w:after="0" w:line="338" w:lineRule="auto"/>
        <w:rPr>
          <w:sz w:val="20"/>
          <w:szCs w:val="20"/>
          <w:color w:val="auto"/>
        </w:rPr>
      </w:pPr>
      <w:r>
        <w:rPr>
          <w:rFonts w:ascii="Arial" w:cs="Arial" w:eastAsia="Arial" w:hAnsi="Arial"/>
          <w:sz w:val="17"/>
          <w:szCs w:val="17"/>
          <w:color w:val="auto"/>
        </w:rPr>
        <w:t xml:space="preserve">Any technical or administrative task in connection with the Plan may be outsourced by the Nomination and Compensation Committee to a third- party service provider, e.g. the bank in charge with the creation of the Shares (each a </w:t>
      </w:r>
      <w:r>
        <w:rPr>
          <w:rFonts w:ascii="Arial" w:cs="Arial" w:eastAsia="Arial" w:hAnsi="Arial"/>
          <w:sz w:val="17"/>
          <w:szCs w:val="17"/>
          <w:b w:val="1"/>
          <w:bCs w:val="1"/>
          <w:color w:val="auto"/>
        </w:rPr>
        <w:t>Plan Service Provider</w:t>
      </w:r>
      <w:r>
        <w:rPr>
          <w:rFonts w:ascii="Arial" w:cs="Arial" w:eastAsia="Arial" w:hAnsi="Arial"/>
          <w:sz w:val="17"/>
          <w:szCs w:val="17"/>
          <w:color w:val="auto"/>
        </w:rPr>
        <w:t>).</w:t>
      </w:r>
    </w:p>
    <w:p>
      <w:pPr>
        <w:sectPr>
          <w:pgSz w:w="11900" w:h="16838" w:orient="portrait"/>
          <w:cols w:equalWidth="0" w:num="1">
            <w:col w:w="11240"/>
          </w:cols>
          <w:pgMar w:left="320" w:top="203" w:right="339" w:bottom="1440" w:gutter="0" w:footer="0" w:header="0"/>
        </w:sectPr>
      </w:pPr>
    </w:p>
    <w:bookmarkStart w:id="325" w:name="page326"/>
    <w:bookmarkEnd w:id="325"/>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4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 and Participation</w:t>
      </w:r>
    </w:p>
    <w:p>
      <w:pPr>
        <w:spacing w:after="0" w:line="273"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As a rule, only members of the Management Board may become eligible to participate in this Plan. The decision on eligibility is reserved to the Nomination and Compensation Committee.</w:t>
      </w:r>
    </w:p>
    <w:p>
      <w:pPr>
        <w:spacing w:after="0" w:line="175" w:lineRule="exact"/>
        <w:rPr>
          <w:sz w:val="20"/>
          <w:szCs w:val="20"/>
          <w:color w:val="auto"/>
        </w:rPr>
      </w:pPr>
    </w:p>
    <w:p>
      <w:pPr>
        <w:jc w:val="both"/>
        <w:ind w:hanging="6"/>
        <w:spacing w:after="0" w:line="302" w:lineRule="auto"/>
        <w:rPr>
          <w:sz w:val="20"/>
          <w:szCs w:val="20"/>
          <w:color w:val="auto"/>
        </w:rPr>
      </w:pPr>
      <w:r>
        <w:rPr>
          <w:rFonts w:ascii="Arial" w:cs="Arial" w:eastAsia="Arial" w:hAnsi="Arial"/>
          <w:sz w:val="17"/>
          <w:szCs w:val="17"/>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7"/>
          <w:szCs w:val="17"/>
          <w:b w:val="1"/>
          <w:bCs w:val="1"/>
          <w:color w:val="auto"/>
        </w:rPr>
        <w:t>PSU Award Agreement</w:t>
      </w:r>
      <w:r>
        <w:rPr>
          <w:rFonts w:ascii="Arial" w:cs="Arial" w:eastAsia="Arial" w:hAnsi="Arial"/>
          <w:sz w:val="17"/>
          <w:szCs w:val="17"/>
          <w:color w:val="auto"/>
        </w:rPr>
        <w:t xml:space="preserve">) among the Company (or the employer Group Company) and the eligible person, substantially in the form attached hereto as </w:t>
      </w:r>
      <w:r>
        <w:rPr>
          <w:rFonts w:ascii="Arial" w:cs="Arial" w:eastAsia="Arial" w:hAnsi="Arial"/>
          <w:sz w:val="17"/>
          <w:szCs w:val="17"/>
          <w:b w:val="1"/>
          <w:bCs w:val="1"/>
          <w:color w:val="auto"/>
        </w:rPr>
        <w:t>Annex 2</w:t>
      </w:r>
      <w:r>
        <w:rPr>
          <w:rFonts w:ascii="Arial" w:cs="Arial" w:eastAsia="Arial" w:hAnsi="Arial"/>
          <w:sz w:val="17"/>
          <w:szCs w:val="17"/>
          <w:color w:val="auto"/>
        </w:rPr>
        <w:t xml:space="preserve">. The right to receive PSUs shall accrue exclusively to those eligible persons who have, in accordance with this Plan, been duly and validly offered, and have signed and returned, their individual PSU Award Agreement by the relevant due date (each a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188" w:lineRule="exact"/>
        <w:rPr>
          <w:sz w:val="20"/>
          <w:szCs w:val="20"/>
          <w:color w:val="auto"/>
        </w:rPr>
      </w:pPr>
    </w:p>
    <w:p>
      <w:pPr>
        <w:jc w:val="both"/>
        <w:ind w:hanging="2"/>
        <w:spacing w:after="0" w:line="312" w:lineRule="auto"/>
        <w:rPr>
          <w:sz w:val="20"/>
          <w:szCs w:val="20"/>
          <w:color w:val="auto"/>
        </w:rPr>
      </w:pPr>
      <w:r>
        <w:rPr>
          <w:rFonts w:ascii="Arial" w:cs="Arial" w:eastAsia="Arial" w:hAnsi="Arial"/>
          <w:sz w:val="17"/>
          <w:szCs w:val="17"/>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187"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Neither the grant of PSUs, nor the transfer of Shares in connection with this Plan shall confer upon any Participant any right to continue to be employed by any Group Company.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of PSUs</w:t>
      </w:r>
    </w:p>
    <w:p>
      <w:pPr>
        <w:spacing w:after="0" w:line="286"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194"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 xml:space="preserve">One PSU represents a conditional entitlement to purchase a number of Shares at the nominal value of a Share. The number of Shares which shall be allocated to a Participant upon vesting shall be determined pursuant to a vesting multiple as described in Section 10 hereof (the </w:t>
      </w:r>
      <w:r>
        <w:rPr>
          <w:rFonts w:ascii="Arial" w:cs="Arial" w:eastAsia="Arial" w:hAnsi="Arial"/>
          <w:sz w:val="17"/>
          <w:szCs w:val="17"/>
          <w:b w:val="1"/>
          <w:bCs w:val="1"/>
          <w:color w:val="auto"/>
        </w:rPr>
        <w:t>Vesting Multiple</w:t>
      </w:r>
      <w:r>
        <w:rPr>
          <w:rFonts w:ascii="Arial" w:cs="Arial" w:eastAsia="Arial" w:hAnsi="Arial"/>
          <w:sz w:val="17"/>
          <w:szCs w:val="17"/>
          <w:color w:val="auto"/>
        </w:rPr>
        <w:t>), subject to, and in accordance with, the terms and conditions of this Plan and the PSU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date of grants shall be determined by the Nomination and Compensation Committee and set out in the PSU Award Agreement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pacing w:after="0" w:line="273" w:lineRule="exact"/>
        <w:rPr>
          <w:sz w:val="20"/>
          <w:szCs w:val="20"/>
          <w:color w:val="auto"/>
        </w:rPr>
      </w:pPr>
    </w:p>
    <w:p>
      <w:pPr>
        <w:jc w:val="both"/>
        <w:ind w:hanging="6"/>
        <w:spacing w:after="0" w:line="304" w:lineRule="auto"/>
        <w:rPr>
          <w:sz w:val="20"/>
          <w:szCs w:val="20"/>
          <w:color w:val="auto"/>
        </w:rPr>
      </w:pPr>
      <w:r>
        <w:rPr>
          <w:rFonts w:ascii="Arial" w:cs="Arial" w:eastAsia="Arial" w:hAnsi="Arial"/>
          <w:sz w:val="17"/>
          <w:szCs w:val="17"/>
          <w:color w:val="auto"/>
        </w:rPr>
        <w:t>A change of the regular working quota (</w:t>
      </w:r>
      <w:r>
        <w:rPr>
          <w:rFonts w:ascii="Arial" w:cs="Arial" w:eastAsia="Arial" w:hAnsi="Arial"/>
          <w:sz w:val="17"/>
          <w:szCs w:val="17"/>
          <w:i w:val="1"/>
          <w:iCs w:val="1"/>
          <w:color w:val="auto"/>
        </w:rPr>
        <w:t>Arbeitspensum</w:t>
      </w:r>
      <w:r>
        <w:rPr>
          <w:rFonts w:ascii="Arial" w:cs="Arial" w:eastAsia="Arial" w:hAnsi="Arial"/>
          <w:sz w:val="17"/>
          <w:szCs w:val="17"/>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Securities</w:t>
      </w:r>
    </w:p>
    <w:p>
      <w:pPr>
        <w:spacing w:after="0" w:line="299"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w:t>
      </w:r>
    </w:p>
    <w:p>
      <w:pPr>
        <w:sectPr>
          <w:pgSz w:w="11900" w:h="16838" w:orient="portrait"/>
          <w:cols w:equalWidth="0" w:num="1">
            <w:col w:w="11240"/>
          </w:cols>
          <w:pgMar w:left="320" w:top="202" w:right="339" w:bottom="1440" w:gutter="0" w:footer="0" w:header="0"/>
        </w:sectPr>
      </w:pPr>
    </w:p>
    <w:bookmarkStart w:id="326" w:name="page327"/>
    <w:bookmarkEnd w:id="326"/>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5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of the Plan and upon entry into the share register, subject to, and in accordance with, the restrictions and procedures set out in article 5 of the Company's articles of incorporation.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Transfer</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and Delivery of Shares</w:t>
      </w:r>
    </w:p>
    <w:p>
      <w:pPr>
        <w:spacing w:after="0" w:line="273" w:lineRule="exact"/>
        <w:rPr>
          <w:sz w:val="20"/>
          <w:szCs w:val="20"/>
          <w:color w:val="auto"/>
        </w:rPr>
      </w:pPr>
    </w:p>
    <w:p>
      <w:pPr>
        <w:jc w:val="both"/>
        <w:ind w:hanging="6"/>
        <w:spacing w:after="0" w:line="338" w:lineRule="auto"/>
        <w:rPr>
          <w:sz w:val="20"/>
          <w:szCs w:val="20"/>
          <w:color w:val="auto"/>
        </w:rPr>
      </w:pPr>
      <w:r>
        <w:rPr>
          <w:rFonts w:ascii="Arial" w:cs="Arial" w:eastAsia="Arial" w:hAnsi="Arial"/>
          <w:sz w:val="17"/>
          <w:szCs w:val="17"/>
          <w:color w:val="auto"/>
        </w:rPr>
        <w:t xml:space="preserve">Unless otherwise set out in this Plan (in particular in Section 14) or in the PSU Award Agreement, PSUs shall vest on the third anniversary of the Grant Date (the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period between the Grant Date and the Vesting Date shall be deemed the </w:t>
      </w:r>
      <w:r>
        <w:rPr>
          <w:rFonts w:ascii="Arial" w:cs="Arial" w:eastAsia="Arial" w:hAnsi="Arial"/>
          <w:sz w:val="17"/>
          <w:szCs w:val="17"/>
          <w:b w:val="1"/>
          <w:bCs w:val="1"/>
          <w:color w:val="auto"/>
        </w:rPr>
        <w:t>Vesting Period</w:t>
      </w:r>
      <w:r>
        <w:rPr>
          <w:rFonts w:ascii="Arial" w:cs="Arial" w:eastAsia="Arial" w:hAnsi="Arial"/>
          <w:sz w:val="17"/>
          <w:szCs w:val="17"/>
          <w:color w:val="auto"/>
        </w:rPr>
        <w:t>.</w:t>
      </w:r>
    </w:p>
    <w:p>
      <w:pPr>
        <w:spacing w:after="0" w:line="159" w:lineRule="exact"/>
        <w:rPr>
          <w:sz w:val="20"/>
          <w:szCs w:val="20"/>
          <w:color w:val="auto"/>
        </w:rPr>
      </w:pPr>
    </w:p>
    <w:p>
      <w:pPr>
        <w:jc w:val="both"/>
        <w:ind w:hanging="6"/>
        <w:spacing w:after="0" w:line="312" w:lineRule="auto"/>
        <w:rPr>
          <w:sz w:val="20"/>
          <w:szCs w:val="20"/>
          <w:color w:val="auto"/>
        </w:rPr>
      </w:pPr>
      <w:r>
        <w:rPr>
          <w:rFonts w:ascii="Arial" w:cs="Arial" w:eastAsia="Arial" w:hAnsi="Arial"/>
          <w:sz w:val="17"/>
          <w:szCs w:val="17"/>
          <w:color w:val="auto"/>
        </w:rPr>
        <w:t>Subject to Section 14(b) and (c) below, no PSU shall vest if, during the Vesting Period, the relevant Participant's employment is terminated (i.e. effective date of termination) or another reason for termination occurs other than through termination by the Participant for cause (</w:t>
      </w:r>
      <w:r>
        <w:rPr>
          <w:rFonts w:ascii="Arial" w:cs="Arial" w:eastAsia="Arial" w:hAnsi="Arial"/>
          <w:sz w:val="17"/>
          <w:szCs w:val="17"/>
          <w:i w:val="1"/>
          <w:iCs w:val="1"/>
          <w:color w:val="auto"/>
        </w:rPr>
        <w:t>wichtige Gründe</w:t>
      </w:r>
      <w:r>
        <w:rPr>
          <w:rFonts w:ascii="Arial" w:cs="Arial" w:eastAsia="Arial" w:hAnsi="Arial"/>
          <w:sz w:val="17"/>
          <w:szCs w:val="17"/>
          <w:color w:val="auto"/>
        </w:rPr>
        <w:t>) within the meaning of Article 337 CO.</w:t>
      </w:r>
    </w:p>
    <w:p>
      <w:pPr>
        <w:spacing w:after="0" w:line="187" w:lineRule="exact"/>
        <w:rPr>
          <w:sz w:val="20"/>
          <w:szCs w:val="20"/>
          <w:color w:val="auto"/>
        </w:rPr>
      </w:pPr>
    </w:p>
    <w:p>
      <w:pPr>
        <w:jc w:val="both"/>
        <w:ind w:hanging="2"/>
        <w:spacing w:after="0" w:line="301" w:lineRule="auto"/>
        <w:rPr>
          <w:sz w:val="20"/>
          <w:szCs w:val="20"/>
          <w:color w:val="auto"/>
        </w:rPr>
      </w:pPr>
      <w:r>
        <w:rPr>
          <w:rFonts w:ascii="Arial" w:cs="Arial" w:eastAsia="Arial" w:hAnsi="Arial"/>
          <w:sz w:val="17"/>
          <w:szCs w:val="17"/>
          <w:color w:val="auto"/>
        </w:rPr>
        <w:t>The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Underlying Shares</w:t>
      </w: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7"/>
          <w:szCs w:val="17"/>
          <w:b w:val="1"/>
          <w:bCs w:val="1"/>
          <w:color w:val="auto"/>
        </w:rPr>
        <w:t>Share</w:t>
      </w:r>
      <w:r>
        <w:rPr>
          <w:rFonts w:ascii="Arial" w:cs="Arial" w:eastAsia="Arial" w:hAnsi="Arial"/>
          <w:sz w:val="17"/>
          <w:szCs w:val="17"/>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Multiple</w:t>
      </w:r>
    </w:p>
    <w:p>
      <w:pPr>
        <w:spacing w:after="0" w:line="286" w:lineRule="exact"/>
        <w:rPr>
          <w:sz w:val="20"/>
          <w:szCs w:val="20"/>
          <w:color w:val="auto"/>
        </w:rPr>
      </w:pPr>
    </w:p>
    <w:p>
      <w:pPr>
        <w:jc w:val="both"/>
        <w:ind w:hanging="6"/>
        <w:spacing w:after="0" w:line="307" w:lineRule="auto"/>
        <w:rPr>
          <w:sz w:val="20"/>
          <w:szCs w:val="20"/>
          <w:color w:val="auto"/>
        </w:rPr>
      </w:pPr>
      <w:r>
        <w:rPr>
          <w:rFonts w:ascii="Arial" w:cs="Arial" w:eastAsia="Arial" w:hAnsi="Arial"/>
          <w:sz w:val="16"/>
          <w:szCs w:val="16"/>
          <w:color w:val="auto"/>
        </w:rPr>
        <w:t>The Vesting Multiple shall not be lower than 0 nor higher than 1.5 (one point five). Within such range, the Vesting Multiple shall be determined by the Board of Directors upon proposal by the Nomination and Compensation Committee based on its assessment of the achievement of the goals set out in the score card (</w:t>
      </w:r>
      <w:r>
        <w:rPr>
          <w:rFonts w:ascii="Arial" w:cs="Arial" w:eastAsia="Arial" w:hAnsi="Arial"/>
          <w:sz w:val="16"/>
          <w:szCs w:val="16"/>
          <w:b w:val="1"/>
          <w:bCs w:val="1"/>
          <w:color w:val="auto"/>
        </w:rPr>
        <w:t>LTI Score Card</w:t>
      </w:r>
      <w:r>
        <w:rPr>
          <w:rFonts w:ascii="Arial" w:cs="Arial" w:eastAsia="Arial" w:hAnsi="Arial"/>
          <w:sz w:val="16"/>
          <w:szCs w:val="16"/>
          <w:color w:val="auto"/>
        </w:rPr>
        <w:t>) attached to the PSU Award Agreement or otherwise communicated by the Company to the Participant in connection with the grant (</w:t>
      </w:r>
      <w:r>
        <w:rPr>
          <w:rFonts w:ascii="Arial" w:cs="Arial" w:eastAsia="Arial" w:hAnsi="Arial"/>
          <w:sz w:val="16"/>
          <w:szCs w:val="16"/>
          <w:b w:val="1"/>
          <w:bCs w:val="1"/>
          <w:color w:val="auto"/>
        </w:rPr>
        <w:t>Goals</w:t>
      </w:r>
      <w:r>
        <w:rPr>
          <w:rFonts w:ascii="Arial" w:cs="Arial" w:eastAsia="Arial" w:hAnsi="Arial"/>
          <w:sz w:val="16"/>
          <w:szCs w:val="16"/>
          <w:color w:val="auto"/>
        </w:rPr>
        <w:t>). The Goals may include any corporate goals, i.e. strategic, operating or financial goals of the Company or the Group, any personal goals and performance of the relevant Participant and/or any goals relating to the total shareholder return or share price development.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LTI</w:t>
      </w:r>
    </w:p>
    <w:p>
      <w:pPr>
        <w:sectPr>
          <w:pgSz w:w="11900" w:h="16838" w:orient="portrait"/>
          <w:cols w:equalWidth="0" w:num="1">
            <w:col w:w="11240"/>
          </w:cols>
          <w:pgMar w:left="320" w:top="202" w:right="339" w:bottom="1440" w:gutter="0" w:footer="0" w:header="0"/>
        </w:sectPr>
      </w:pPr>
    </w:p>
    <w:bookmarkStart w:id="327" w:name="page328"/>
    <w:bookmarkEnd w:id="327"/>
    <w:tbl>
      <w:tblPr>
        <w:tblLayout w:type="fixed"/>
        <w:tblInd w:w="4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6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0"/>
        <w:spacing w:after="0" w:line="328" w:lineRule="auto"/>
        <w:rPr>
          <w:sz w:val="20"/>
          <w:szCs w:val="20"/>
          <w:color w:val="auto"/>
        </w:rPr>
      </w:pPr>
      <w:r>
        <w:rPr>
          <w:rFonts w:ascii="Arial" w:cs="Arial" w:eastAsia="Arial" w:hAnsi="Arial"/>
          <w:sz w:val="17"/>
          <w:szCs w:val="17"/>
          <w:color w:val="auto"/>
        </w:rPr>
        <w:t>Score Card may allocate a percentage weighting to each Goal for purposes of deriving the Vesting Multiple or require a global assessment of the achievement of Goals.</w:t>
      </w:r>
    </w:p>
    <w:p>
      <w:pPr>
        <w:spacing w:after="0" w:line="175" w:lineRule="exact"/>
        <w:rPr>
          <w:sz w:val="20"/>
          <w:szCs w:val="20"/>
          <w:color w:val="auto"/>
        </w:rPr>
      </w:pPr>
    </w:p>
    <w:p>
      <w:pPr>
        <w:jc w:val="both"/>
        <w:ind w:left="20" w:hanging="6"/>
        <w:spacing w:after="0" w:line="328" w:lineRule="auto"/>
        <w:rPr>
          <w:sz w:val="20"/>
          <w:szCs w:val="20"/>
          <w:color w:val="auto"/>
        </w:rPr>
      </w:pPr>
      <w:r>
        <w:rPr>
          <w:rFonts w:ascii="Arial" w:cs="Arial" w:eastAsia="Arial" w:hAnsi="Arial"/>
          <w:sz w:val="17"/>
          <w:szCs w:val="17"/>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175" w:lineRule="exact"/>
        <w:rPr>
          <w:sz w:val="20"/>
          <w:szCs w:val="20"/>
          <w:color w:val="auto"/>
        </w:rPr>
      </w:pPr>
    </w:p>
    <w:p>
      <w:pPr>
        <w:jc w:val="both"/>
        <w:ind w:left="20" w:hanging="2"/>
        <w:spacing w:after="0" w:line="328" w:lineRule="auto"/>
        <w:rPr>
          <w:sz w:val="20"/>
          <w:szCs w:val="20"/>
          <w:color w:val="auto"/>
        </w:rPr>
      </w:pPr>
      <w:r>
        <w:rPr>
          <w:rFonts w:ascii="Arial" w:cs="Arial" w:eastAsia="Arial" w:hAnsi="Arial"/>
          <w:sz w:val="17"/>
          <w:szCs w:val="17"/>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and Social Security Contributions</w:t>
      </w:r>
    </w:p>
    <w:p>
      <w:pPr>
        <w:spacing w:after="0" w:line="273" w:lineRule="exact"/>
        <w:rPr>
          <w:sz w:val="20"/>
          <w:szCs w:val="20"/>
          <w:color w:val="auto"/>
        </w:rPr>
      </w:pPr>
    </w:p>
    <w:p>
      <w:pPr>
        <w:jc w:val="both"/>
        <w:ind w:left="20" w:hanging="6"/>
        <w:spacing w:after="0" w:line="312" w:lineRule="auto"/>
        <w:rPr>
          <w:sz w:val="20"/>
          <w:szCs w:val="20"/>
          <w:color w:val="auto"/>
        </w:rPr>
      </w:pPr>
      <w:r>
        <w:rPr>
          <w:rFonts w:ascii="Arial" w:cs="Arial" w:eastAsia="Arial" w:hAnsi="Arial"/>
          <w:sz w:val="17"/>
          <w:szCs w:val="17"/>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187" w:lineRule="exact"/>
        <w:rPr>
          <w:sz w:val="20"/>
          <w:szCs w:val="20"/>
          <w:color w:val="auto"/>
        </w:rPr>
      </w:pPr>
    </w:p>
    <w:p>
      <w:pPr>
        <w:jc w:val="both"/>
        <w:ind w:left="20" w:hanging="6"/>
        <w:spacing w:after="0" w:line="295" w:lineRule="auto"/>
        <w:rPr>
          <w:sz w:val="20"/>
          <w:szCs w:val="20"/>
          <w:color w:val="auto"/>
        </w:rPr>
      </w:pPr>
      <w:r>
        <w:rPr>
          <w:rFonts w:ascii="Arial" w:cs="Arial" w:eastAsia="Arial" w:hAnsi="Arial"/>
          <w:sz w:val="17"/>
          <w:szCs w:val="17"/>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17" w:lineRule="exact"/>
        <w:rPr>
          <w:sz w:val="20"/>
          <w:szCs w:val="20"/>
          <w:color w:val="auto"/>
        </w:rPr>
      </w:pPr>
    </w:p>
    <w:p>
      <w:pPr>
        <w:jc w:val="both"/>
        <w:ind w:left="20" w:hanging="2"/>
        <w:spacing w:after="0" w:line="313" w:lineRule="auto"/>
        <w:rPr>
          <w:sz w:val="20"/>
          <w:szCs w:val="20"/>
          <w:color w:val="auto"/>
        </w:rPr>
      </w:pPr>
      <w:r>
        <w:rPr>
          <w:rFonts w:ascii="Arial" w:cs="Arial" w:eastAsia="Arial" w:hAnsi="Arial"/>
          <w:sz w:val="17"/>
          <w:szCs w:val="17"/>
          <w:color w:val="auto"/>
        </w:rPr>
        <w:t>The Company shall have the right (but no obligation, unless required by applicable law) to notify the tax and social security authorities of the grant of PSU awards, Shares or related events.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Disclosure Requirements</w:t>
      </w:r>
    </w:p>
    <w:p>
      <w:pPr>
        <w:spacing w:after="0" w:line="286" w:lineRule="exact"/>
        <w:rPr>
          <w:sz w:val="20"/>
          <w:szCs w:val="20"/>
          <w:color w:val="auto"/>
        </w:rPr>
      </w:pPr>
    </w:p>
    <w:p>
      <w:pPr>
        <w:jc w:val="both"/>
        <w:ind w:left="20"/>
        <w:spacing w:after="0" w:line="342" w:lineRule="auto"/>
        <w:rPr>
          <w:sz w:val="20"/>
          <w:szCs w:val="20"/>
          <w:color w:val="auto"/>
        </w:rPr>
      </w:pPr>
      <w:r>
        <w:rPr>
          <w:rFonts w:ascii="Arial" w:cs="Arial" w:eastAsia="Arial" w:hAnsi="Arial"/>
          <w:sz w:val="17"/>
          <w:szCs w:val="17"/>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Obligations of the Participant</w:t>
      </w:r>
    </w:p>
    <w:p>
      <w:pPr>
        <w:spacing w:after="0" w:line="299" w:lineRule="exact"/>
        <w:rPr>
          <w:sz w:val="20"/>
          <w:szCs w:val="20"/>
          <w:color w:val="auto"/>
        </w:rPr>
      </w:pPr>
    </w:p>
    <w:p>
      <w:pPr>
        <w:jc w:val="both"/>
        <w:ind w:left="20"/>
        <w:spacing w:after="0" w:line="360" w:lineRule="auto"/>
        <w:rPr>
          <w:sz w:val="20"/>
          <w:szCs w:val="20"/>
          <w:color w:val="auto"/>
        </w:rPr>
      </w:pPr>
      <w:r>
        <w:rPr>
          <w:rFonts w:ascii="Arial" w:cs="Arial" w:eastAsia="Arial" w:hAnsi="Arial"/>
          <w:sz w:val="17"/>
          <w:szCs w:val="17"/>
          <w:color w:val="auto"/>
        </w:rPr>
        <w:t>The Company is entitled to block or prohibit the issuance or release of Shares otherwise due to be issued or released if the Participant has any outstanding obligations (whether in connection</w:t>
      </w:r>
    </w:p>
    <w:p>
      <w:pPr>
        <w:sectPr>
          <w:pgSz w:w="11900" w:h="16838" w:orient="portrait"/>
          <w:cols w:equalWidth="0" w:num="1">
            <w:col w:w="11260"/>
          </w:cols>
          <w:pgMar w:left="300" w:top="202" w:right="339" w:bottom="1440" w:gutter="0" w:footer="0" w:header="0"/>
        </w:sectPr>
      </w:pPr>
    </w:p>
    <w:bookmarkStart w:id="328" w:name="page329"/>
    <w:bookmarkEnd w:id="328"/>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7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with the Plan or otherwise arising in connection with the Participant's employment) to any Group Company, until the Participant has satisfied such outstanding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 and Forfeiture</w:t>
      </w:r>
    </w:p>
    <w:p>
      <w:pPr>
        <w:spacing w:after="0" w:line="273" w:lineRule="exact"/>
        <w:rPr>
          <w:sz w:val="20"/>
          <w:szCs w:val="20"/>
          <w:color w:val="auto"/>
        </w:rPr>
      </w:pPr>
    </w:p>
    <w:p>
      <w:pPr>
        <w:jc w:val="both"/>
        <w:ind w:hanging="6"/>
        <w:spacing w:after="0" w:line="312" w:lineRule="auto"/>
        <w:rPr>
          <w:sz w:val="20"/>
          <w:szCs w:val="20"/>
          <w:color w:val="auto"/>
        </w:rPr>
      </w:pPr>
      <w:r>
        <w:rPr>
          <w:rFonts w:ascii="Arial" w:cs="Arial" w:eastAsia="Arial" w:hAnsi="Arial"/>
          <w:sz w:val="17"/>
          <w:szCs w:val="17"/>
          <w:color w:val="auto"/>
        </w:rPr>
        <w:t>If (i) a Participant's employment is terminated or (ii) another reason for termination occurs, during the Vesting Period, other than through termination by the Participant for cause (wichtige Gründe) within the meaning of Article 337 CO and except as set out in Section 14(b) and (c) below, all PSUs shall cease and be forfeited on the effective date of termination.</w:t>
      </w:r>
    </w:p>
    <w:p>
      <w:pPr>
        <w:spacing w:after="0" w:line="187"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 xml:space="preserve">If a Participant’s employment agreement is terminated by the Company or a Group Company for reasons </w:t>
      </w:r>
      <w:r>
        <w:rPr>
          <w:rFonts w:ascii="Arial" w:cs="Arial" w:eastAsia="Arial" w:hAnsi="Arial"/>
          <w:sz w:val="17"/>
          <w:szCs w:val="17"/>
          <w:i w:val="1"/>
          <w:iCs w:val="1"/>
          <w:color w:val="auto"/>
        </w:rPr>
        <w:t>not</w:t>
      </w:r>
      <w:r>
        <w:rPr>
          <w:rFonts w:ascii="Arial" w:cs="Arial" w:eastAsia="Arial" w:hAnsi="Arial"/>
          <w:sz w:val="17"/>
          <w:szCs w:val="17"/>
          <w:color w:val="auto"/>
        </w:rPr>
        <w:t xml:space="preserve"> pertaining to the Participant,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months employed until Termination Date out of the 36 months vesting period ) shall vest at the end of quarter containing the Termination Date with the remaining PSUs lapsing without further effect. For clarity, the pro rata calculation under this Section 14 shall be determined on a monthly basis (36/36), based on the complete months of employment worked during the Vesting Period.</w:t>
      </w:r>
    </w:p>
    <w:p>
      <w:pPr>
        <w:spacing w:after="0" w:line="197" w:lineRule="exact"/>
        <w:rPr>
          <w:sz w:val="20"/>
          <w:szCs w:val="20"/>
          <w:color w:val="auto"/>
        </w:rPr>
      </w:pPr>
    </w:p>
    <w:p>
      <w:pPr>
        <w:jc w:val="both"/>
        <w:ind w:hanging="2"/>
        <w:spacing w:after="0" w:line="302" w:lineRule="auto"/>
        <w:rPr>
          <w:sz w:val="20"/>
          <w:szCs w:val="20"/>
          <w:color w:val="auto"/>
        </w:rPr>
      </w:pPr>
      <w:r>
        <w:rPr>
          <w:rFonts w:ascii="Arial" w:cs="Arial" w:eastAsia="Arial" w:hAnsi="Arial"/>
          <w:sz w:val="17"/>
          <w:szCs w:val="17"/>
          <w:color w:val="auto"/>
        </w:rPr>
        <w:t xml:space="preserve">If the employment agreement terminates by reason of (i) death, permanent illness or disability of the Participant or (ii) retirement,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months employed until Termination Date out of the 36 months period ) shall vest at the end of quarter containing the Termination Date with the remaining PSUs lapsing without further effect.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is defined as a formal request to fully stop working and to benefit from a State or private monthly pension or cash out retirement plan. Early retirement corresponding to this definition may be considered but not earlier than the day following the 63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birthday</w:t>
      </w:r>
      <w:r>
        <w:rPr>
          <w:rFonts w:ascii="Arial" w:cs="Arial" w:eastAsia="Arial" w:hAnsi="Arial"/>
          <w:sz w:val="17"/>
          <w:szCs w:val="17"/>
          <w:i w:val="1"/>
          <w:iCs w:val="1"/>
          <w:color w:val="auto"/>
        </w:rPr>
        <w:t>.”</w:t>
      </w:r>
    </w:p>
    <w:p>
      <w:pPr>
        <w:spacing w:after="0" w:line="156" w:lineRule="exact"/>
        <w:rPr>
          <w:sz w:val="20"/>
          <w:szCs w:val="20"/>
          <w:color w:val="auto"/>
        </w:rPr>
      </w:pPr>
    </w:p>
    <w:p>
      <w:pPr>
        <w:ind w:firstLine="1"/>
        <w:spacing w:after="0" w:line="375" w:lineRule="auto"/>
        <w:tabs>
          <w:tab w:leader="none" w:pos="59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 the case of (i) here before, the pro rata calculation will be made assuming that employment lasted one year longer (but in any case not longer than the end of the regular three-year Vesting Period).</w:t>
      </w:r>
    </w:p>
    <w:p>
      <w:pPr>
        <w:spacing w:after="0" w:line="149" w:lineRule="exact"/>
        <w:rPr>
          <w:sz w:val="20"/>
          <w:szCs w:val="20"/>
          <w:color w:val="auto"/>
        </w:rPr>
      </w:pPr>
    </w:p>
    <w:p>
      <w:pPr>
        <w:jc w:val="both"/>
        <w:ind w:hanging="6"/>
        <w:spacing w:after="0" w:line="299" w:lineRule="auto"/>
        <w:rPr>
          <w:sz w:val="20"/>
          <w:szCs w:val="20"/>
          <w:color w:val="auto"/>
        </w:rPr>
      </w:pPr>
      <w:r>
        <w:rPr>
          <w:rFonts w:ascii="Arial" w:cs="Arial" w:eastAsia="Arial" w:hAnsi="Arial"/>
          <w:sz w:val="17"/>
          <w:szCs w:val="17"/>
          <w:color w:val="auto"/>
        </w:rPr>
        <w:t>The Board of Directors, based on a recommendation by the Nomination and Compensation Committee, may, taking into consideration the objectives of the Plan, at its sole discretion and with final and binding effect grant further exceptions from the forfeiture as per Section 14 (a) above and assess whether a Participant’s employment agreement was terminated for reasons not pertaining to the Participant pursuant to Section 14(b) above. Two NCC members need to approve and two Management Board members need to approve and sign such specific PSU agreement pursuant to this Section 14(d).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this Plan, a change of control shall mean the occurrence of any of the following events (each a </w:t>
      </w:r>
      <w:r>
        <w:rPr>
          <w:rFonts w:ascii="Arial" w:cs="Arial" w:eastAsia="Arial" w:hAnsi="Arial"/>
          <w:sz w:val="17"/>
          <w:szCs w:val="17"/>
          <w:b w:val="1"/>
          <w:bCs w:val="1"/>
          <w:color w:val="auto"/>
        </w:rPr>
        <w:t>Change of Control</w:t>
      </w:r>
      <w:r>
        <w:rPr>
          <w:rFonts w:ascii="Arial" w:cs="Arial" w:eastAsia="Arial" w:hAnsi="Arial"/>
          <w:sz w:val="17"/>
          <w:szCs w:val="17"/>
          <w:color w:val="auto"/>
        </w:rPr>
        <w:t>):</w:t>
      </w:r>
    </w:p>
    <w:p>
      <w:pPr>
        <w:spacing w:after="0" w:line="311" w:lineRule="exact"/>
        <w:rPr>
          <w:sz w:val="20"/>
          <w:szCs w:val="20"/>
          <w:color w:val="auto"/>
        </w:rPr>
      </w:pPr>
    </w:p>
    <w:p>
      <w:pPr>
        <w:jc w:val="both"/>
        <w:ind w:left="480"/>
        <w:spacing w:after="0" w:line="351" w:lineRule="auto"/>
        <w:rPr>
          <w:sz w:val="20"/>
          <w:szCs w:val="20"/>
          <w:color w:val="auto"/>
        </w:rPr>
      </w:pPr>
      <w:r>
        <w:rPr>
          <w:rFonts w:ascii="Arial" w:cs="Arial" w:eastAsia="Arial" w:hAnsi="Arial"/>
          <w:sz w:val="17"/>
          <w:szCs w:val="17"/>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193" w:lineRule="exact"/>
        <w:rPr>
          <w:sz w:val="20"/>
          <w:szCs w:val="20"/>
          <w:color w:val="auto"/>
        </w:rPr>
      </w:pPr>
    </w:p>
    <w:p>
      <w:pPr>
        <w:jc w:val="both"/>
        <w:ind w:left="480"/>
        <w:spacing w:after="0" w:line="375" w:lineRule="auto"/>
        <w:rPr>
          <w:sz w:val="20"/>
          <w:szCs w:val="20"/>
          <w:color w:val="auto"/>
        </w:rPr>
      </w:pPr>
      <w:r>
        <w:rPr>
          <w:rFonts w:ascii="Arial" w:cs="Arial" w:eastAsia="Arial" w:hAnsi="Arial"/>
          <w:sz w:val="17"/>
          <w:szCs w:val="17"/>
          <w:color w:val="auto"/>
        </w:rPr>
        <w:t>any facts or circumstances that require any person or group of persons acting in concert to launch a mandatory offer within the meaning of applicable takeover- regulations;</w:t>
      </w:r>
    </w:p>
    <w:p>
      <w:pPr>
        <w:sectPr>
          <w:pgSz w:w="11900" w:h="16838" w:orient="portrait"/>
          <w:cols w:equalWidth="0" w:num="1">
            <w:col w:w="11240"/>
          </w:cols>
          <w:pgMar w:left="320" w:top="202" w:right="339" w:bottom="1440" w:gutter="0" w:footer="0" w:header="0"/>
        </w:sectPr>
      </w:pPr>
    </w:p>
    <w:bookmarkStart w:id="329" w:name="page330"/>
    <w:bookmarkEnd w:id="329"/>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8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480"/>
        <w:spacing w:after="0" w:line="351" w:lineRule="auto"/>
        <w:rPr>
          <w:sz w:val="20"/>
          <w:szCs w:val="20"/>
          <w:color w:val="auto"/>
        </w:rPr>
      </w:pPr>
      <w:r>
        <w:rPr>
          <w:rFonts w:ascii="Arial" w:cs="Arial" w:eastAsia="Arial" w:hAnsi="Arial"/>
          <w:sz w:val="17"/>
          <w:szCs w:val="17"/>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193" w:lineRule="exact"/>
        <w:rPr>
          <w:sz w:val="20"/>
          <w:szCs w:val="20"/>
          <w:color w:val="auto"/>
        </w:rPr>
      </w:pPr>
    </w:p>
    <w:p>
      <w:pPr>
        <w:jc w:val="both"/>
        <w:ind w:left="480"/>
        <w:spacing w:after="0" w:line="348" w:lineRule="auto"/>
        <w:rPr>
          <w:sz w:val="20"/>
          <w:szCs w:val="20"/>
          <w:color w:val="auto"/>
        </w:rPr>
      </w:pPr>
      <w:r>
        <w:rPr>
          <w:rFonts w:ascii="Arial" w:cs="Arial" w:eastAsia="Arial" w:hAnsi="Arial"/>
          <w:sz w:val="17"/>
          <w:szCs w:val="17"/>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171"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In the event of a Change of Control of the Company, the following shall apply for all PSUs in respect of which the Vesting Date has not occurred by the date of the Change of Control:</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all PSUs will vest immediately;</w:t>
      </w:r>
    </w:p>
    <w:p>
      <w:pPr>
        <w:spacing w:after="0" w:line="324" w:lineRule="exact"/>
        <w:rPr>
          <w:sz w:val="20"/>
          <w:szCs w:val="20"/>
          <w:color w:val="auto"/>
        </w:rPr>
      </w:pPr>
    </w:p>
    <w:p>
      <w:pPr>
        <w:ind w:left="480"/>
        <w:spacing w:after="0" w:line="360" w:lineRule="auto"/>
        <w:rPr>
          <w:sz w:val="20"/>
          <w:szCs w:val="20"/>
          <w:color w:val="auto"/>
        </w:rPr>
      </w:pPr>
      <w:r>
        <w:rPr>
          <w:rFonts w:ascii="Arial" w:cs="Arial" w:eastAsia="Arial" w:hAnsi="Arial"/>
          <w:sz w:val="17"/>
          <w:szCs w:val="17"/>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186" w:lineRule="exact"/>
        <w:rPr>
          <w:sz w:val="20"/>
          <w:szCs w:val="20"/>
          <w:color w:val="auto"/>
        </w:rPr>
      </w:pPr>
    </w:p>
    <w:p>
      <w:pPr>
        <w:ind w:left="480"/>
        <w:spacing w:after="0" w:line="375" w:lineRule="auto"/>
        <w:rPr>
          <w:sz w:val="20"/>
          <w:szCs w:val="20"/>
          <w:color w:val="auto"/>
        </w:rPr>
      </w:pPr>
      <w:r>
        <w:rPr>
          <w:rFonts w:ascii="Arial" w:cs="Arial" w:eastAsia="Arial" w:hAnsi="Arial"/>
          <w:sz w:val="17"/>
          <w:szCs w:val="17"/>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149" w:lineRule="exact"/>
        <w:rPr>
          <w:sz w:val="20"/>
          <w:szCs w:val="20"/>
          <w:color w:val="auto"/>
        </w:rPr>
      </w:pPr>
    </w:p>
    <w:p>
      <w:pPr>
        <w:jc w:val="both"/>
        <w:ind w:hanging="2"/>
        <w:spacing w:after="0" w:line="301" w:lineRule="auto"/>
        <w:rPr>
          <w:sz w:val="20"/>
          <w:szCs w:val="20"/>
          <w:color w:val="auto"/>
        </w:rPr>
      </w:pPr>
      <w:r>
        <w:rPr>
          <w:rFonts w:ascii="Arial" w:cs="Arial" w:eastAsia="Arial" w:hAnsi="Arial"/>
          <w:sz w:val="17"/>
          <w:szCs w:val="17"/>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10"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Events</w:t>
      </w:r>
    </w:p>
    <w:p>
      <w:pPr>
        <w:spacing w:after="0" w:line="299" w:lineRule="exact"/>
        <w:rPr>
          <w:sz w:val="20"/>
          <w:szCs w:val="20"/>
          <w:color w:val="auto"/>
        </w:rPr>
      </w:pPr>
    </w:p>
    <w:p>
      <w:pPr>
        <w:jc w:val="both"/>
        <w:spacing w:after="0" w:line="348" w:lineRule="auto"/>
        <w:rPr>
          <w:sz w:val="20"/>
          <w:szCs w:val="20"/>
          <w:color w:val="auto"/>
        </w:rPr>
      </w:pPr>
      <w:r>
        <w:rPr>
          <w:rFonts w:ascii="Arial" w:cs="Arial" w:eastAsia="Arial" w:hAnsi="Arial"/>
          <w:sz w:val="17"/>
          <w:szCs w:val="17"/>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w:t>
      </w:r>
    </w:p>
    <w:p>
      <w:pPr>
        <w:sectPr>
          <w:pgSz w:w="11900" w:h="16838" w:orient="portrait"/>
          <w:cols w:equalWidth="0" w:num="1">
            <w:col w:w="11240"/>
          </w:cols>
          <w:pgMar w:left="320" w:top="202" w:right="339" w:bottom="1440" w:gutter="0" w:footer="0" w:header="0"/>
        </w:sectPr>
      </w:pPr>
    </w:p>
    <w:bookmarkStart w:id="330" w:name="page331"/>
    <w:bookmarkEnd w:id="330"/>
    <w:tbl>
      <w:tblPr>
        <w:tblLayout w:type="fixed"/>
        <w:tblInd w:w="20" w:type="dxa"/>
        <w:tblCellMar>
          <w:top w:w="0" w:type="dxa"/>
          <w:left w:w="0" w:type="dxa"/>
          <w:bottom w:w="0" w:type="dxa"/>
          <w:right w:w="0" w:type="dxa"/>
        </w:tblCellMar>
      </w:tblPr>
      <w:tr>
        <w:trPr>
          <w:trHeight w:val="167"/>
        </w:trPr>
        <w:tc>
          <w:tcPr>
            <w:tcW w:w="760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20" w:type="dxa"/>
            <w:vAlign w:val="bottom"/>
          </w:tcPr>
          <w:p>
            <w:pPr>
              <w:jc w:val="right"/>
              <w:spacing w:after="0"/>
              <w:rPr>
                <w:sz w:val="20"/>
                <w:szCs w:val="20"/>
                <w:color w:val="auto"/>
              </w:rPr>
            </w:pPr>
            <w:r>
              <w:rPr>
                <w:rFonts w:ascii="Arial" w:cs="Arial" w:eastAsia="Arial" w:hAnsi="Arial"/>
                <w:sz w:val="13"/>
                <w:szCs w:val="13"/>
                <w:color w:val="auto"/>
              </w:rPr>
              <w:t>9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Protection</w:t>
      </w:r>
    </w:p>
    <w:p>
      <w:pPr>
        <w:spacing w:after="0" w:line="286" w:lineRule="exact"/>
        <w:rPr>
          <w:sz w:val="20"/>
          <w:szCs w:val="20"/>
          <w:color w:val="auto"/>
        </w:rPr>
      </w:pPr>
    </w:p>
    <w:p>
      <w:pPr>
        <w:jc w:val="both"/>
        <w:ind w:hanging="6"/>
        <w:spacing w:after="0" w:line="322" w:lineRule="auto"/>
        <w:rPr>
          <w:sz w:val="20"/>
          <w:szCs w:val="20"/>
          <w:color w:val="auto"/>
        </w:rPr>
      </w:pPr>
      <w:r>
        <w:rPr>
          <w:rFonts w:ascii="Arial" w:cs="Arial" w:eastAsia="Arial" w:hAnsi="Arial"/>
          <w:sz w:val="16"/>
          <w:szCs w:val="16"/>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and any other person or entity the Company may find appropriate for the administration of the Plan. The data may be used by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184"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Each Participant consents to the disclosure of such personal data by any Group Company to the Board of Directors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regulatory restrictions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Neither the Shares nor the PSUs have been or will be registered or listed in any jurisdiction other than, if and to the extent required, Switzerland.</w:t>
      </w:r>
    </w:p>
    <w:p>
      <w:pPr>
        <w:spacing w:after="0" w:line="273" w:lineRule="exact"/>
        <w:rPr>
          <w:sz w:val="20"/>
          <w:szCs w:val="20"/>
          <w:color w:val="auto"/>
        </w:rPr>
      </w:pPr>
    </w:p>
    <w:p>
      <w:pPr>
        <w:jc w:val="both"/>
        <w:ind w:hanging="6"/>
        <w:spacing w:after="0" w:line="295" w:lineRule="auto"/>
        <w:rPr>
          <w:sz w:val="20"/>
          <w:szCs w:val="20"/>
          <w:color w:val="auto"/>
        </w:rPr>
      </w:pPr>
      <w:r>
        <w:rPr>
          <w:rFonts w:ascii="Arial" w:cs="Arial" w:eastAsia="Arial" w:hAnsi="Arial"/>
          <w:sz w:val="17"/>
          <w:szCs w:val="17"/>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05" w:lineRule="exact"/>
        <w:rPr>
          <w:sz w:val="20"/>
          <w:szCs w:val="20"/>
          <w:color w:val="auto"/>
        </w:rPr>
      </w:pPr>
    </w:p>
    <w:p>
      <w:pPr>
        <w:jc w:val="both"/>
        <w:ind w:hanging="2"/>
        <w:spacing w:after="0" w:line="328" w:lineRule="auto"/>
        <w:rPr>
          <w:sz w:val="20"/>
          <w:szCs w:val="20"/>
          <w:color w:val="auto"/>
        </w:rPr>
      </w:pPr>
      <w:r>
        <w:rPr>
          <w:rFonts w:ascii="Arial" w:cs="Arial" w:eastAsia="Arial" w:hAnsi="Arial"/>
          <w:sz w:val="17"/>
          <w:szCs w:val="17"/>
          <w:color w:val="auto"/>
        </w:rPr>
        <w:t>Any Participant shall be required to observe trading or other bans as well as the prohibitions of insider trading and market manipulation in connection with the PSUs and any shares granted thereunder.</w:t>
      </w:r>
    </w:p>
    <w:p>
      <w:pPr>
        <w:spacing w:after="0" w:line="175"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Any grant of PSUs to members of the Management Board that qualifies as prohibited payment under the Compensation Ordinance or otherwise, shall be null and void.</w:t>
      </w:r>
    </w:p>
    <w:p>
      <w:pPr>
        <w:sectPr>
          <w:pgSz w:w="11900" w:h="16838" w:orient="portrait"/>
          <w:cols w:equalWidth="0" w:num="1">
            <w:col w:w="11240"/>
          </w:cols>
          <w:pgMar w:left="320" w:top="203" w:right="339" w:bottom="1440" w:gutter="0" w:footer="0" w:header="0"/>
        </w:sectPr>
      </w:pPr>
    </w:p>
    <w:bookmarkStart w:id="331" w:name="page332"/>
    <w:bookmarkEnd w:id="331"/>
    <w:tbl>
      <w:tblPr>
        <w:tblLayout w:type="fixed"/>
        <w:tblInd w:w="20" w:type="dxa"/>
        <w:tblCellMar>
          <w:top w:w="0" w:type="dxa"/>
          <w:left w:w="0" w:type="dxa"/>
          <w:bottom w:w="0" w:type="dxa"/>
          <w:right w:w="0" w:type="dxa"/>
        </w:tblCellMar>
      </w:tblPr>
      <w:tr>
        <w:trPr>
          <w:trHeight w:val="167"/>
        </w:trPr>
        <w:tc>
          <w:tcPr>
            <w:tcW w:w="7560" w:type="dxa"/>
            <w:vAlign w:val="bottom"/>
          </w:tcPr>
          <w:p>
            <w:pPr>
              <w:spacing w:after="0"/>
              <w:rPr>
                <w:sz w:val="20"/>
                <w:szCs w:val="20"/>
                <w:color w:val="auto"/>
              </w:rPr>
            </w:pPr>
            <w:r>
              <w:rPr>
                <w:rFonts w:ascii="Arial" w:cs="Arial" w:eastAsia="Arial" w:hAnsi="Arial"/>
                <w:sz w:val="13"/>
                <w:szCs w:val="13"/>
                <w:color w:val="auto"/>
              </w:rPr>
              <w:t>Molecular Partners AG: Performance Share Plan 2025 – Management Board</w:t>
            </w:r>
          </w:p>
        </w:tc>
        <w:tc>
          <w:tcPr>
            <w:tcW w:w="3660" w:type="dxa"/>
            <w:vAlign w:val="bottom"/>
          </w:tcPr>
          <w:p>
            <w:pPr>
              <w:jc w:val="right"/>
              <w:spacing w:after="0"/>
              <w:rPr>
                <w:sz w:val="20"/>
                <w:szCs w:val="20"/>
                <w:color w:val="auto"/>
              </w:rPr>
            </w:pPr>
            <w:r>
              <w:rPr>
                <w:rFonts w:ascii="Arial" w:cs="Arial" w:eastAsia="Arial" w:hAnsi="Arial"/>
                <w:sz w:val="13"/>
                <w:szCs w:val="13"/>
                <w:color w:val="auto"/>
              </w:rPr>
              <w:t>10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hanging="6"/>
        <w:spacing w:after="0" w:line="301" w:lineRule="auto"/>
        <w:rPr>
          <w:sz w:val="20"/>
          <w:szCs w:val="20"/>
          <w:color w:val="auto"/>
        </w:rPr>
      </w:pPr>
      <w:r>
        <w:rPr>
          <w:rFonts w:ascii="Arial" w:cs="Arial" w:eastAsia="Arial" w:hAnsi="Arial"/>
          <w:sz w:val="17"/>
          <w:szCs w:val="17"/>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Board in a manner that would violate the Compensation Ordinance or other legal provisions, such additional value shall be otherwise compensated, e.g. by a relevant deduction from cash compensation or other proceeds.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and Termination</w:t>
      </w:r>
    </w:p>
    <w:p>
      <w:pPr>
        <w:spacing w:after="0" w:line="311"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Award Agreement shall be fairly compensated in cash, by adjustment of other terms of the grant, by replacement by other grants or benefits,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Severability</w:t>
      </w:r>
    </w:p>
    <w:p>
      <w:pPr>
        <w:spacing w:after="0" w:line="311"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 and Jurisdiction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This Plan and any PSU Award Agreement shall be governed by, and construed in accordance with, the substantive laws of Switzerland.</w:t>
      </w:r>
    </w:p>
    <w:p>
      <w:pPr>
        <w:spacing w:after="0" w:line="273" w:lineRule="exact"/>
        <w:rPr>
          <w:sz w:val="20"/>
          <w:szCs w:val="20"/>
          <w:color w:val="auto"/>
        </w:rPr>
      </w:pPr>
    </w:p>
    <w:p>
      <w:pPr>
        <w:jc w:val="both"/>
        <w:ind w:hanging="6"/>
        <w:spacing w:after="0" w:line="328" w:lineRule="auto"/>
        <w:rPr>
          <w:sz w:val="20"/>
          <w:szCs w:val="20"/>
          <w:color w:val="auto"/>
        </w:rPr>
      </w:pPr>
      <w:r>
        <w:rPr>
          <w:rFonts w:ascii="Arial" w:cs="Arial" w:eastAsia="Arial" w:hAnsi="Arial"/>
          <w:sz w:val="17"/>
          <w:szCs w:val="17"/>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Entry into Force</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As per approval of the Board of Directors, this Plan shall enter into force as of March 12, 2025.</w:t>
      </w:r>
    </w:p>
    <w:p>
      <w:pPr>
        <w:sectPr>
          <w:pgSz w:w="11900" w:h="16838" w:orient="portrait"/>
          <w:cols w:equalWidth="0" w:num="1">
            <w:col w:w="11240"/>
          </w:cols>
          <w:pgMar w:left="320" w:top="203" w:right="339" w:bottom="1440" w:gutter="0" w:footer="0" w:header="0"/>
        </w:sectPr>
      </w:pPr>
    </w:p>
    <w:bookmarkStart w:id="332" w:name="page333"/>
    <w:bookmarkEnd w:id="332"/>
    <w:p>
      <w:pPr>
        <w:ind w:left="20"/>
        <w:spacing w:after="0"/>
        <w:rPr>
          <w:sz w:val="20"/>
          <w:szCs w:val="20"/>
          <w:color w:val="auto"/>
        </w:rPr>
      </w:pPr>
      <w:r>
        <w:rPr>
          <w:rFonts w:ascii="Arial" w:cs="Arial" w:eastAsia="Arial" w:hAnsi="Arial"/>
          <w:sz w:val="13"/>
          <w:szCs w:val="13"/>
          <w:color w:val="auto"/>
        </w:rPr>
        <w:t>Molecular Partners AG: Performance Share Plan 2025 –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Plan in capitalized form, the following terms shall have the following meaning:</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shall mean the board of directors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shall have the meaning set forth in Section 15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 </w:t>
      </w:r>
      <w:r>
        <w:rPr>
          <w:rFonts w:ascii="Arial" w:cs="Arial" w:eastAsia="Arial" w:hAnsi="Arial"/>
          <w:sz w:val="17"/>
          <w:szCs w:val="17"/>
          <w:color w:val="auto"/>
        </w:rPr>
        <w:t>shall mean the Swiss Code of Obligations as amended.</w:t>
      </w:r>
    </w:p>
    <w:p>
      <w:pPr>
        <w:spacing w:after="0" w:line="172"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shall mean Molecular Partners AG or any successor or replacement company or a new parent company, all as may be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the future.</w:t>
      </w:r>
    </w:p>
    <w:p>
      <w:pPr>
        <w:spacing w:after="0" w:line="48" w:lineRule="exact"/>
        <w:rPr>
          <w:sz w:val="20"/>
          <w:szCs w:val="20"/>
          <w:color w:val="auto"/>
        </w:rPr>
      </w:pPr>
    </w:p>
    <w:p>
      <w:pPr>
        <w:spacing w:after="0" w:line="360" w:lineRule="auto"/>
        <w:rPr>
          <w:sz w:val="20"/>
          <w:szCs w:val="20"/>
          <w:color w:val="auto"/>
        </w:rPr>
      </w:pPr>
      <w:r>
        <w:rPr>
          <w:rFonts w:ascii="Arial" w:cs="Arial" w:eastAsia="Arial" w:hAnsi="Arial"/>
          <w:sz w:val="17"/>
          <w:szCs w:val="17"/>
          <w:b w:val="1"/>
          <w:bCs w:val="1"/>
          <w:color w:val="auto"/>
        </w:rPr>
        <w:t xml:space="preserve">Compensation Ordinance </w:t>
      </w:r>
      <w:r>
        <w:rPr>
          <w:rFonts w:ascii="Arial" w:cs="Arial" w:eastAsia="Arial" w:hAnsi="Arial"/>
          <w:sz w:val="17"/>
          <w:szCs w:val="17"/>
          <w:color w:val="auto"/>
        </w:rPr>
        <w:t>shall mean the Federal Ordinance against Excessive Compensation in Listed Companies of November 20, 2013,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amended or replaced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Goal </w:t>
      </w:r>
      <w:r>
        <w:rPr>
          <w:rFonts w:ascii="Arial" w:cs="Arial" w:eastAsia="Arial" w:hAnsi="Arial"/>
          <w:sz w:val="17"/>
          <w:szCs w:val="17"/>
          <w:color w:val="auto"/>
        </w:rPr>
        <w:t>shall have the meaning set forth in Section 10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Date </w:t>
      </w:r>
      <w:r>
        <w:rPr>
          <w:rFonts w:ascii="Arial" w:cs="Arial" w:eastAsia="Arial" w:hAnsi="Arial"/>
          <w:sz w:val="17"/>
          <w:szCs w:val="17"/>
          <w:color w:val="auto"/>
        </w:rPr>
        <w:t>shall have the meaning set forth in Section 5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w:t>
      </w:r>
      <w:r>
        <w:rPr>
          <w:rFonts w:ascii="Arial" w:cs="Arial" w:eastAsia="Arial" w:hAnsi="Arial"/>
          <w:sz w:val="17"/>
          <w:szCs w:val="17"/>
          <w:color w:val="auto"/>
        </w:rPr>
        <w:t>shall mean all Group Companies.</w:t>
      </w:r>
    </w:p>
    <w:p>
      <w:pPr>
        <w:spacing w:after="0" w:line="184" w:lineRule="exact"/>
        <w:rPr>
          <w:sz w:val="20"/>
          <w:szCs w:val="20"/>
          <w:color w:val="auto"/>
        </w:rPr>
      </w:pPr>
    </w:p>
    <w:p>
      <w:pPr>
        <w:spacing w:after="0" w:line="360" w:lineRule="auto"/>
        <w:rPr>
          <w:sz w:val="20"/>
          <w:szCs w:val="20"/>
          <w:color w:val="auto"/>
        </w:rPr>
      </w:pPr>
      <w:r>
        <w:rPr>
          <w:rFonts w:ascii="Arial" w:cs="Arial" w:eastAsia="Arial" w:hAnsi="Arial"/>
          <w:sz w:val="17"/>
          <w:szCs w:val="17"/>
          <w:b w:val="1"/>
          <w:bCs w:val="1"/>
          <w:color w:val="auto"/>
        </w:rPr>
        <w:t xml:space="preserve">Group Company </w:t>
      </w:r>
      <w:r>
        <w:rPr>
          <w:rFonts w:ascii="Arial" w:cs="Arial" w:eastAsia="Arial" w:hAnsi="Arial"/>
          <w:sz w:val="17"/>
          <w:szCs w:val="17"/>
          <w:color w:val="auto"/>
        </w:rPr>
        <w:t>shall mean the Company and any company or entity of which at least 50% of the ownership or voting rights are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owned or otherwise controlled by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LTI Score Card </w:t>
      </w:r>
      <w:r>
        <w:rPr>
          <w:rFonts w:ascii="Arial" w:cs="Arial" w:eastAsia="Arial" w:hAnsi="Arial"/>
          <w:sz w:val="17"/>
          <w:szCs w:val="17"/>
          <w:color w:val="auto"/>
        </w:rPr>
        <w:t>shall have the meaning set forth in Section 10 above.</w:t>
      </w:r>
    </w:p>
    <w:p>
      <w:pPr>
        <w:spacing w:after="0" w:line="172"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Management Board </w:t>
      </w:r>
      <w:r>
        <w:rPr>
          <w:rFonts w:ascii="Arial" w:cs="Arial" w:eastAsia="Arial" w:hAnsi="Arial"/>
          <w:sz w:val="17"/>
          <w:szCs w:val="17"/>
          <w:color w:val="auto"/>
        </w:rPr>
        <w:t>shall mean the members of the top level executive management, i.e. those managers whose compensation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Ordinance.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Nomination and Compensation Committee </w:t>
      </w:r>
      <w:r>
        <w:rPr>
          <w:rFonts w:ascii="Arial" w:cs="Arial" w:eastAsia="Arial" w:hAnsi="Arial"/>
          <w:sz w:val="17"/>
          <w:szCs w:val="17"/>
          <w:color w:val="auto"/>
        </w:rPr>
        <w:t>shall have the meaning set forth in Section 3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shall mean any eligible person to whom the Company has granted PSUs through a PSU Award Agreement based on this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shall have the meaning set forth in Section 1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Service Provider </w:t>
      </w:r>
      <w:r>
        <w:rPr>
          <w:rFonts w:ascii="Arial" w:cs="Arial" w:eastAsia="Arial" w:hAnsi="Arial"/>
          <w:sz w:val="17"/>
          <w:szCs w:val="17"/>
          <w:color w:val="auto"/>
        </w:rPr>
        <w:t>shall have the meaning set forth in Section 3 (e)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PSU </w:t>
      </w:r>
      <w:r>
        <w:rPr>
          <w:rFonts w:ascii="Arial" w:cs="Arial" w:eastAsia="Arial" w:hAnsi="Arial"/>
          <w:sz w:val="17"/>
          <w:szCs w:val="17"/>
          <w:color w:val="auto"/>
        </w:rPr>
        <w:t>shall have the meaning set forth in Section 1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PSU Award Agreement </w:t>
      </w:r>
      <w:r>
        <w:rPr>
          <w:rFonts w:ascii="Arial" w:cs="Arial" w:eastAsia="Arial" w:hAnsi="Arial"/>
          <w:sz w:val="17"/>
          <w:szCs w:val="17"/>
          <w:color w:val="auto"/>
        </w:rPr>
        <w:t>shall have the meaning set forth in Section 4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Shares </w:t>
      </w:r>
      <w:r>
        <w:rPr>
          <w:rFonts w:ascii="Arial" w:cs="Arial" w:eastAsia="Arial" w:hAnsi="Arial"/>
          <w:sz w:val="17"/>
          <w:szCs w:val="17"/>
          <w:color w:val="auto"/>
        </w:rPr>
        <w:t>shall have the meaning set forth in Section 9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Date </w:t>
      </w:r>
      <w:r>
        <w:rPr>
          <w:rFonts w:ascii="Arial" w:cs="Arial" w:eastAsia="Arial" w:hAnsi="Arial"/>
          <w:sz w:val="17"/>
          <w:szCs w:val="17"/>
          <w:color w:val="auto"/>
        </w:rPr>
        <w:t>shall have the meaning set forth in Section 8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Multiple </w:t>
      </w:r>
      <w:r>
        <w:rPr>
          <w:rFonts w:ascii="Arial" w:cs="Arial" w:eastAsia="Arial" w:hAnsi="Arial"/>
          <w:sz w:val="17"/>
          <w:szCs w:val="17"/>
          <w:color w:val="auto"/>
        </w:rPr>
        <w:t>shall be the multiple determined in accordance with Section 10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Period </w:t>
      </w:r>
      <w:r>
        <w:rPr>
          <w:rFonts w:ascii="Arial" w:cs="Arial" w:eastAsia="Arial" w:hAnsi="Arial"/>
          <w:sz w:val="17"/>
          <w:szCs w:val="17"/>
          <w:color w:val="auto"/>
        </w:rPr>
        <w:t>shall have the meaning set forth in Section 8 above.</w:t>
      </w:r>
    </w:p>
    <w:p>
      <w:pPr>
        <w:sectPr>
          <w:pgSz w:w="11900" w:h="16838" w:orient="portrait"/>
          <w:cols w:equalWidth="0" w:num="1">
            <w:col w:w="11240"/>
          </w:cols>
          <w:pgMar w:left="320" w:top="203" w:right="339" w:bottom="1440" w:gutter="0" w:footer="0" w:header="0"/>
        </w:sectPr>
      </w:pPr>
    </w:p>
    <w:bookmarkStart w:id="333" w:name="page334"/>
    <w:bookmarkEnd w:id="333"/>
    <w:p>
      <w:pPr>
        <w:ind w:left="20"/>
        <w:spacing w:after="0"/>
        <w:rPr>
          <w:sz w:val="20"/>
          <w:szCs w:val="20"/>
          <w:color w:val="auto"/>
        </w:rPr>
      </w:pPr>
      <w:r>
        <w:rPr>
          <w:rFonts w:ascii="Arial" w:cs="Arial" w:eastAsia="Arial" w:hAnsi="Arial"/>
          <w:sz w:val="13"/>
          <w:szCs w:val="13"/>
          <w:color w:val="auto"/>
        </w:rPr>
        <w:t>Molecular Partners AG: Performance Share Plan 2025 –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PSU Award Agreement 2025</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the Grant Date set forth below by and between Molecular Partners AG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«first_name» «last_name», «address», «Address3» «Address2» </w:t>
      </w:r>
      <w:r>
        <w:rPr>
          <w:rFonts w:ascii="Arial" w:cs="Arial" w:eastAsia="Arial" w:hAnsi="Arial"/>
          <w:sz w:val="17"/>
          <w:szCs w:val="17"/>
          <w:color w:val="auto"/>
        </w:rPr>
        <w:t>(t (the</w:t>
      </w:r>
      <w:r>
        <w:rPr>
          <w:rFonts w:ascii="Arial" w:cs="Arial" w:eastAsia="Arial" w:hAnsi="Arial"/>
          <w:sz w:val="17"/>
          <w:szCs w:val="17"/>
          <w:b w:val="1"/>
          <w:bCs w:val="1"/>
          <w:color w:val="auto"/>
        </w:rPr>
        <w:t xml:space="preserve"> Participant</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connection with the Performance Share Plan 2025 for Management Board (the </w:t>
      </w:r>
      <w:r>
        <w:rPr>
          <w:rFonts w:ascii="Arial" w:cs="Arial" w:eastAsia="Arial" w:hAnsi="Arial"/>
          <w:sz w:val="17"/>
          <w:szCs w:val="17"/>
          <w:b w:val="1"/>
          <w:bCs w:val="1"/>
          <w:color w:val="auto"/>
        </w:rPr>
        <w:t>PSU Plan</w:t>
      </w:r>
      <w:r>
        <w:rPr>
          <w:rFonts w:ascii="Arial" w:cs="Arial" w:eastAsia="Arial" w:hAnsi="Arial"/>
          <w:sz w:val="17"/>
          <w:szCs w:val="17"/>
          <w:color w:val="auto"/>
        </w:rPr>
        <w:t>), issued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 assigned to them in the PSU Plan. Subject to the terms and conditions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PSU Plan, the Company hereby grants to you the following PSUs:</w:t>
      </w:r>
    </w:p>
    <w:p>
      <w:pPr>
        <w:spacing w:after="0" w:line="303" w:lineRule="exact"/>
        <w:rPr>
          <w:sz w:val="20"/>
          <w:szCs w:val="20"/>
          <w:color w:val="auto"/>
        </w:rPr>
      </w:pPr>
    </w:p>
    <w:tbl>
      <w:tblPr>
        <w:tblLayout w:type="fixed"/>
        <w:tblInd w:w="260" w:type="dxa"/>
        <w:tblCellMar>
          <w:top w:w="0" w:type="dxa"/>
          <w:left w:w="0" w:type="dxa"/>
          <w:bottom w:w="0" w:type="dxa"/>
          <w:right w:w="0" w:type="dxa"/>
        </w:tblCellMar>
      </w:tblPr>
      <w:tr>
        <w:trPr>
          <w:trHeight w:val="341"/>
        </w:trPr>
        <w:tc>
          <w:tcPr>
            <w:tcW w:w="2980" w:type="dxa"/>
            <w:vAlign w:val="bottom"/>
          </w:tcPr>
          <w:p>
            <w:pPr>
              <w:spacing w:after="0"/>
              <w:rPr>
                <w:sz w:val="20"/>
                <w:szCs w:val="20"/>
                <w:color w:val="auto"/>
              </w:rPr>
            </w:pPr>
            <w:r>
              <w:rPr>
                <w:rFonts w:ascii="Arial" w:cs="Arial" w:eastAsia="Arial" w:hAnsi="Arial"/>
                <w:sz w:val="17"/>
                <w:szCs w:val="17"/>
                <w:b w:val="1"/>
                <w:bCs w:val="1"/>
                <w:color w:val="auto"/>
              </w:rPr>
              <w:t>Number of PSUs</w:t>
            </w:r>
          </w:p>
        </w:tc>
        <w:tc>
          <w:tcPr>
            <w:tcW w:w="7320" w:type="dxa"/>
            <w:vAlign w:val="bottom"/>
            <w:shd w:val="clear" w:color="auto" w:fill="D9D9D9"/>
          </w:tcPr>
          <w:p>
            <w:pPr>
              <w:ind w:left="40"/>
              <w:spacing w:after="0"/>
              <w:rPr>
                <w:sz w:val="20"/>
                <w:szCs w:val="20"/>
                <w:color w:val="auto"/>
              </w:rPr>
            </w:pPr>
            <w:r>
              <w:rPr>
                <w:rFonts w:ascii="Arial" w:cs="Arial" w:eastAsia="Arial" w:hAnsi="Arial"/>
                <w:sz w:val="17"/>
                <w:szCs w:val="17"/>
                <w:color w:val="auto"/>
              </w:rPr>
              <w:t>«total_final_no_of_PSUs»</w:t>
            </w:r>
          </w:p>
        </w:tc>
      </w:tr>
      <w:tr>
        <w:trPr>
          <w:trHeight w:val="456"/>
        </w:trPr>
        <w:tc>
          <w:tcPr>
            <w:tcW w:w="298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7320" w:type="dxa"/>
            <w:vAlign w:val="bottom"/>
            <w:shd w:val="clear" w:color="auto" w:fill="D9D9D9"/>
          </w:tcPr>
          <w:p>
            <w:pPr>
              <w:ind w:left="40"/>
              <w:spacing w:after="0"/>
              <w:rPr>
                <w:sz w:val="20"/>
                <w:szCs w:val="20"/>
                <w:color w:val="auto"/>
              </w:rPr>
            </w:pPr>
            <w:r>
              <w:rPr>
                <w:rFonts w:ascii="Arial" w:cs="Arial" w:eastAsia="Arial" w:hAnsi="Arial"/>
                <w:sz w:val="17"/>
                <w:szCs w:val="17"/>
                <w:color w:val="auto"/>
              </w:rPr>
              <w:t>«Grant_Date»</w:t>
            </w:r>
          </w:p>
        </w:tc>
      </w:tr>
      <w:tr>
        <w:trPr>
          <w:trHeight w:val="456"/>
        </w:trPr>
        <w:tc>
          <w:tcPr>
            <w:tcW w:w="2980" w:type="dxa"/>
            <w:vAlign w:val="bottom"/>
          </w:tcPr>
          <w:p>
            <w:pPr>
              <w:spacing w:after="0"/>
              <w:rPr>
                <w:sz w:val="20"/>
                <w:szCs w:val="20"/>
                <w:color w:val="auto"/>
              </w:rPr>
            </w:pPr>
            <w:r>
              <w:rPr>
                <w:rFonts w:ascii="Arial" w:cs="Arial" w:eastAsia="Arial" w:hAnsi="Arial"/>
                <w:sz w:val="17"/>
                <w:szCs w:val="17"/>
                <w:b w:val="1"/>
                <w:bCs w:val="1"/>
                <w:color w:val="auto"/>
              </w:rPr>
              <w:t>Start Vesting Date</w:t>
            </w:r>
          </w:p>
        </w:tc>
        <w:tc>
          <w:tcPr>
            <w:tcW w:w="7320" w:type="dxa"/>
            <w:vAlign w:val="bottom"/>
            <w:shd w:val="clear" w:color="auto" w:fill="D9D9D9"/>
          </w:tcPr>
          <w:p>
            <w:pPr>
              <w:ind w:left="40"/>
              <w:spacing w:after="0"/>
              <w:rPr>
                <w:sz w:val="20"/>
                <w:szCs w:val="20"/>
                <w:color w:val="auto"/>
              </w:rPr>
            </w:pPr>
            <w:r>
              <w:rPr>
                <w:rFonts w:ascii="Arial" w:cs="Arial" w:eastAsia="Arial" w:hAnsi="Arial"/>
                <w:sz w:val="17"/>
                <w:szCs w:val="17"/>
                <w:color w:val="auto"/>
              </w:rPr>
              <w:t>«Start_Vesting»</w:t>
            </w:r>
          </w:p>
        </w:tc>
      </w:tr>
      <w:tr>
        <w:trPr>
          <w:trHeight w:val="456"/>
        </w:trPr>
        <w:tc>
          <w:tcPr>
            <w:tcW w:w="2980" w:type="dxa"/>
            <w:vAlign w:val="bottom"/>
          </w:tcPr>
          <w:p>
            <w:pPr>
              <w:spacing w:after="0"/>
              <w:rPr>
                <w:sz w:val="20"/>
                <w:szCs w:val="20"/>
                <w:color w:val="auto"/>
              </w:rPr>
            </w:pPr>
            <w:r>
              <w:rPr>
                <w:rFonts w:ascii="Arial" w:cs="Arial" w:eastAsia="Arial" w:hAnsi="Arial"/>
                <w:sz w:val="17"/>
                <w:szCs w:val="17"/>
                <w:b w:val="1"/>
                <w:bCs w:val="1"/>
                <w:color w:val="auto"/>
              </w:rPr>
              <w:t>Vesting Date</w:t>
            </w:r>
          </w:p>
        </w:tc>
        <w:tc>
          <w:tcPr>
            <w:tcW w:w="7320" w:type="dxa"/>
            <w:vAlign w:val="bottom"/>
            <w:shd w:val="clear" w:color="auto" w:fill="D9D9D9"/>
          </w:tcPr>
          <w:p>
            <w:pPr>
              <w:ind w:left="40"/>
              <w:spacing w:after="0"/>
              <w:rPr>
                <w:sz w:val="20"/>
                <w:szCs w:val="20"/>
                <w:color w:val="auto"/>
              </w:rPr>
            </w:pPr>
            <w:r>
              <w:rPr>
                <w:rFonts w:ascii="Arial" w:cs="Arial" w:eastAsia="Arial" w:hAnsi="Arial"/>
                <w:sz w:val="17"/>
                <w:szCs w:val="17"/>
                <w:color w:val="auto"/>
              </w:rPr>
              <w:t>«End_Vesting_1»</w:t>
            </w:r>
          </w:p>
        </w:tc>
      </w:tr>
      <w:tr>
        <w:trPr>
          <w:trHeight w:val="456"/>
        </w:trPr>
        <w:tc>
          <w:tcPr>
            <w:tcW w:w="2980" w:type="dxa"/>
            <w:vAlign w:val="bottom"/>
          </w:tcPr>
          <w:p>
            <w:pPr>
              <w:spacing w:after="0"/>
              <w:rPr>
                <w:sz w:val="20"/>
                <w:szCs w:val="20"/>
                <w:color w:val="auto"/>
              </w:rPr>
            </w:pPr>
            <w:r>
              <w:rPr>
                <w:rFonts w:ascii="Arial" w:cs="Arial" w:eastAsia="Arial" w:hAnsi="Arial"/>
                <w:sz w:val="17"/>
                <w:szCs w:val="17"/>
                <w:b w:val="1"/>
                <w:bCs w:val="1"/>
                <w:color w:val="auto"/>
              </w:rPr>
              <w:t>Agreement number</w:t>
            </w:r>
          </w:p>
        </w:tc>
        <w:tc>
          <w:tcPr>
            <w:tcW w:w="7320" w:type="dxa"/>
            <w:vAlign w:val="bottom"/>
            <w:shd w:val="clear" w:color="auto" w:fill="D9D9D9"/>
          </w:tcPr>
          <w:p>
            <w:pPr>
              <w:ind w:left="40"/>
              <w:spacing w:after="0"/>
              <w:rPr>
                <w:sz w:val="20"/>
                <w:szCs w:val="20"/>
                <w:color w:val="auto"/>
              </w:rPr>
            </w:pPr>
            <w:r>
              <w:rPr>
                <w:rFonts w:ascii="Arial" w:cs="Arial" w:eastAsia="Arial" w:hAnsi="Arial"/>
                <w:sz w:val="17"/>
                <w:szCs w:val="17"/>
                <w:color w:val="auto"/>
              </w:rPr>
              <w:t>«Agreement_no»</w:t>
            </w:r>
          </w:p>
        </w:tc>
      </w:tr>
      <w:tr>
        <w:trPr>
          <w:trHeight w:val="115"/>
        </w:trPr>
        <w:tc>
          <w:tcPr>
            <w:tcW w:w="2980" w:type="dxa"/>
            <w:vAlign w:val="bottom"/>
          </w:tcPr>
          <w:p>
            <w:pPr>
              <w:spacing w:after="0"/>
              <w:rPr>
                <w:sz w:val="10"/>
                <w:szCs w:val="10"/>
                <w:color w:val="auto"/>
              </w:rPr>
            </w:pPr>
          </w:p>
        </w:tc>
        <w:tc>
          <w:tcPr>
            <w:tcW w:w="7320" w:type="dxa"/>
            <w:vAlign w:val="bottom"/>
            <w:shd w:val="clear" w:color="auto" w:fill="D9D9D9"/>
          </w:tcPr>
          <w:p>
            <w:pPr>
              <w:spacing w:after="0"/>
              <w:rPr>
                <w:sz w:val="10"/>
                <w:szCs w:val="10"/>
                <w:color w:val="auto"/>
              </w:rPr>
            </w:pPr>
          </w:p>
        </w:tc>
      </w:tr>
    </w:tbl>
    <w:p>
      <w:pPr>
        <w:spacing w:after="0" w:line="3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The PSU Plan and the LTI Score Card have separately been brought to the Participant's attention prior to entering into this Agreement and the Participant hereby acknowledges to have taken notice of the PSU Plan and the LTI Score Card (available on on MPConnect, Our People, LTI_PSU). Please note that the PSU Plan includes a number of restrictions and conditions, which may lead to a complete loss of any entitlements hereunder. Any grants made to you as a member of the Management Board shall be subject to the approval of relevant compensation amounts for the Management Board by the shareholders' meeting for the year 2025.</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By entering this Agreement, you accept the grant of the PSUs in accordance with this Agreement and the PSU Plan. In order to do so, please tick the Accept button in your Credit Suisse e-banking login within the next 10 days.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18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Molecular Partners AG</w:t>
      </w:r>
    </w:p>
    <w:p>
      <w:pPr>
        <w:spacing w:after="0" w:line="260"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Patrick Amstutz, CEO</w:t>
      </w:r>
      <w:r>
        <w:rPr>
          <w:sz w:val="20"/>
          <w:szCs w:val="20"/>
          <w:color w:val="auto"/>
        </w:rPr>
        <w:tab/>
      </w:r>
      <w:r>
        <w:rPr>
          <w:rFonts w:ascii="Arial" w:cs="Arial" w:eastAsia="Arial" w:hAnsi="Arial"/>
          <w:sz w:val="16"/>
          <w:szCs w:val="16"/>
          <w:color w:val="auto"/>
        </w:rPr>
        <w:t>Robert Hendriks, SVP Finance</w:t>
      </w:r>
    </w:p>
    <w:p>
      <w:pPr>
        <w:sectPr>
          <w:pgSz w:w="11900" w:h="16838" w:orient="portrait"/>
          <w:cols w:equalWidth="0" w:num="1">
            <w:col w:w="11240"/>
          </w:cols>
          <w:pgMar w:left="320" w:top="202" w:right="339" w:bottom="1440" w:gutter="0" w:footer="0" w:header="0"/>
        </w:sectPr>
      </w:pPr>
    </w:p>
    <w:bookmarkStart w:id="334" w:name="page335"/>
    <w:bookmarkEnd w:id="334"/>
    <w:p>
      <w:pPr>
        <w:spacing w:after="0"/>
        <w:tabs>
          <w:tab w:leader="none" w:pos="10580" w:val="left"/>
        </w:tabs>
        <w:rPr>
          <w:sz w:val="20"/>
          <w:szCs w:val="20"/>
          <w:color w:val="auto"/>
        </w:rPr>
      </w:pPr>
      <w:r>
        <w:rPr>
          <w:rFonts w:ascii="Arial" w:cs="Arial" w:eastAsia="Arial" w:hAnsi="Arial"/>
          <w:sz w:val="13"/>
          <w:szCs w:val="13"/>
          <w:color w:val="auto"/>
        </w:rPr>
        <w:t>Molecular Partners AG: Restricted Share Plan 2025</w:t>
      </w:r>
      <w:r>
        <w:rPr>
          <w:sz w:val="20"/>
          <w:szCs w:val="20"/>
          <w:color w:val="auto"/>
        </w:rPr>
        <w:tab/>
      </w:r>
      <w:r>
        <w:rPr>
          <w:rFonts w:ascii="Arial" w:cs="Arial" w:eastAsia="Arial" w:hAnsi="Arial"/>
          <w:sz w:val="11"/>
          <w:szCs w:val="11"/>
          <w:color w:val="auto"/>
        </w:rPr>
        <w:t>Exhibit 4.29</w:t>
      </w:r>
    </w:p>
    <w:p>
      <w:pPr>
        <w:sectPr>
          <w:pgSz w:w="11900" w:h="16838" w:orient="portrait"/>
          <w:cols w:equalWidth="0" w:num="1">
            <w:col w:w="11220"/>
          </w:cols>
          <w:pgMar w:left="340" w:top="1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00"/>
        <w:spacing w:after="0"/>
        <w:rPr>
          <w:sz w:val="20"/>
          <w:szCs w:val="20"/>
          <w:color w:val="auto"/>
        </w:rPr>
      </w:pPr>
      <w:r>
        <w:rPr>
          <w:rFonts w:ascii="Arial" w:cs="Arial" w:eastAsia="Arial" w:hAnsi="Arial"/>
          <w:sz w:val="26"/>
          <w:szCs w:val="26"/>
          <w:b w:val="1"/>
          <w:bCs w:val="1"/>
          <w:color w:val="auto"/>
        </w:rPr>
        <w:t>Restricted Share Plan 2025</w:t>
      </w:r>
    </w:p>
    <w:p>
      <w:pPr>
        <w:sectPr>
          <w:pgSz w:w="11900" w:h="16838" w:orient="portrait"/>
          <w:cols w:equalWidth="0" w:num="1">
            <w:col w:w="11220"/>
          </w:cols>
          <w:pgMar w:left="340" w:top="199" w:right="339" w:bottom="1440" w:gutter="0" w:footer="0" w:header="0"/>
          <w:type w:val="continuous"/>
        </w:sectPr>
      </w:pPr>
    </w:p>
    <w:bookmarkStart w:id="335" w:name="page336"/>
    <w:bookmarkEnd w:id="335"/>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19"/>
                <w:szCs w:val="19"/>
                <w:color w:val="auto"/>
              </w:rPr>
              <w:t>1.</w:t>
            </w:r>
          </w:p>
        </w:tc>
        <w:tc>
          <w:tcPr>
            <w:tcW w:w="7060" w:type="dxa"/>
            <w:vAlign w:val="bottom"/>
          </w:tcPr>
          <w:p>
            <w:pPr>
              <w:ind w:left="60"/>
              <w:spacing w:after="0"/>
              <w:rPr>
                <w:sz w:val="20"/>
                <w:szCs w:val="20"/>
                <w:color w:val="auto"/>
              </w:rPr>
            </w:pPr>
            <w:r>
              <w:rPr>
                <w:rFonts w:ascii="Arial" w:cs="Arial" w:eastAsia="Arial" w:hAnsi="Arial"/>
                <w:sz w:val="19"/>
                <w:szCs w:val="19"/>
                <w:color w:val="auto"/>
              </w:rPr>
              <w:t>Restricted Share Plan 2025</w:t>
            </w:r>
          </w:p>
        </w:tc>
        <w:tc>
          <w:tcPr>
            <w:tcW w:w="38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w:t>
            </w:r>
          </w:p>
        </w:tc>
        <w:tc>
          <w:tcPr>
            <w:tcW w:w="7060" w:type="dxa"/>
            <w:vAlign w:val="bottom"/>
          </w:tcPr>
          <w:p>
            <w:pPr>
              <w:ind w:left="60"/>
              <w:spacing w:after="0"/>
              <w:rPr>
                <w:sz w:val="20"/>
                <w:szCs w:val="20"/>
                <w:color w:val="auto"/>
              </w:rPr>
            </w:pPr>
            <w:r>
              <w:rPr>
                <w:rFonts w:ascii="Arial" w:cs="Arial" w:eastAsia="Arial" w:hAnsi="Arial"/>
                <w:sz w:val="19"/>
                <w:szCs w:val="19"/>
                <w:color w:val="auto"/>
              </w:rPr>
              <w:t>Purpose</w:t>
            </w:r>
          </w:p>
        </w:tc>
        <w:tc>
          <w:tcPr>
            <w:tcW w:w="38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2.</w:t>
            </w:r>
          </w:p>
        </w:tc>
        <w:tc>
          <w:tcPr>
            <w:tcW w:w="7060" w:type="dxa"/>
            <w:vAlign w:val="bottom"/>
          </w:tcPr>
          <w:p>
            <w:pPr>
              <w:ind w:left="60"/>
              <w:spacing w:after="0"/>
              <w:rPr>
                <w:sz w:val="20"/>
                <w:szCs w:val="20"/>
                <w:color w:val="auto"/>
              </w:rPr>
            </w:pPr>
            <w:r>
              <w:rPr>
                <w:rFonts w:ascii="Arial" w:cs="Arial" w:eastAsia="Arial" w:hAnsi="Arial"/>
                <w:sz w:val="19"/>
                <w:szCs w:val="19"/>
                <w:color w:val="auto"/>
              </w:rPr>
              <w:t>Definitions and Interpretation</w:t>
            </w:r>
          </w:p>
        </w:tc>
        <w:tc>
          <w:tcPr>
            <w:tcW w:w="38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3.</w:t>
            </w:r>
          </w:p>
        </w:tc>
        <w:tc>
          <w:tcPr>
            <w:tcW w:w="7060" w:type="dxa"/>
            <w:vAlign w:val="bottom"/>
          </w:tcPr>
          <w:p>
            <w:pPr>
              <w:ind w:left="60"/>
              <w:spacing w:after="0"/>
              <w:rPr>
                <w:sz w:val="20"/>
                <w:szCs w:val="20"/>
                <w:color w:val="auto"/>
              </w:rPr>
            </w:pPr>
            <w:r>
              <w:rPr>
                <w:rFonts w:ascii="Arial" w:cs="Arial" w:eastAsia="Arial" w:hAnsi="Arial"/>
                <w:sz w:val="19"/>
                <w:szCs w:val="19"/>
                <w:color w:val="auto"/>
              </w:rPr>
              <w:t>Responsibilities and Administration</w:t>
            </w:r>
          </w:p>
        </w:tc>
        <w:tc>
          <w:tcPr>
            <w:tcW w:w="38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4.</w:t>
            </w:r>
          </w:p>
        </w:tc>
        <w:tc>
          <w:tcPr>
            <w:tcW w:w="7060" w:type="dxa"/>
            <w:vAlign w:val="bottom"/>
          </w:tcPr>
          <w:p>
            <w:pPr>
              <w:ind w:left="60"/>
              <w:spacing w:after="0"/>
              <w:rPr>
                <w:sz w:val="20"/>
                <w:szCs w:val="20"/>
                <w:color w:val="auto"/>
              </w:rPr>
            </w:pPr>
            <w:r>
              <w:rPr>
                <w:rFonts w:ascii="Arial" w:cs="Arial" w:eastAsia="Arial" w:hAnsi="Arial"/>
                <w:sz w:val="19"/>
                <w:szCs w:val="19"/>
                <w:color w:val="auto"/>
              </w:rPr>
              <w:t>Eligibility and Participation</w:t>
            </w:r>
          </w:p>
        </w:tc>
        <w:tc>
          <w:tcPr>
            <w:tcW w:w="38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5.</w:t>
            </w:r>
          </w:p>
        </w:tc>
        <w:tc>
          <w:tcPr>
            <w:tcW w:w="7060" w:type="dxa"/>
            <w:vAlign w:val="bottom"/>
          </w:tcPr>
          <w:p>
            <w:pPr>
              <w:ind w:left="60"/>
              <w:spacing w:after="0"/>
              <w:rPr>
                <w:sz w:val="20"/>
                <w:szCs w:val="20"/>
                <w:color w:val="auto"/>
              </w:rPr>
            </w:pPr>
            <w:r>
              <w:rPr>
                <w:rFonts w:ascii="Arial" w:cs="Arial" w:eastAsia="Arial" w:hAnsi="Arial"/>
                <w:sz w:val="19"/>
                <w:szCs w:val="19"/>
                <w:color w:val="auto"/>
              </w:rPr>
              <w:t>Grant of RSUs</w:t>
            </w:r>
          </w:p>
        </w:tc>
        <w:tc>
          <w:tcPr>
            <w:tcW w:w="384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6.</w:t>
            </w:r>
          </w:p>
        </w:tc>
        <w:tc>
          <w:tcPr>
            <w:tcW w:w="7060" w:type="dxa"/>
            <w:vAlign w:val="bottom"/>
          </w:tcPr>
          <w:p>
            <w:pPr>
              <w:ind w:left="60"/>
              <w:spacing w:after="0"/>
              <w:rPr>
                <w:sz w:val="20"/>
                <w:szCs w:val="20"/>
                <w:color w:val="auto"/>
              </w:rPr>
            </w:pPr>
            <w:r>
              <w:rPr>
                <w:rFonts w:ascii="Arial" w:cs="Arial" w:eastAsia="Arial" w:hAnsi="Arial"/>
                <w:sz w:val="19"/>
                <w:szCs w:val="19"/>
                <w:color w:val="auto"/>
              </w:rPr>
              <w:t>No Securities</w:t>
            </w:r>
          </w:p>
        </w:tc>
        <w:tc>
          <w:tcPr>
            <w:tcW w:w="38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7.</w:t>
            </w:r>
          </w:p>
        </w:tc>
        <w:tc>
          <w:tcPr>
            <w:tcW w:w="7060" w:type="dxa"/>
            <w:vAlign w:val="bottom"/>
          </w:tcPr>
          <w:p>
            <w:pPr>
              <w:ind w:left="60"/>
              <w:spacing w:after="0"/>
              <w:rPr>
                <w:sz w:val="20"/>
                <w:szCs w:val="20"/>
                <w:color w:val="auto"/>
              </w:rPr>
            </w:pPr>
            <w:r>
              <w:rPr>
                <w:rFonts w:ascii="Arial" w:cs="Arial" w:eastAsia="Arial" w:hAnsi="Arial"/>
                <w:sz w:val="19"/>
                <w:szCs w:val="19"/>
                <w:color w:val="auto"/>
              </w:rPr>
              <w:t>No Transfer</w:t>
            </w:r>
          </w:p>
        </w:tc>
        <w:tc>
          <w:tcPr>
            <w:tcW w:w="38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8.</w:t>
            </w:r>
          </w:p>
        </w:tc>
        <w:tc>
          <w:tcPr>
            <w:tcW w:w="7060" w:type="dxa"/>
            <w:vAlign w:val="bottom"/>
          </w:tcPr>
          <w:p>
            <w:pPr>
              <w:ind w:left="60"/>
              <w:spacing w:after="0"/>
              <w:rPr>
                <w:sz w:val="20"/>
                <w:szCs w:val="20"/>
                <w:color w:val="auto"/>
              </w:rPr>
            </w:pPr>
            <w:r>
              <w:rPr>
                <w:rFonts w:ascii="Arial" w:cs="Arial" w:eastAsia="Arial" w:hAnsi="Arial"/>
                <w:sz w:val="19"/>
                <w:szCs w:val="19"/>
                <w:color w:val="auto"/>
              </w:rPr>
              <w:t>Vesting and Delivery of Shares</w:t>
            </w:r>
          </w:p>
        </w:tc>
        <w:tc>
          <w:tcPr>
            <w:tcW w:w="38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9.</w:t>
            </w:r>
          </w:p>
        </w:tc>
        <w:tc>
          <w:tcPr>
            <w:tcW w:w="7060" w:type="dxa"/>
            <w:vAlign w:val="bottom"/>
          </w:tcPr>
          <w:p>
            <w:pPr>
              <w:ind w:left="60"/>
              <w:spacing w:after="0"/>
              <w:rPr>
                <w:sz w:val="20"/>
                <w:szCs w:val="20"/>
                <w:color w:val="auto"/>
              </w:rPr>
            </w:pPr>
            <w:r>
              <w:rPr>
                <w:rFonts w:ascii="Arial" w:cs="Arial" w:eastAsia="Arial" w:hAnsi="Arial"/>
                <w:sz w:val="19"/>
                <w:szCs w:val="19"/>
                <w:color w:val="auto"/>
              </w:rPr>
              <w:t>Underlying Shares</w:t>
            </w:r>
          </w:p>
        </w:tc>
        <w:tc>
          <w:tcPr>
            <w:tcW w:w="38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10.</w:t>
            </w:r>
          </w:p>
        </w:tc>
        <w:tc>
          <w:tcPr>
            <w:tcW w:w="7060" w:type="dxa"/>
            <w:vAlign w:val="bottom"/>
          </w:tcPr>
          <w:p>
            <w:pPr>
              <w:ind w:left="160"/>
              <w:spacing w:after="0"/>
              <w:rPr>
                <w:sz w:val="20"/>
                <w:szCs w:val="20"/>
                <w:color w:val="auto"/>
              </w:rPr>
            </w:pPr>
            <w:r>
              <w:rPr>
                <w:rFonts w:ascii="Arial" w:cs="Arial" w:eastAsia="Arial" w:hAnsi="Arial"/>
                <w:sz w:val="19"/>
                <w:szCs w:val="19"/>
                <w:color w:val="auto"/>
              </w:rPr>
              <w:t>Taxes and Social Security Contributions</w:t>
            </w:r>
          </w:p>
        </w:tc>
        <w:tc>
          <w:tcPr>
            <w:tcW w:w="38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11.</w:t>
            </w:r>
          </w:p>
        </w:tc>
        <w:tc>
          <w:tcPr>
            <w:tcW w:w="7060" w:type="dxa"/>
            <w:vAlign w:val="bottom"/>
          </w:tcPr>
          <w:p>
            <w:pPr>
              <w:ind w:left="140"/>
              <w:spacing w:after="0"/>
              <w:rPr>
                <w:sz w:val="20"/>
                <w:szCs w:val="20"/>
                <w:color w:val="auto"/>
              </w:rPr>
            </w:pPr>
            <w:r>
              <w:rPr>
                <w:rFonts w:ascii="Arial" w:cs="Arial" w:eastAsia="Arial" w:hAnsi="Arial"/>
                <w:sz w:val="19"/>
                <w:szCs w:val="19"/>
                <w:color w:val="auto"/>
              </w:rPr>
              <w:t>Disclosure Requirements</w:t>
            </w:r>
          </w:p>
        </w:tc>
        <w:tc>
          <w:tcPr>
            <w:tcW w:w="38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12.</w:t>
            </w:r>
          </w:p>
        </w:tc>
        <w:tc>
          <w:tcPr>
            <w:tcW w:w="7060" w:type="dxa"/>
            <w:vAlign w:val="bottom"/>
          </w:tcPr>
          <w:p>
            <w:pPr>
              <w:ind w:left="160"/>
              <w:spacing w:after="0"/>
              <w:rPr>
                <w:sz w:val="20"/>
                <w:szCs w:val="20"/>
                <w:color w:val="auto"/>
              </w:rPr>
            </w:pPr>
            <w:r>
              <w:rPr>
                <w:rFonts w:ascii="Arial" w:cs="Arial" w:eastAsia="Arial" w:hAnsi="Arial"/>
                <w:sz w:val="19"/>
                <w:szCs w:val="19"/>
                <w:color w:val="auto"/>
              </w:rPr>
              <w:t>Other Obligations of the Participant</w:t>
            </w:r>
          </w:p>
        </w:tc>
        <w:tc>
          <w:tcPr>
            <w:tcW w:w="38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13.</w:t>
            </w:r>
          </w:p>
        </w:tc>
        <w:tc>
          <w:tcPr>
            <w:tcW w:w="7060" w:type="dxa"/>
            <w:vAlign w:val="bottom"/>
          </w:tcPr>
          <w:p>
            <w:pPr>
              <w:ind w:left="160"/>
              <w:spacing w:after="0"/>
              <w:rPr>
                <w:sz w:val="20"/>
                <w:szCs w:val="20"/>
                <w:color w:val="auto"/>
              </w:rPr>
            </w:pPr>
            <w:r>
              <w:rPr>
                <w:rFonts w:ascii="Arial" w:cs="Arial" w:eastAsia="Arial" w:hAnsi="Arial"/>
                <w:sz w:val="19"/>
                <w:szCs w:val="19"/>
                <w:color w:val="auto"/>
              </w:rPr>
              <w:t>Termination of Relationship</w:t>
            </w:r>
          </w:p>
        </w:tc>
        <w:tc>
          <w:tcPr>
            <w:tcW w:w="38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14.</w:t>
            </w:r>
          </w:p>
        </w:tc>
        <w:tc>
          <w:tcPr>
            <w:tcW w:w="7060" w:type="dxa"/>
            <w:vAlign w:val="bottom"/>
          </w:tcPr>
          <w:p>
            <w:pPr>
              <w:ind w:left="160"/>
              <w:spacing w:after="0"/>
              <w:rPr>
                <w:sz w:val="20"/>
                <w:szCs w:val="20"/>
                <w:color w:val="auto"/>
              </w:rPr>
            </w:pPr>
            <w:r>
              <w:rPr>
                <w:rFonts w:ascii="Arial" w:cs="Arial" w:eastAsia="Arial" w:hAnsi="Arial"/>
                <w:sz w:val="19"/>
                <w:szCs w:val="19"/>
                <w:color w:val="auto"/>
              </w:rPr>
              <w:t>Change of Control</w:t>
            </w:r>
          </w:p>
        </w:tc>
        <w:tc>
          <w:tcPr>
            <w:tcW w:w="38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15.</w:t>
            </w:r>
          </w:p>
        </w:tc>
        <w:tc>
          <w:tcPr>
            <w:tcW w:w="7060" w:type="dxa"/>
            <w:vAlign w:val="bottom"/>
          </w:tcPr>
          <w:p>
            <w:pPr>
              <w:ind w:left="160"/>
              <w:spacing w:after="0"/>
              <w:rPr>
                <w:sz w:val="20"/>
                <w:szCs w:val="20"/>
                <w:color w:val="auto"/>
              </w:rPr>
            </w:pPr>
            <w:r>
              <w:rPr>
                <w:rFonts w:ascii="Arial" w:cs="Arial" w:eastAsia="Arial" w:hAnsi="Arial"/>
                <w:sz w:val="19"/>
                <w:szCs w:val="19"/>
                <w:color w:val="auto"/>
              </w:rPr>
              <w:t>Corporate Events</w:t>
            </w:r>
          </w:p>
        </w:tc>
        <w:tc>
          <w:tcPr>
            <w:tcW w:w="38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16.</w:t>
            </w:r>
          </w:p>
        </w:tc>
        <w:tc>
          <w:tcPr>
            <w:tcW w:w="7060" w:type="dxa"/>
            <w:vAlign w:val="bottom"/>
          </w:tcPr>
          <w:p>
            <w:pPr>
              <w:ind w:left="160"/>
              <w:spacing w:after="0"/>
              <w:rPr>
                <w:sz w:val="20"/>
                <w:szCs w:val="20"/>
                <w:color w:val="auto"/>
              </w:rPr>
            </w:pPr>
            <w:r>
              <w:rPr>
                <w:rFonts w:ascii="Arial" w:cs="Arial" w:eastAsia="Arial" w:hAnsi="Arial"/>
                <w:sz w:val="19"/>
                <w:szCs w:val="19"/>
                <w:color w:val="auto"/>
              </w:rPr>
              <w:t>Data Protection</w:t>
            </w:r>
          </w:p>
        </w:tc>
        <w:tc>
          <w:tcPr>
            <w:tcW w:w="38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17.</w:t>
            </w:r>
          </w:p>
        </w:tc>
        <w:tc>
          <w:tcPr>
            <w:tcW w:w="7060" w:type="dxa"/>
            <w:vAlign w:val="bottom"/>
          </w:tcPr>
          <w:p>
            <w:pPr>
              <w:ind w:left="160"/>
              <w:spacing w:after="0"/>
              <w:rPr>
                <w:sz w:val="20"/>
                <w:szCs w:val="20"/>
                <w:color w:val="auto"/>
              </w:rPr>
            </w:pPr>
            <w:r>
              <w:rPr>
                <w:rFonts w:ascii="Arial" w:cs="Arial" w:eastAsia="Arial" w:hAnsi="Arial"/>
                <w:sz w:val="19"/>
                <w:szCs w:val="19"/>
                <w:color w:val="auto"/>
              </w:rPr>
              <w:t>Legal and regulatory restrictions</w:t>
            </w:r>
          </w:p>
        </w:tc>
        <w:tc>
          <w:tcPr>
            <w:tcW w:w="38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18.</w:t>
            </w:r>
          </w:p>
        </w:tc>
        <w:tc>
          <w:tcPr>
            <w:tcW w:w="7060" w:type="dxa"/>
            <w:vAlign w:val="bottom"/>
          </w:tcPr>
          <w:p>
            <w:pPr>
              <w:ind w:left="160"/>
              <w:spacing w:after="0"/>
              <w:rPr>
                <w:sz w:val="20"/>
                <w:szCs w:val="20"/>
                <w:color w:val="auto"/>
              </w:rPr>
            </w:pPr>
            <w:r>
              <w:rPr>
                <w:rFonts w:ascii="Arial" w:cs="Arial" w:eastAsia="Arial" w:hAnsi="Arial"/>
                <w:sz w:val="19"/>
                <w:szCs w:val="19"/>
                <w:color w:val="auto"/>
              </w:rPr>
              <w:t>Amendment and Termination</w:t>
            </w:r>
          </w:p>
        </w:tc>
        <w:tc>
          <w:tcPr>
            <w:tcW w:w="38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19.</w:t>
            </w:r>
          </w:p>
        </w:tc>
        <w:tc>
          <w:tcPr>
            <w:tcW w:w="7060" w:type="dxa"/>
            <w:vAlign w:val="bottom"/>
          </w:tcPr>
          <w:p>
            <w:pPr>
              <w:ind w:left="160"/>
              <w:spacing w:after="0"/>
              <w:rPr>
                <w:sz w:val="20"/>
                <w:szCs w:val="20"/>
                <w:color w:val="auto"/>
              </w:rPr>
            </w:pPr>
            <w:r>
              <w:rPr>
                <w:rFonts w:ascii="Arial" w:cs="Arial" w:eastAsia="Arial" w:hAnsi="Arial"/>
                <w:sz w:val="19"/>
                <w:szCs w:val="19"/>
                <w:color w:val="auto"/>
              </w:rPr>
              <w:t>Severability</w:t>
            </w:r>
          </w:p>
        </w:tc>
        <w:tc>
          <w:tcPr>
            <w:tcW w:w="38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20.</w:t>
            </w:r>
          </w:p>
        </w:tc>
        <w:tc>
          <w:tcPr>
            <w:tcW w:w="7060" w:type="dxa"/>
            <w:vAlign w:val="bottom"/>
          </w:tcPr>
          <w:p>
            <w:pPr>
              <w:ind w:left="160"/>
              <w:spacing w:after="0"/>
              <w:rPr>
                <w:sz w:val="20"/>
                <w:szCs w:val="20"/>
                <w:color w:val="auto"/>
              </w:rPr>
            </w:pPr>
            <w:r>
              <w:rPr>
                <w:rFonts w:ascii="Arial" w:cs="Arial" w:eastAsia="Arial" w:hAnsi="Arial"/>
                <w:sz w:val="19"/>
                <w:szCs w:val="19"/>
                <w:color w:val="auto"/>
              </w:rPr>
              <w:t>Governing Law and Jurisdiction</w:t>
            </w:r>
          </w:p>
        </w:tc>
        <w:tc>
          <w:tcPr>
            <w:tcW w:w="38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53"/>
        </w:trPr>
        <w:tc>
          <w:tcPr>
            <w:tcW w:w="300" w:type="dxa"/>
            <w:vAlign w:val="bottom"/>
          </w:tcPr>
          <w:p>
            <w:pPr>
              <w:spacing w:after="0"/>
              <w:rPr>
                <w:sz w:val="20"/>
                <w:szCs w:val="20"/>
                <w:color w:val="auto"/>
              </w:rPr>
            </w:pPr>
            <w:r>
              <w:rPr>
                <w:rFonts w:ascii="Arial" w:cs="Arial" w:eastAsia="Arial" w:hAnsi="Arial"/>
                <w:sz w:val="19"/>
                <w:szCs w:val="19"/>
                <w:color w:val="auto"/>
              </w:rPr>
              <w:t>21.</w:t>
            </w:r>
          </w:p>
        </w:tc>
        <w:tc>
          <w:tcPr>
            <w:tcW w:w="7060" w:type="dxa"/>
            <w:vAlign w:val="bottom"/>
          </w:tcPr>
          <w:p>
            <w:pPr>
              <w:ind w:left="160"/>
              <w:spacing w:after="0"/>
              <w:rPr>
                <w:sz w:val="20"/>
                <w:szCs w:val="20"/>
                <w:color w:val="auto"/>
              </w:rPr>
            </w:pPr>
            <w:r>
              <w:rPr>
                <w:rFonts w:ascii="Arial" w:cs="Arial" w:eastAsia="Arial" w:hAnsi="Arial"/>
                <w:sz w:val="19"/>
                <w:szCs w:val="19"/>
                <w:color w:val="auto"/>
              </w:rPr>
              <w:t>Entry into Force</w:t>
            </w:r>
          </w:p>
        </w:tc>
        <w:tc>
          <w:tcPr>
            <w:tcW w:w="3840" w:type="dxa"/>
            <w:vAlign w:val="bottom"/>
          </w:tcPr>
          <w:p>
            <w:pPr>
              <w:jc w:val="right"/>
              <w:spacing w:after="0"/>
              <w:rPr>
                <w:sz w:val="20"/>
                <w:szCs w:val="20"/>
                <w:color w:val="auto"/>
              </w:rPr>
            </w:pPr>
            <w:r>
              <w:rPr>
                <w:rFonts w:ascii="Arial" w:cs="Arial" w:eastAsia="Arial" w:hAnsi="Arial"/>
                <w:sz w:val="19"/>
                <w:szCs w:val="19"/>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Annex 1: Definitions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Annex 2: Form of RSU Award Agreement</w:t>
      </w:r>
    </w:p>
    <w:p>
      <w:pPr>
        <w:sectPr>
          <w:pgSz w:w="11900" w:h="16838" w:orient="portrait"/>
          <w:cols w:equalWidth="0" w:num="1">
            <w:col w:w="11240"/>
          </w:cols>
          <w:pgMar w:left="320" w:top="202" w:right="339" w:bottom="1440" w:gutter="0" w:footer="0" w:header="0"/>
        </w:sectPr>
      </w:pPr>
    </w:p>
    <w:bookmarkStart w:id="336" w:name="page337"/>
    <w:bookmarkEnd w:id="336"/>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3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0" w:hanging="599"/>
        <w:spacing w:after="0"/>
        <w:tabs>
          <w:tab w:leader="none" w:pos="600" w:val="left"/>
        </w:tabs>
        <w:numPr>
          <w:ilvl w:val="0"/>
          <w:numId w:val="290"/>
        </w:numPr>
        <w:rPr>
          <w:rFonts w:ascii="Arial" w:cs="Arial" w:eastAsia="Arial" w:hAnsi="Arial"/>
          <w:sz w:val="20"/>
          <w:szCs w:val="20"/>
          <w:b w:val="1"/>
          <w:bCs w:val="1"/>
          <w:color w:val="auto"/>
        </w:rPr>
      </w:pPr>
      <w:r>
        <w:rPr>
          <w:rFonts w:ascii="Arial" w:cs="Arial" w:eastAsia="Arial" w:hAnsi="Arial"/>
          <w:sz w:val="24"/>
          <w:szCs w:val="24"/>
          <w:b w:val="1"/>
          <w:bCs w:val="1"/>
          <w:color w:val="auto"/>
        </w:rPr>
        <w:t>Restricted Share Plan 2025</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311" w:lineRule="exact"/>
        <w:rPr>
          <w:sz w:val="20"/>
          <w:szCs w:val="20"/>
          <w:color w:val="auto"/>
        </w:rPr>
      </w:pPr>
    </w:p>
    <w:p>
      <w:pPr>
        <w:jc w:val="both"/>
        <w:spacing w:after="0" w:line="355" w:lineRule="auto"/>
        <w:rPr>
          <w:sz w:val="20"/>
          <w:szCs w:val="20"/>
          <w:color w:val="auto"/>
        </w:rPr>
      </w:pPr>
      <w:r>
        <w:rPr>
          <w:rFonts w:ascii="Arial" w:cs="Arial" w:eastAsia="Arial" w:hAnsi="Arial"/>
          <w:sz w:val="17"/>
          <w:szCs w:val="17"/>
          <w:color w:val="auto"/>
        </w:rPr>
        <w:t>The purpose of this restricted share plan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7"/>
          <w:szCs w:val="17"/>
          <w:b w:val="1"/>
          <w:bCs w:val="1"/>
          <w:color w:val="auto"/>
        </w:rPr>
        <w:t>RSU</w:t>
      </w:r>
      <w:r>
        <w:rPr>
          <w:rFonts w:ascii="Arial" w:cs="Arial" w:eastAsia="Arial" w:hAnsi="Arial"/>
          <w:sz w:val="17"/>
          <w:szCs w:val="17"/>
          <w:color w:val="auto"/>
        </w:rPr>
        <w:t>) to them.</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and Interpretation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Capitalized terms used in this Plan shall have the meaning set forth in </w:t>
      </w:r>
      <w:r>
        <w:rPr>
          <w:rFonts w:ascii="Arial" w:cs="Arial" w:eastAsia="Arial" w:hAnsi="Arial"/>
          <w:sz w:val="17"/>
          <w:szCs w:val="17"/>
          <w:u w:val="single" w:color="auto"/>
          <w:color w:val="auto"/>
        </w:rPr>
        <w:t>Annex 1</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Responsibilities and Administration</w:t>
      </w:r>
    </w:p>
    <w:p>
      <w:pPr>
        <w:spacing w:after="0" w:line="299" w:lineRule="exact"/>
        <w:rPr>
          <w:sz w:val="20"/>
          <w:szCs w:val="20"/>
          <w:color w:val="auto"/>
        </w:rPr>
      </w:pPr>
    </w:p>
    <w:p>
      <w:pPr>
        <w:jc w:val="both"/>
        <w:ind w:hanging="6"/>
        <w:spacing w:after="0" w:line="348" w:lineRule="auto"/>
        <w:rPr>
          <w:sz w:val="20"/>
          <w:szCs w:val="20"/>
          <w:color w:val="auto"/>
        </w:rPr>
      </w:pPr>
      <w:r>
        <w:rPr>
          <w:rFonts w:ascii="Arial" w:cs="Arial" w:eastAsia="Arial" w:hAnsi="Arial"/>
          <w:sz w:val="17"/>
          <w:szCs w:val="17"/>
          <w:color w:val="auto"/>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7"/>
          <w:szCs w:val="17"/>
          <w:b w:val="1"/>
          <w:bCs w:val="1"/>
          <w:color w:val="auto"/>
        </w:rPr>
        <w:t>Nomination and Compensation Committee</w:t>
      </w:r>
      <w:r>
        <w:rPr>
          <w:rFonts w:ascii="Arial" w:cs="Arial" w:eastAsia="Arial" w:hAnsi="Arial"/>
          <w:sz w:val="17"/>
          <w:szCs w:val="17"/>
          <w:color w:val="auto"/>
        </w:rPr>
        <w:t>), the maximum number of RSUs that may be granted under this Plan.</w:t>
      </w:r>
    </w:p>
    <w:p>
      <w:pPr>
        <w:spacing w:after="0" w:line="196" w:lineRule="exact"/>
        <w:rPr>
          <w:sz w:val="20"/>
          <w:szCs w:val="20"/>
          <w:color w:val="auto"/>
        </w:rPr>
      </w:pPr>
    </w:p>
    <w:p>
      <w:pPr>
        <w:jc w:val="both"/>
        <w:ind w:hanging="6"/>
        <w:spacing w:after="0" w:line="351" w:lineRule="auto"/>
        <w:rPr>
          <w:sz w:val="20"/>
          <w:szCs w:val="20"/>
          <w:color w:val="auto"/>
        </w:rPr>
      </w:pPr>
      <w:r>
        <w:rPr>
          <w:rFonts w:ascii="Arial" w:cs="Arial" w:eastAsia="Arial" w:hAnsi="Arial"/>
          <w:sz w:val="17"/>
          <w:szCs w:val="17"/>
          <w:color w:val="auto"/>
        </w:rPr>
        <w:t>The Nomination and Compensation Committee shall be responsible for the implementation and administration of the Plan and shall make recommendations to amend, renew or terminate the Plan or to replace it with new editions or other plans. It may delegate, under its supervision, the implementation and administration, as well as grants of RSUs other than to members of the Board of Directors to one or several administrators (</w:t>
      </w:r>
      <w:r>
        <w:rPr>
          <w:rFonts w:ascii="Arial" w:cs="Arial" w:eastAsia="Arial" w:hAnsi="Arial"/>
          <w:sz w:val="17"/>
          <w:szCs w:val="17"/>
          <w:b w:val="1"/>
          <w:bCs w:val="1"/>
          <w:color w:val="auto"/>
        </w:rPr>
        <w:t>Administrator</w:t>
      </w:r>
      <w:r>
        <w:rPr>
          <w:rFonts w:ascii="Arial" w:cs="Arial" w:eastAsia="Arial" w:hAnsi="Arial"/>
          <w:sz w:val="17"/>
          <w:szCs w:val="17"/>
          <w:color w:val="auto"/>
        </w:rPr>
        <w:t>).</w:t>
      </w:r>
    </w:p>
    <w:p>
      <w:pPr>
        <w:spacing w:after="0" w:line="186" w:lineRule="exact"/>
        <w:rPr>
          <w:sz w:val="20"/>
          <w:szCs w:val="20"/>
          <w:color w:val="auto"/>
        </w:rPr>
      </w:pPr>
    </w:p>
    <w:p>
      <w:pPr>
        <w:jc w:val="both"/>
        <w:ind w:hanging="2"/>
        <w:spacing w:after="0" w:line="342" w:lineRule="auto"/>
        <w:rPr>
          <w:sz w:val="20"/>
          <w:szCs w:val="20"/>
          <w:color w:val="auto"/>
        </w:rPr>
      </w:pPr>
      <w:r>
        <w:rPr>
          <w:rFonts w:ascii="Arial" w:cs="Arial" w:eastAsia="Arial" w:hAnsi="Arial"/>
          <w:sz w:val="17"/>
          <w:szCs w:val="17"/>
          <w:color w:val="auto"/>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spacing w:after="0" w:line="216" w:lineRule="exact"/>
        <w:rPr>
          <w:sz w:val="20"/>
          <w:szCs w:val="20"/>
          <w:color w:val="auto"/>
        </w:rPr>
      </w:pPr>
    </w:p>
    <w:p>
      <w:pPr>
        <w:jc w:val="both"/>
        <w:ind w:hanging="6"/>
        <w:spacing w:after="0" w:line="351" w:lineRule="auto"/>
        <w:rPr>
          <w:sz w:val="20"/>
          <w:szCs w:val="20"/>
          <w:color w:val="auto"/>
        </w:rPr>
      </w:pPr>
      <w:r>
        <w:rPr>
          <w:rFonts w:ascii="Arial" w:cs="Arial" w:eastAsia="Arial" w:hAnsi="Arial"/>
          <w:sz w:val="17"/>
          <w:szCs w:val="17"/>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193" w:lineRule="exact"/>
        <w:rPr>
          <w:sz w:val="20"/>
          <w:szCs w:val="20"/>
          <w:color w:val="auto"/>
        </w:rPr>
      </w:pPr>
    </w:p>
    <w:p>
      <w:pPr>
        <w:jc w:val="both"/>
        <w:ind w:hanging="6"/>
        <w:spacing w:after="0" w:line="375" w:lineRule="auto"/>
        <w:rPr>
          <w:sz w:val="20"/>
          <w:szCs w:val="20"/>
          <w:color w:val="auto"/>
        </w:rPr>
      </w:pPr>
      <w:r>
        <w:rPr>
          <w:rFonts w:ascii="Arial" w:cs="Arial" w:eastAsia="Arial" w:hAnsi="Arial"/>
          <w:sz w:val="17"/>
          <w:szCs w:val="17"/>
          <w:color w:val="auto"/>
        </w:rPr>
        <w:t>Any technical or administrative task in connection with the Plan may be outsourced by the Nomination and Compensation Committee or the relevant Administrator to a third party service</w:t>
      </w:r>
    </w:p>
    <w:p>
      <w:pPr>
        <w:sectPr>
          <w:pgSz w:w="11900" w:h="16838" w:orient="portrait"/>
          <w:cols w:equalWidth="0" w:num="1">
            <w:col w:w="11240"/>
          </w:cols>
          <w:pgMar w:left="320" w:top="202" w:right="339" w:bottom="1440" w:gutter="0" w:footer="0" w:header="0"/>
        </w:sectPr>
      </w:pPr>
    </w:p>
    <w:bookmarkStart w:id="337" w:name="page338"/>
    <w:bookmarkEnd w:id="337"/>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4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provider, e.g. the bank in charge with the creation of the Shares (each a </w:t>
      </w:r>
      <w:r>
        <w:rPr>
          <w:rFonts w:ascii="Arial" w:cs="Arial" w:eastAsia="Arial" w:hAnsi="Arial"/>
          <w:sz w:val="17"/>
          <w:szCs w:val="17"/>
          <w:b w:val="1"/>
          <w:bCs w:val="1"/>
          <w:color w:val="auto"/>
        </w:rPr>
        <w:t>Plan Service Provider</w:t>
      </w:r>
      <w:r>
        <w:rPr>
          <w:rFonts w:ascii="Arial" w:cs="Arial" w:eastAsia="Arial" w:hAnsi="Arial"/>
          <w:sz w:val="17"/>
          <w:szCs w:val="17"/>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 and Participation</w:t>
      </w:r>
    </w:p>
    <w:p>
      <w:pPr>
        <w:spacing w:after="0" w:line="311" w:lineRule="exact"/>
        <w:rPr>
          <w:sz w:val="20"/>
          <w:szCs w:val="20"/>
          <w:color w:val="auto"/>
        </w:rPr>
      </w:pPr>
    </w:p>
    <w:p>
      <w:pPr>
        <w:jc w:val="both"/>
        <w:ind w:hanging="6"/>
        <w:spacing w:after="0" w:line="360" w:lineRule="auto"/>
        <w:rPr>
          <w:sz w:val="20"/>
          <w:szCs w:val="20"/>
          <w:color w:val="auto"/>
        </w:rPr>
      </w:pPr>
      <w:r>
        <w:rPr>
          <w:rFonts w:ascii="Arial" w:cs="Arial" w:eastAsia="Arial" w:hAnsi="Arial"/>
          <w:sz w:val="17"/>
          <w:szCs w:val="17"/>
          <w:color w:val="auto"/>
        </w:rPr>
        <w:t>As a rule, members of the Board of Directors and selected consultants may become eligible to participate in this Plan. The decision on eligibility is reserved to the Nomination and Compensation Committee or, other than to members of the Board of Directors, the relevant Administrator.</w:t>
      </w:r>
    </w:p>
    <w:p>
      <w:pPr>
        <w:spacing w:after="0" w:line="199" w:lineRule="exact"/>
        <w:rPr>
          <w:sz w:val="20"/>
          <w:szCs w:val="20"/>
          <w:color w:val="auto"/>
        </w:rPr>
      </w:pPr>
    </w:p>
    <w:p>
      <w:pPr>
        <w:jc w:val="both"/>
        <w:ind w:hanging="6"/>
        <w:spacing w:after="0" w:line="345" w:lineRule="auto"/>
        <w:rPr>
          <w:sz w:val="20"/>
          <w:szCs w:val="20"/>
          <w:color w:val="auto"/>
        </w:rPr>
      </w:pPr>
      <w:r>
        <w:rPr>
          <w:rFonts w:ascii="Arial" w:cs="Arial" w:eastAsia="Arial" w:hAnsi="Arial"/>
          <w:sz w:val="17"/>
          <w:szCs w:val="17"/>
          <w:color w:val="auto"/>
        </w:rPr>
        <w:t>Nothing in this Plan shall provide any rights to eligible persons or any other person nor create any obligation of the Company to grant RSUs based on this Plan or otherwise. This Plan is only applicable in connection with a mutually signed RSU award agreement (</w:t>
      </w:r>
      <w:r>
        <w:rPr>
          <w:rFonts w:ascii="Arial" w:cs="Arial" w:eastAsia="Arial" w:hAnsi="Arial"/>
          <w:sz w:val="17"/>
          <w:szCs w:val="17"/>
          <w:b w:val="1"/>
          <w:bCs w:val="1"/>
          <w:color w:val="auto"/>
        </w:rPr>
        <w:t>RSU Award Agreement</w:t>
      </w:r>
      <w:r>
        <w:rPr>
          <w:rFonts w:ascii="Arial" w:cs="Arial" w:eastAsia="Arial" w:hAnsi="Arial"/>
          <w:sz w:val="17"/>
          <w:szCs w:val="17"/>
          <w:color w:val="auto"/>
        </w:rPr>
        <w:t xml:space="preserve">) among the Company (or the relevant Group Company) and the eligible person, substantially in the form attached hereto as Annex 2. The right to receive RSUs shall accrue exclusively to those eligible persons who have, in accordance with this Plan, been duly and validly offered and have signed and returned their individual RSU Award Agreement by the relevant due date (each a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191" w:lineRule="exact"/>
        <w:rPr>
          <w:sz w:val="20"/>
          <w:szCs w:val="20"/>
          <w:color w:val="auto"/>
        </w:rPr>
      </w:pPr>
    </w:p>
    <w:p>
      <w:pPr>
        <w:jc w:val="both"/>
        <w:ind w:hanging="2"/>
        <w:spacing w:after="0" w:line="351" w:lineRule="auto"/>
        <w:rPr>
          <w:sz w:val="20"/>
          <w:szCs w:val="20"/>
          <w:color w:val="auto"/>
        </w:rPr>
      </w:pPr>
      <w:r>
        <w:rPr>
          <w:rFonts w:ascii="Arial" w:cs="Arial" w:eastAsia="Arial" w:hAnsi="Arial"/>
          <w:sz w:val="17"/>
          <w:szCs w:val="17"/>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06" w:lineRule="exact"/>
        <w:rPr>
          <w:sz w:val="20"/>
          <w:szCs w:val="20"/>
          <w:color w:val="auto"/>
        </w:rPr>
      </w:pPr>
    </w:p>
    <w:p>
      <w:pPr>
        <w:jc w:val="both"/>
        <w:ind w:hanging="6"/>
        <w:spacing w:after="0" w:line="360" w:lineRule="auto"/>
        <w:rPr>
          <w:sz w:val="20"/>
          <w:szCs w:val="20"/>
          <w:color w:val="auto"/>
        </w:rPr>
      </w:pPr>
      <w:r>
        <w:rPr>
          <w:rFonts w:ascii="Arial" w:cs="Arial" w:eastAsia="Arial" w:hAnsi="Arial"/>
          <w:sz w:val="17"/>
          <w:szCs w:val="17"/>
          <w:color w:val="auto"/>
        </w:rPr>
        <w:t>Neither the grant of RSUs, nor the transfer of Shares in connection with this Plan shall confer upon any Participant any right to a continued Relationship with any Group Company.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of RSUs</w:t>
      </w:r>
    </w:p>
    <w:p>
      <w:pPr>
        <w:spacing w:after="0" w:line="311" w:lineRule="exact"/>
        <w:rPr>
          <w:sz w:val="20"/>
          <w:szCs w:val="20"/>
          <w:color w:val="auto"/>
        </w:rPr>
      </w:pPr>
    </w:p>
    <w:p>
      <w:pPr>
        <w:jc w:val="both"/>
        <w:ind w:hanging="6"/>
        <w:spacing w:after="0" w:line="351" w:lineRule="auto"/>
        <w:rPr>
          <w:sz w:val="20"/>
          <w:szCs w:val="20"/>
          <w:color w:val="auto"/>
        </w:rPr>
      </w:pPr>
      <w:r>
        <w:rPr>
          <w:rFonts w:ascii="Arial" w:cs="Arial" w:eastAsia="Arial" w:hAnsi="Arial"/>
          <w:sz w:val="17"/>
          <w:szCs w:val="17"/>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193" w:lineRule="exact"/>
        <w:rPr>
          <w:sz w:val="20"/>
          <w:szCs w:val="20"/>
          <w:color w:val="auto"/>
        </w:rPr>
      </w:pPr>
    </w:p>
    <w:p>
      <w:pPr>
        <w:jc w:val="both"/>
        <w:ind w:hanging="6"/>
        <w:spacing w:after="0" w:line="358" w:lineRule="auto"/>
        <w:rPr>
          <w:sz w:val="20"/>
          <w:szCs w:val="20"/>
          <w:color w:val="auto"/>
        </w:rPr>
      </w:pPr>
      <w:r>
        <w:rPr>
          <w:rFonts w:ascii="Arial" w:cs="Arial" w:eastAsia="Arial" w:hAnsi="Arial"/>
          <w:sz w:val="17"/>
          <w:szCs w:val="17"/>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189" w:lineRule="exact"/>
        <w:rPr>
          <w:sz w:val="20"/>
          <w:szCs w:val="20"/>
          <w:color w:val="auto"/>
        </w:rPr>
      </w:pPr>
    </w:p>
    <w:p>
      <w:pPr>
        <w:jc w:val="both"/>
        <w:ind w:hanging="2"/>
        <w:spacing w:after="0" w:line="369" w:lineRule="auto"/>
        <w:rPr>
          <w:sz w:val="20"/>
          <w:szCs w:val="20"/>
          <w:color w:val="auto"/>
        </w:rPr>
      </w:pPr>
      <w:r>
        <w:rPr>
          <w:rFonts w:ascii="Arial" w:cs="Arial" w:eastAsia="Arial" w:hAnsi="Arial"/>
          <w:sz w:val="17"/>
          <w:szCs w:val="17"/>
          <w:color w:val="auto"/>
        </w:rPr>
        <w:t xml:space="preserve">The date of grant shall be determined by the Nomination and Compensation Committee or the relevant Administrator and set out in the RSU Award Agreement (the </w:t>
      </w:r>
      <w:r>
        <w:rPr>
          <w:rFonts w:ascii="Arial" w:cs="Arial" w:eastAsia="Arial" w:hAnsi="Arial"/>
          <w:sz w:val="17"/>
          <w:szCs w:val="17"/>
          <w:b w:val="1"/>
          <w:bCs w:val="1"/>
          <w:color w:val="auto"/>
        </w:rPr>
        <w:t>Grant Date</w:t>
      </w:r>
      <w:r>
        <w:rPr>
          <w:rFonts w:ascii="Arial" w:cs="Arial" w:eastAsia="Arial" w:hAnsi="Arial"/>
          <w:sz w:val="17"/>
          <w:szCs w:val="17"/>
          <w:color w:val="auto"/>
        </w:rPr>
        <w:t>).</w:t>
      </w:r>
    </w:p>
    <w:p>
      <w:pPr>
        <w:sectPr>
          <w:pgSz w:w="11900" w:h="16838" w:orient="portrait"/>
          <w:cols w:equalWidth="0" w:num="1">
            <w:col w:w="11240"/>
          </w:cols>
          <w:pgMar w:left="320" w:top="202" w:right="339" w:bottom="1440" w:gutter="0" w:footer="0" w:header="0"/>
        </w:sectPr>
      </w:pPr>
    </w:p>
    <w:bookmarkStart w:id="338" w:name="page339"/>
    <w:bookmarkEnd w:id="338"/>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5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Securities</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Transfer</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and Delivery of Shares</w:t>
      </w:r>
    </w:p>
    <w:p>
      <w:pPr>
        <w:spacing w:after="0" w:line="299" w:lineRule="exact"/>
        <w:rPr>
          <w:sz w:val="20"/>
          <w:szCs w:val="20"/>
          <w:color w:val="auto"/>
        </w:rPr>
      </w:pPr>
    </w:p>
    <w:p>
      <w:pPr>
        <w:jc w:val="both"/>
        <w:ind w:hanging="6"/>
        <w:spacing w:after="0" w:line="363" w:lineRule="auto"/>
        <w:rPr>
          <w:sz w:val="20"/>
          <w:szCs w:val="20"/>
          <w:color w:val="auto"/>
        </w:rPr>
      </w:pPr>
      <w:r>
        <w:rPr>
          <w:rFonts w:ascii="Arial" w:cs="Arial" w:eastAsia="Arial" w:hAnsi="Arial"/>
          <w:sz w:val="17"/>
          <w:szCs w:val="17"/>
          <w:color w:val="auto"/>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 w:cs="Arial" w:eastAsia="Arial" w:hAnsi="Arial"/>
          <w:sz w:val="17"/>
          <w:szCs w:val="17"/>
          <w:b w:val="1"/>
          <w:bCs w:val="1"/>
          <w:color w:val="auto"/>
        </w:rPr>
        <w:t>Vesting Date</w:t>
      </w:r>
      <w:r>
        <w:rPr>
          <w:rFonts w:ascii="Arial" w:cs="Arial" w:eastAsia="Arial" w:hAnsi="Arial"/>
          <w:sz w:val="17"/>
          <w:szCs w:val="17"/>
          <w:color w:val="auto"/>
        </w:rPr>
        <w:t xml:space="preserve">). The period between the Grant Date and the Vesting Date shall be deemed the </w:t>
      </w:r>
      <w:r>
        <w:rPr>
          <w:rFonts w:ascii="Arial" w:cs="Arial" w:eastAsia="Arial" w:hAnsi="Arial"/>
          <w:sz w:val="17"/>
          <w:szCs w:val="17"/>
          <w:b w:val="1"/>
          <w:bCs w:val="1"/>
          <w:color w:val="auto"/>
        </w:rPr>
        <w:t>Vesting Period</w:t>
      </w:r>
      <w:r>
        <w:rPr>
          <w:rFonts w:ascii="Arial" w:cs="Arial" w:eastAsia="Arial" w:hAnsi="Arial"/>
          <w:sz w:val="17"/>
          <w:szCs w:val="17"/>
          <w:color w:val="auto"/>
        </w:rPr>
        <w:t>.</w:t>
      </w:r>
    </w:p>
    <w:p>
      <w:pPr>
        <w:spacing w:after="0" w:line="177" w:lineRule="exact"/>
        <w:rPr>
          <w:sz w:val="20"/>
          <w:szCs w:val="20"/>
          <w:color w:val="auto"/>
        </w:rPr>
      </w:pPr>
    </w:p>
    <w:p>
      <w:pPr>
        <w:jc w:val="both"/>
        <w:ind w:hanging="6"/>
        <w:spacing w:after="0" w:line="351" w:lineRule="auto"/>
        <w:rPr>
          <w:sz w:val="20"/>
          <w:szCs w:val="20"/>
          <w:color w:val="auto"/>
        </w:rPr>
      </w:pPr>
      <w:r>
        <w:rPr>
          <w:rFonts w:ascii="Arial" w:cs="Arial" w:eastAsia="Arial" w:hAnsi="Arial"/>
          <w:sz w:val="17"/>
          <w:szCs w:val="17"/>
          <w:color w:val="auto"/>
        </w:rPr>
        <w:t>Subject to section 13(b) below, no RSU shall vest if, during the first year of the Vesting Period (or, in case of a member of the Board of Directors, prior to the end of a full term of office), the relevant Participant's Relationship is terminated or another reason for termination of such Relationship occurs other than through termination by the Participant for cause (</w:t>
      </w:r>
      <w:r>
        <w:rPr>
          <w:rFonts w:ascii="Arial" w:cs="Arial" w:eastAsia="Arial" w:hAnsi="Arial"/>
          <w:sz w:val="17"/>
          <w:szCs w:val="17"/>
          <w:i w:val="1"/>
          <w:iCs w:val="1"/>
          <w:color w:val="auto"/>
        </w:rPr>
        <w:t>wichtige Gründe</w:t>
      </w:r>
      <w:r>
        <w:rPr>
          <w:rFonts w:ascii="Arial" w:cs="Arial" w:eastAsia="Arial" w:hAnsi="Arial"/>
          <w:sz w:val="17"/>
          <w:szCs w:val="17"/>
          <w:color w:val="auto"/>
        </w:rPr>
        <w:t>), set by a Group Company.</w:t>
      </w:r>
    </w:p>
    <w:p>
      <w:pPr>
        <w:spacing w:after="0" w:line="193" w:lineRule="exact"/>
        <w:rPr>
          <w:sz w:val="20"/>
          <w:szCs w:val="20"/>
          <w:color w:val="auto"/>
        </w:rPr>
      </w:pPr>
    </w:p>
    <w:p>
      <w:pPr>
        <w:jc w:val="both"/>
        <w:ind w:hanging="2"/>
        <w:spacing w:after="0" w:line="358" w:lineRule="auto"/>
        <w:rPr>
          <w:sz w:val="20"/>
          <w:szCs w:val="20"/>
          <w:color w:val="auto"/>
        </w:rPr>
      </w:pPr>
      <w:r>
        <w:rPr>
          <w:rFonts w:ascii="Arial" w:cs="Arial" w:eastAsia="Arial" w:hAnsi="Arial"/>
          <w:sz w:val="17"/>
          <w:szCs w:val="17"/>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Underlying Shares</w:t>
      </w:r>
    </w:p>
    <w:p>
      <w:pPr>
        <w:spacing w:after="0" w:line="299" w:lineRule="exact"/>
        <w:rPr>
          <w:sz w:val="20"/>
          <w:szCs w:val="20"/>
          <w:color w:val="auto"/>
        </w:rPr>
      </w:pPr>
    </w:p>
    <w:p>
      <w:pPr>
        <w:jc w:val="both"/>
        <w:spacing w:after="0" w:line="346" w:lineRule="auto"/>
        <w:rPr>
          <w:sz w:val="20"/>
          <w:szCs w:val="20"/>
          <w:color w:val="auto"/>
        </w:rPr>
      </w:pPr>
      <w:r>
        <w:rPr>
          <w:rFonts w:ascii="Arial" w:cs="Arial" w:eastAsia="Arial" w:hAnsi="Arial"/>
          <w:sz w:val="17"/>
          <w:szCs w:val="17"/>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7"/>
          <w:szCs w:val="17"/>
          <w:b w:val="1"/>
          <w:bCs w:val="1"/>
          <w:color w:val="auto"/>
        </w:rPr>
        <w:t>Share</w:t>
      </w:r>
      <w:r>
        <w:rPr>
          <w:rFonts w:ascii="Arial" w:cs="Arial" w:eastAsia="Arial" w:hAnsi="Arial"/>
          <w:sz w:val="17"/>
          <w:szCs w:val="17"/>
          <w:color w:val="auto"/>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sectPr>
          <w:pgSz w:w="11900" w:h="16838" w:orient="portrait"/>
          <w:cols w:equalWidth="0" w:num="1">
            <w:col w:w="11240"/>
          </w:cols>
          <w:pgMar w:left="320" w:top="203" w:right="339" w:bottom="1440" w:gutter="0" w:footer="0" w:header="0"/>
        </w:sectPr>
      </w:pPr>
    </w:p>
    <w:bookmarkStart w:id="339" w:name="page340"/>
    <w:bookmarkEnd w:id="339"/>
    <w:tbl>
      <w:tblPr>
        <w:tblLayout w:type="fixed"/>
        <w:tblInd w:w="4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6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Taxes and Social Security Contributions</w:t>
      </w:r>
    </w:p>
    <w:p>
      <w:pPr>
        <w:spacing w:after="0" w:line="299" w:lineRule="exact"/>
        <w:rPr>
          <w:sz w:val="20"/>
          <w:szCs w:val="20"/>
          <w:color w:val="auto"/>
        </w:rPr>
      </w:pPr>
    </w:p>
    <w:p>
      <w:pPr>
        <w:jc w:val="both"/>
        <w:ind w:left="20" w:hanging="6"/>
        <w:spacing w:after="0" w:line="358" w:lineRule="auto"/>
        <w:rPr>
          <w:sz w:val="20"/>
          <w:szCs w:val="20"/>
          <w:color w:val="auto"/>
        </w:rPr>
      </w:pPr>
      <w:r>
        <w:rPr>
          <w:rFonts w:ascii="Arial" w:cs="Arial" w:eastAsia="Arial" w:hAnsi="Arial"/>
          <w:sz w:val="17"/>
          <w:szCs w:val="17"/>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189" w:lineRule="exact"/>
        <w:rPr>
          <w:sz w:val="20"/>
          <w:szCs w:val="20"/>
          <w:color w:val="auto"/>
        </w:rPr>
      </w:pPr>
    </w:p>
    <w:p>
      <w:pPr>
        <w:jc w:val="both"/>
        <w:ind w:left="20" w:hanging="6"/>
        <w:spacing w:after="0" w:line="342" w:lineRule="auto"/>
        <w:rPr>
          <w:sz w:val="20"/>
          <w:szCs w:val="20"/>
          <w:color w:val="auto"/>
        </w:rPr>
      </w:pPr>
      <w:r>
        <w:rPr>
          <w:rFonts w:ascii="Arial" w:cs="Arial" w:eastAsia="Arial" w:hAnsi="Arial"/>
          <w:sz w:val="17"/>
          <w:szCs w:val="17"/>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w:t>
      </w:r>
    </w:p>
    <w:p>
      <w:pPr>
        <w:spacing w:after="0" w:line="203" w:lineRule="exact"/>
        <w:rPr>
          <w:sz w:val="20"/>
          <w:szCs w:val="20"/>
          <w:color w:val="auto"/>
        </w:rPr>
      </w:pPr>
    </w:p>
    <w:p>
      <w:pPr>
        <w:jc w:val="both"/>
        <w:ind w:left="20" w:hanging="2"/>
        <w:spacing w:after="0" w:line="375" w:lineRule="auto"/>
        <w:rPr>
          <w:sz w:val="20"/>
          <w:szCs w:val="20"/>
          <w:color w:val="auto"/>
        </w:rPr>
      </w:pPr>
      <w:r>
        <w:rPr>
          <w:rFonts w:ascii="Arial" w:cs="Arial" w:eastAsia="Arial" w:hAnsi="Arial"/>
          <w:sz w:val="17"/>
          <w:szCs w:val="17"/>
          <w:color w:val="auto"/>
        </w:rPr>
        <w:t>The Company shall have the right (but no obligation, unless required by applicable law) to notify the tax and social security authorities of the grant of RSU awards, Shares or related events.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Requirements</w:t>
      </w:r>
    </w:p>
    <w:p>
      <w:pPr>
        <w:spacing w:after="0" w:line="286" w:lineRule="exact"/>
        <w:rPr>
          <w:sz w:val="20"/>
          <w:szCs w:val="20"/>
          <w:color w:val="auto"/>
        </w:rPr>
      </w:pPr>
    </w:p>
    <w:p>
      <w:pPr>
        <w:jc w:val="both"/>
        <w:ind w:left="20"/>
        <w:spacing w:after="0" w:line="346" w:lineRule="auto"/>
        <w:rPr>
          <w:sz w:val="20"/>
          <w:szCs w:val="20"/>
          <w:color w:val="auto"/>
        </w:rPr>
      </w:pPr>
      <w:r>
        <w:rPr>
          <w:rFonts w:ascii="Arial" w:cs="Arial" w:eastAsia="Arial" w:hAnsi="Arial"/>
          <w:sz w:val="17"/>
          <w:szCs w:val="17"/>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Obligations of the Participant</w:t>
      </w:r>
    </w:p>
    <w:p>
      <w:pPr>
        <w:spacing w:after="0" w:line="286" w:lineRule="exact"/>
        <w:rPr>
          <w:sz w:val="20"/>
          <w:szCs w:val="20"/>
          <w:color w:val="auto"/>
        </w:rPr>
      </w:pPr>
    </w:p>
    <w:p>
      <w:pPr>
        <w:jc w:val="both"/>
        <w:ind w:left="20"/>
        <w:spacing w:after="0" w:line="351" w:lineRule="auto"/>
        <w:rPr>
          <w:sz w:val="20"/>
          <w:szCs w:val="20"/>
          <w:color w:val="auto"/>
        </w:rPr>
      </w:pPr>
      <w:r>
        <w:rPr>
          <w:rFonts w:ascii="Arial" w:cs="Arial" w:eastAsia="Arial" w:hAnsi="Arial"/>
          <w:sz w:val="17"/>
          <w:szCs w:val="17"/>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Termination of Relationship</w:t>
      </w:r>
    </w:p>
    <w:p>
      <w:pPr>
        <w:spacing w:after="0" w:line="311" w:lineRule="exact"/>
        <w:rPr>
          <w:sz w:val="20"/>
          <w:szCs w:val="20"/>
          <w:color w:val="auto"/>
        </w:rPr>
      </w:pPr>
    </w:p>
    <w:p>
      <w:pPr>
        <w:jc w:val="both"/>
        <w:ind w:left="20" w:hanging="6"/>
        <w:spacing w:after="0" w:line="375" w:lineRule="auto"/>
        <w:rPr>
          <w:sz w:val="20"/>
          <w:szCs w:val="20"/>
          <w:color w:val="auto"/>
        </w:rPr>
      </w:pPr>
      <w:r>
        <w:rPr>
          <w:rFonts w:ascii="Arial" w:cs="Arial" w:eastAsia="Arial" w:hAnsi="Arial"/>
          <w:sz w:val="17"/>
          <w:szCs w:val="17"/>
          <w:color w:val="auto"/>
        </w:rPr>
        <w:t>If a Participant's Relationship is terminated or another reason for termination occurs during the first year of the Vesting Period (or, in case of a member of the Board of Directors, prior to the end of a full term of office), other than through termination by the Participant for cause (</w:t>
      </w:r>
      <w:r>
        <w:rPr>
          <w:rFonts w:ascii="Arial" w:cs="Arial" w:eastAsia="Arial" w:hAnsi="Arial"/>
          <w:sz w:val="17"/>
          <w:szCs w:val="17"/>
          <w:i w:val="1"/>
          <w:iCs w:val="1"/>
          <w:color w:val="auto"/>
        </w:rPr>
        <w:t>wichtige</w:t>
      </w:r>
    </w:p>
    <w:p>
      <w:pPr>
        <w:sectPr>
          <w:pgSz w:w="11900" w:h="16838" w:orient="portrait"/>
          <w:cols w:equalWidth="0" w:num="1">
            <w:col w:w="11260"/>
          </w:cols>
          <w:pgMar w:left="300" w:top="203" w:right="339" w:bottom="1440" w:gutter="0" w:footer="0" w:header="0"/>
        </w:sectPr>
      </w:pPr>
    </w:p>
    <w:bookmarkStart w:id="340" w:name="page341"/>
    <w:bookmarkEnd w:id="340"/>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7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Gründe</w:t>
      </w:r>
      <w:r>
        <w:rPr>
          <w:rFonts w:ascii="Arial" w:cs="Arial" w:eastAsia="Arial" w:hAnsi="Arial"/>
          <w:sz w:val="17"/>
          <w:szCs w:val="17"/>
          <w:color w:val="auto"/>
        </w:rPr>
        <w:t>) and except as set out in subsection 13 (b) below, all RSUs shall cease and be forfeited on the effective date of termination.</w:t>
      </w:r>
    </w:p>
    <w:p>
      <w:pPr>
        <w:spacing w:after="0" w:line="311"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Grants in their second or third year of their vesting period shall vest pro-rata (based on the number of months on the Board until Termination Date out of the 36 months vesting period ) at the end of quarter containing the Termination Date with the remaining RSUs lapsing without further effect</w:t>
      </w:r>
    </w:p>
    <w:p>
      <w:pPr>
        <w:spacing w:after="0" w:line="174" w:lineRule="exact"/>
        <w:rPr>
          <w:sz w:val="20"/>
          <w:szCs w:val="20"/>
          <w:color w:val="auto"/>
        </w:rPr>
      </w:pPr>
    </w:p>
    <w:p>
      <w:pPr>
        <w:jc w:val="both"/>
        <w:ind w:hanging="6"/>
        <w:spacing w:after="0" w:line="351" w:lineRule="auto"/>
        <w:rPr>
          <w:sz w:val="20"/>
          <w:szCs w:val="20"/>
          <w:color w:val="auto"/>
        </w:rPr>
      </w:pPr>
      <w:r>
        <w:rPr>
          <w:rFonts w:ascii="Arial" w:cs="Arial" w:eastAsia="Arial" w:hAnsi="Arial"/>
          <w:sz w:val="17"/>
          <w:szCs w:val="17"/>
          <w:color w:val="auto"/>
        </w:rPr>
        <w:t>If the Relationship terminates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w:t>
      </w:r>
    </w:p>
    <w:p>
      <w:pPr>
        <w:spacing w:after="0" w:line="193"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of Control</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this Plan, a change of control shall mean the occurrence of any of the following events (each a </w:t>
      </w:r>
      <w:r>
        <w:rPr>
          <w:rFonts w:ascii="Arial" w:cs="Arial" w:eastAsia="Arial" w:hAnsi="Arial"/>
          <w:sz w:val="17"/>
          <w:szCs w:val="17"/>
          <w:b w:val="1"/>
          <w:bCs w:val="1"/>
          <w:color w:val="auto"/>
        </w:rPr>
        <w:t>Change of Control</w:t>
      </w:r>
      <w:r>
        <w:rPr>
          <w:rFonts w:ascii="Arial" w:cs="Arial" w:eastAsia="Arial" w:hAnsi="Arial"/>
          <w:sz w:val="17"/>
          <w:szCs w:val="17"/>
          <w:color w:val="auto"/>
        </w:rPr>
        <w:t>):</w:t>
      </w:r>
    </w:p>
    <w:p>
      <w:pPr>
        <w:spacing w:after="0" w:line="311" w:lineRule="exact"/>
        <w:rPr>
          <w:sz w:val="20"/>
          <w:szCs w:val="20"/>
          <w:color w:val="auto"/>
        </w:rPr>
      </w:pPr>
    </w:p>
    <w:p>
      <w:pPr>
        <w:jc w:val="both"/>
        <w:ind w:left="480" w:hanging="479"/>
        <w:spacing w:after="0" w:line="351" w:lineRule="auto"/>
        <w:tabs>
          <w:tab w:leader="none" w:pos="46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06" w:lineRule="exact"/>
        <w:rPr>
          <w:rFonts w:ascii="Arial" w:cs="Arial" w:eastAsia="Arial" w:hAnsi="Arial"/>
          <w:sz w:val="17"/>
          <w:szCs w:val="17"/>
          <w:color w:val="auto"/>
        </w:rPr>
      </w:pPr>
    </w:p>
    <w:p>
      <w:pPr>
        <w:ind w:left="480" w:hanging="479"/>
        <w:spacing w:after="0" w:line="360" w:lineRule="auto"/>
        <w:tabs>
          <w:tab w:leader="none" w:pos="4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facts or circumstances that require any person or group of persons acting in concert to launch a mandatory offer within the meaning of applicable takeover regulations;</w:t>
      </w:r>
    </w:p>
    <w:p>
      <w:pPr>
        <w:spacing w:after="0" w:line="186" w:lineRule="exact"/>
        <w:rPr>
          <w:rFonts w:ascii="Arial" w:cs="Arial" w:eastAsia="Arial" w:hAnsi="Arial"/>
          <w:sz w:val="17"/>
          <w:szCs w:val="17"/>
          <w:color w:val="auto"/>
        </w:rPr>
      </w:pPr>
    </w:p>
    <w:p>
      <w:pPr>
        <w:jc w:val="both"/>
        <w:ind w:left="480" w:hanging="479"/>
        <w:spacing w:after="0" w:line="358" w:lineRule="auto"/>
        <w:tabs>
          <w:tab w:leader="none" w:pos="47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189" w:lineRule="exact"/>
        <w:rPr>
          <w:rFonts w:ascii="Arial" w:cs="Arial" w:eastAsia="Arial" w:hAnsi="Arial"/>
          <w:sz w:val="17"/>
          <w:szCs w:val="17"/>
          <w:color w:val="auto"/>
        </w:rPr>
      </w:pPr>
    </w:p>
    <w:p>
      <w:pPr>
        <w:jc w:val="both"/>
        <w:ind w:left="480" w:hanging="479"/>
        <w:spacing w:after="0" w:line="348" w:lineRule="auto"/>
        <w:tabs>
          <w:tab w:leader="none" w:pos="47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ectPr>
          <w:pgSz w:w="11900" w:h="16838" w:orient="portrait"/>
          <w:cols w:equalWidth="0" w:num="1">
            <w:col w:w="11240"/>
          </w:cols>
          <w:pgMar w:left="320" w:top="202" w:right="339" w:bottom="1440" w:gutter="0" w:footer="0" w:header="0"/>
        </w:sectPr>
      </w:pPr>
    </w:p>
    <w:bookmarkStart w:id="341" w:name="page342"/>
    <w:bookmarkEnd w:id="341"/>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8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hanging="6"/>
        <w:spacing w:after="0" w:line="375" w:lineRule="auto"/>
        <w:rPr>
          <w:sz w:val="20"/>
          <w:szCs w:val="20"/>
          <w:color w:val="auto"/>
        </w:rPr>
      </w:pPr>
      <w:r>
        <w:rPr>
          <w:rFonts w:ascii="Arial" w:cs="Arial" w:eastAsia="Arial" w:hAnsi="Arial"/>
          <w:sz w:val="17"/>
          <w:szCs w:val="17"/>
          <w:color w:val="auto"/>
        </w:rPr>
        <w:t>In the event of a Change of Control of the Company, the following shall apply for all RSUs in respect of which the Vesting Date has not occurred by the date of the Change of Control:</w:t>
      </w:r>
    </w:p>
    <w:p>
      <w:pPr>
        <w:spacing w:after="0" w:line="174" w:lineRule="exact"/>
        <w:rPr>
          <w:sz w:val="20"/>
          <w:szCs w:val="20"/>
          <w:color w:val="auto"/>
        </w:rPr>
      </w:pPr>
    </w:p>
    <w:p>
      <w:pPr>
        <w:ind w:left="460" w:hanging="459"/>
        <w:spacing w:after="0"/>
        <w:tabs>
          <w:tab w:leader="none" w:pos="4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all RSUs will vest immediately; and</w:t>
      </w:r>
    </w:p>
    <w:p>
      <w:pPr>
        <w:spacing w:after="0" w:line="311" w:lineRule="exact"/>
        <w:rPr>
          <w:rFonts w:ascii="Arial" w:cs="Arial" w:eastAsia="Arial" w:hAnsi="Arial"/>
          <w:sz w:val="17"/>
          <w:szCs w:val="17"/>
          <w:color w:val="auto"/>
        </w:rPr>
      </w:pPr>
    </w:p>
    <w:p>
      <w:pPr>
        <w:ind w:left="480" w:hanging="479"/>
        <w:spacing w:after="0" w:line="375" w:lineRule="auto"/>
        <w:tabs>
          <w:tab w:leader="none" w:pos="4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RSUs will be paid out in Shares, unless the Nomination and Compensation Committee resolves to repurchase or exchange RSUs or decides upon another solution to provide the Participants with the vesting value of the RSUs.</w:t>
      </w:r>
    </w:p>
    <w:p>
      <w:pPr>
        <w:spacing w:after="0" w:line="174" w:lineRule="exact"/>
        <w:rPr>
          <w:sz w:val="20"/>
          <w:szCs w:val="20"/>
          <w:color w:val="auto"/>
        </w:rPr>
      </w:pPr>
    </w:p>
    <w:p>
      <w:pPr>
        <w:jc w:val="both"/>
        <w:ind w:hanging="2"/>
        <w:spacing w:after="0" w:line="348" w:lineRule="auto"/>
        <w:rPr>
          <w:sz w:val="20"/>
          <w:szCs w:val="20"/>
          <w:color w:val="auto"/>
        </w:rPr>
      </w:pPr>
      <w:r>
        <w:rPr>
          <w:rFonts w:ascii="Arial" w:cs="Arial" w:eastAsia="Arial" w:hAnsi="Arial"/>
          <w:sz w:val="17"/>
          <w:szCs w:val="17"/>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196" w:lineRule="exact"/>
        <w:rPr>
          <w:sz w:val="20"/>
          <w:szCs w:val="20"/>
          <w:color w:val="auto"/>
        </w:rPr>
      </w:pPr>
    </w:p>
    <w:p>
      <w:pPr>
        <w:jc w:val="both"/>
        <w:ind w:hanging="6"/>
        <w:spacing w:after="0" w:line="348" w:lineRule="auto"/>
        <w:rPr>
          <w:sz w:val="20"/>
          <w:szCs w:val="20"/>
          <w:color w:val="auto"/>
        </w:rPr>
      </w:pPr>
      <w:r>
        <w:rPr>
          <w:rFonts w:ascii="Arial" w:cs="Arial" w:eastAsia="Arial" w:hAnsi="Arial"/>
          <w:sz w:val="17"/>
          <w:szCs w:val="17"/>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Events</w:t>
      </w:r>
    </w:p>
    <w:p>
      <w:pPr>
        <w:spacing w:after="0" w:line="299"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Protection</w:t>
      </w:r>
    </w:p>
    <w:p>
      <w:pPr>
        <w:spacing w:after="0" w:line="286" w:lineRule="exact"/>
        <w:rPr>
          <w:sz w:val="20"/>
          <w:szCs w:val="20"/>
          <w:color w:val="auto"/>
        </w:rPr>
      </w:pPr>
    </w:p>
    <w:p>
      <w:pPr>
        <w:jc w:val="both"/>
        <w:ind w:hanging="6"/>
        <w:spacing w:after="0" w:line="346" w:lineRule="auto"/>
        <w:rPr>
          <w:sz w:val="20"/>
          <w:szCs w:val="20"/>
          <w:color w:val="auto"/>
        </w:rPr>
      </w:pPr>
      <w:r>
        <w:rPr>
          <w:rFonts w:ascii="Arial" w:cs="Arial" w:eastAsia="Arial" w:hAnsi="Arial"/>
          <w:sz w:val="17"/>
          <w:szCs w:val="17"/>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w:t>
      </w:r>
    </w:p>
    <w:p>
      <w:pPr>
        <w:sectPr>
          <w:pgSz w:w="11900" w:h="16838" w:orient="portrait"/>
          <w:cols w:equalWidth="0" w:num="1">
            <w:col w:w="11240"/>
          </w:cols>
          <w:pgMar w:left="320" w:top="202" w:right="339" w:bottom="1440" w:gutter="0" w:footer="0" w:header="0"/>
        </w:sectPr>
      </w:pPr>
    </w:p>
    <w:bookmarkStart w:id="342" w:name="page343"/>
    <w:bookmarkEnd w:id="342"/>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9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grants or sale mechanics and to generally administer and manage the Plan or keep records of participation levels.</w:t>
      </w:r>
    </w:p>
    <w:p>
      <w:pPr>
        <w:spacing w:after="0" w:line="311" w:lineRule="exact"/>
        <w:rPr>
          <w:sz w:val="20"/>
          <w:szCs w:val="20"/>
          <w:color w:val="auto"/>
        </w:rPr>
      </w:pPr>
    </w:p>
    <w:p>
      <w:pPr>
        <w:jc w:val="both"/>
        <w:ind w:hanging="6"/>
        <w:spacing w:after="0" w:line="348" w:lineRule="auto"/>
        <w:rPr>
          <w:sz w:val="20"/>
          <w:szCs w:val="20"/>
          <w:color w:val="auto"/>
        </w:rPr>
      </w:pPr>
      <w:r>
        <w:rPr>
          <w:rFonts w:ascii="Arial" w:cs="Arial" w:eastAsia="Arial" w:hAnsi="Arial"/>
          <w:sz w:val="17"/>
          <w:szCs w:val="17"/>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regulatory restrictions</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Neither the Shares nor the RSU have been or will be registered or listed in any jurisdiction other than, if and to the extent required, Switzerland.</w:t>
      </w:r>
    </w:p>
    <w:p>
      <w:pPr>
        <w:spacing w:after="0" w:line="311" w:lineRule="exact"/>
        <w:rPr>
          <w:sz w:val="20"/>
          <w:szCs w:val="20"/>
          <w:color w:val="auto"/>
        </w:rPr>
      </w:pPr>
    </w:p>
    <w:p>
      <w:pPr>
        <w:jc w:val="both"/>
        <w:ind w:hanging="6"/>
        <w:spacing w:after="0" w:line="340" w:lineRule="auto"/>
        <w:rPr>
          <w:sz w:val="20"/>
          <w:szCs w:val="20"/>
          <w:color w:val="auto"/>
        </w:rPr>
      </w:pPr>
      <w:r>
        <w:rPr>
          <w:rFonts w:ascii="Arial" w:cs="Arial" w:eastAsia="Arial" w:hAnsi="Arial"/>
          <w:sz w:val="17"/>
          <w:szCs w:val="17"/>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03" w:lineRule="exact"/>
        <w:rPr>
          <w:sz w:val="20"/>
          <w:szCs w:val="20"/>
          <w:color w:val="auto"/>
        </w:rPr>
      </w:pPr>
    </w:p>
    <w:p>
      <w:pPr>
        <w:jc w:val="both"/>
        <w:ind w:hanging="2"/>
        <w:spacing w:after="0" w:line="375" w:lineRule="auto"/>
        <w:rPr>
          <w:sz w:val="20"/>
          <w:szCs w:val="20"/>
          <w:color w:val="auto"/>
        </w:rPr>
      </w:pPr>
      <w:r>
        <w:rPr>
          <w:rFonts w:ascii="Arial" w:cs="Arial" w:eastAsia="Arial" w:hAnsi="Arial"/>
          <w:sz w:val="17"/>
          <w:szCs w:val="17"/>
          <w:color w:val="auto"/>
        </w:rPr>
        <w:t>Any Participant shall be required to observe trading or other bans as well as the prohibitions of insider trading and market manipulation in connection with the RSUs and any shares granted thereunder.</w:t>
      </w:r>
    </w:p>
    <w:p>
      <w:pPr>
        <w:spacing w:after="0" w:line="174" w:lineRule="exact"/>
        <w:rPr>
          <w:sz w:val="20"/>
          <w:szCs w:val="20"/>
          <w:color w:val="auto"/>
        </w:rPr>
      </w:pPr>
    </w:p>
    <w:p>
      <w:pPr>
        <w:jc w:val="both"/>
        <w:ind w:hanging="6"/>
        <w:spacing w:after="0" w:line="375" w:lineRule="auto"/>
        <w:rPr>
          <w:sz w:val="20"/>
          <w:szCs w:val="20"/>
          <w:color w:val="auto"/>
        </w:rPr>
      </w:pPr>
      <w:r>
        <w:rPr>
          <w:rFonts w:ascii="Arial" w:cs="Arial" w:eastAsia="Arial" w:hAnsi="Arial"/>
          <w:sz w:val="17"/>
          <w:szCs w:val="17"/>
          <w:color w:val="auto"/>
        </w:rPr>
        <w:t>Any grant of RSUs to members of the Board of Directors that qualifies as prohibited payment under the Compensation Ordinance or otherwise, shall be null and void.</w:t>
      </w:r>
    </w:p>
    <w:p>
      <w:pPr>
        <w:spacing w:after="0" w:line="174" w:lineRule="exact"/>
        <w:rPr>
          <w:sz w:val="20"/>
          <w:szCs w:val="20"/>
          <w:color w:val="auto"/>
        </w:rPr>
      </w:pPr>
    </w:p>
    <w:p>
      <w:pPr>
        <w:jc w:val="both"/>
        <w:ind w:hanging="6"/>
        <w:spacing w:after="0" w:line="348" w:lineRule="auto"/>
        <w:rPr>
          <w:sz w:val="20"/>
          <w:szCs w:val="20"/>
          <w:color w:val="auto"/>
        </w:rPr>
      </w:pPr>
      <w:r>
        <w:rPr>
          <w:rFonts w:ascii="Arial" w:cs="Arial" w:eastAsia="Arial" w:hAnsi="Arial"/>
          <w:sz w:val="17"/>
          <w:szCs w:val="17"/>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w:t>
      </w:r>
    </w:p>
    <w:p>
      <w:pPr>
        <w:sectPr>
          <w:pgSz w:w="11900" w:h="16838" w:orient="portrait"/>
          <w:cols w:equalWidth="0" w:num="1">
            <w:col w:w="11240"/>
          </w:cols>
          <w:pgMar w:left="320" w:top="202" w:right="339" w:bottom="1440" w:gutter="0" w:footer="0" w:header="0"/>
        </w:sectPr>
      </w:pPr>
    </w:p>
    <w:bookmarkStart w:id="343" w:name="page344"/>
    <w:bookmarkEnd w:id="343"/>
    <w:tbl>
      <w:tblPr>
        <w:tblLayout w:type="fixed"/>
        <w:tblInd w:w="20" w:type="dxa"/>
        <w:tblCellMar>
          <w:top w:w="0" w:type="dxa"/>
          <w:left w:w="0" w:type="dxa"/>
          <w:bottom w:w="0" w:type="dxa"/>
          <w:right w:w="0" w:type="dxa"/>
        </w:tblCellMar>
      </w:tblPr>
      <w:tr>
        <w:trPr>
          <w:trHeight w:val="167"/>
        </w:trPr>
        <w:tc>
          <w:tcPr>
            <w:tcW w:w="690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320" w:type="dxa"/>
            <w:vAlign w:val="bottom"/>
          </w:tcPr>
          <w:p>
            <w:pPr>
              <w:jc w:val="right"/>
              <w:spacing w:after="0"/>
              <w:rPr>
                <w:sz w:val="20"/>
                <w:szCs w:val="20"/>
                <w:color w:val="auto"/>
              </w:rPr>
            </w:pPr>
            <w:r>
              <w:rPr>
                <w:rFonts w:ascii="Arial" w:cs="Arial" w:eastAsia="Arial" w:hAnsi="Arial"/>
                <w:sz w:val="13"/>
                <w:szCs w:val="13"/>
                <w:color w:val="auto"/>
              </w:rPr>
              <w:t>10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and Termination</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Severability</w:t>
      </w:r>
    </w:p>
    <w:p>
      <w:pPr>
        <w:spacing w:after="0" w:line="299" w:lineRule="exact"/>
        <w:rPr>
          <w:sz w:val="20"/>
          <w:szCs w:val="20"/>
          <w:color w:val="auto"/>
        </w:rPr>
      </w:pPr>
    </w:p>
    <w:p>
      <w:pPr>
        <w:jc w:val="both"/>
        <w:spacing w:after="0" w:line="358" w:lineRule="auto"/>
        <w:rPr>
          <w:sz w:val="20"/>
          <w:szCs w:val="20"/>
          <w:color w:val="auto"/>
        </w:rPr>
      </w:pPr>
      <w:r>
        <w:rPr>
          <w:rFonts w:ascii="Arial" w:cs="Arial" w:eastAsia="Arial" w:hAnsi="Arial"/>
          <w:sz w:val="17"/>
          <w:szCs w:val="17"/>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 and Jurisdiction</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This Plan and any RSU Award Agreement shall be governed by, and construed in accordance with, the substantive laws of Switzerland.</w:t>
      </w:r>
    </w:p>
    <w:p>
      <w:pPr>
        <w:spacing w:after="0" w:line="324" w:lineRule="exact"/>
        <w:rPr>
          <w:sz w:val="20"/>
          <w:szCs w:val="20"/>
          <w:color w:val="auto"/>
        </w:rPr>
      </w:pPr>
    </w:p>
    <w:p>
      <w:pPr>
        <w:jc w:val="both"/>
        <w:ind w:hanging="6"/>
        <w:spacing w:after="0" w:line="360" w:lineRule="auto"/>
        <w:rPr>
          <w:sz w:val="20"/>
          <w:szCs w:val="20"/>
          <w:color w:val="auto"/>
        </w:rPr>
      </w:pPr>
      <w:r>
        <w:rPr>
          <w:rFonts w:ascii="Arial" w:cs="Arial" w:eastAsia="Arial" w:hAnsi="Arial"/>
          <w:sz w:val="17"/>
          <w:szCs w:val="17"/>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Entry into Force</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As per the approval of the Board of Directors, this Plan shall enter into force as of March 12, 2025.</w:t>
      </w:r>
    </w:p>
    <w:p>
      <w:pPr>
        <w:sectPr>
          <w:pgSz w:w="11900" w:h="16838" w:orient="portrait"/>
          <w:cols w:equalWidth="0" w:num="1">
            <w:col w:w="11240"/>
          </w:cols>
          <w:pgMar w:left="320" w:top="202" w:right="339" w:bottom="1440" w:gutter="0" w:footer="0" w:header="0"/>
        </w:sectPr>
      </w:pPr>
    </w:p>
    <w:bookmarkStart w:id="344" w:name="page345"/>
    <w:bookmarkEnd w:id="344"/>
    <w:p>
      <w:pPr>
        <w:ind w:left="20"/>
        <w:spacing w:after="0"/>
        <w:rPr>
          <w:sz w:val="20"/>
          <w:szCs w:val="20"/>
          <w:color w:val="auto"/>
        </w:rPr>
      </w:pPr>
      <w:r>
        <w:rPr>
          <w:rFonts w:ascii="Arial" w:cs="Arial" w:eastAsia="Arial" w:hAnsi="Arial"/>
          <w:sz w:val="13"/>
          <w:szCs w:val="13"/>
          <w:color w:val="auto"/>
        </w:rPr>
        <w:t>Molecular Partners AG: Restricted Share Plan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Plan in capitalized form, the following terms shall have the following meaning:</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shall have the meaning set forth in Section 3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shall mean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shall have the meaning set forth in Section 14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 </w:t>
      </w:r>
      <w:r>
        <w:rPr>
          <w:rFonts w:ascii="Arial" w:cs="Arial" w:eastAsia="Arial" w:hAnsi="Arial"/>
          <w:sz w:val="17"/>
          <w:szCs w:val="17"/>
          <w:color w:val="auto"/>
        </w:rPr>
        <w:t>shall mean the Swiss Code of Obligations as amended.</w:t>
      </w:r>
    </w:p>
    <w:p>
      <w:pPr>
        <w:spacing w:after="0" w:line="184"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shall mean Molecular Partners AG or any successor or replacement company or a new parent company, all as may be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Nomination and Compensation Committee </w:t>
      </w:r>
      <w:r>
        <w:rPr>
          <w:rFonts w:ascii="Arial" w:cs="Arial" w:eastAsia="Arial" w:hAnsi="Arial"/>
          <w:sz w:val="17"/>
          <w:szCs w:val="17"/>
          <w:color w:val="auto"/>
        </w:rPr>
        <w:t>shall have the meaning set forth in Section 3 above.</w:t>
      </w:r>
    </w:p>
    <w:p>
      <w:pPr>
        <w:spacing w:after="0" w:line="184" w:lineRule="exact"/>
        <w:rPr>
          <w:sz w:val="20"/>
          <w:szCs w:val="20"/>
          <w:color w:val="auto"/>
        </w:rPr>
      </w:pPr>
    </w:p>
    <w:p>
      <w:pPr>
        <w:spacing w:after="0" w:line="360" w:lineRule="auto"/>
        <w:rPr>
          <w:sz w:val="20"/>
          <w:szCs w:val="20"/>
          <w:color w:val="auto"/>
        </w:rPr>
      </w:pPr>
      <w:r>
        <w:rPr>
          <w:rFonts w:ascii="Arial" w:cs="Arial" w:eastAsia="Arial" w:hAnsi="Arial"/>
          <w:sz w:val="17"/>
          <w:szCs w:val="17"/>
          <w:b w:val="1"/>
          <w:bCs w:val="1"/>
          <w:color w:val="auto"/>
        </w:rPr>
        <w:t xml:space="preserve">Compensation Ordinance </w:t>
      </w:r>
      <w:r>
        <w:rPr>
          <w:rFonts w:ascii="Arial" w:cs="Arial" w:eastAsia="Arial" w:hAnsi="Arial"/>
          <w:sz w:val="17"/>
          <w:szCs w:val="17"/>
          <w:color w:val="auto"/>
        </w:rPr>
        <w:t>shall mean the Federal Ordinance against Excessive Compensation in Listed Companies of November 20, 2013,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amended or replaced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Date </w:t>
      </w:r>
      <w:r>
        <w:rPr>
          <w:rFonts w:ascii="Arial" w:cs="Arial" w:eastAsia="Arial" w:hAnsi="Arial"/>
          <w:sz w:val="17"/>
          <w:szCs w:val="17"/>
          <w:color w:val="auto"/>
        </w:rPr>
        <w:t>shall have the meaning set forth in Section 5 above.</w:t>
      </w:r>
    </w:p>
    <w:p>
      <w:pPr>
        <w:spacing w:after="0" w:line="172"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Group Company </w:t>
      </w:r>
      <w:r>
        <w:rPr>
          <w:rFonts w:ascii="Arial" w:cs="Arial" w:eastAsia="Arial" w:hAnsi="Arial"/>
          <w:sz w:val="17"/>
          <w:szCs w:val="17"/>
          <w:color w:val="auto"/>
        </w:rPr>
        <w:t>shall mean the Company and any company or entity of which at least 50% of the ownership or voting rights are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owned or otherwise controlled by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Participant </w:t>
      </w:r>
      <w:r>
        <w:rPr>
          <w:rFonts w:ascii="Arial" w:cs="Arial" w:eastAsia="Arial" w:hAnsi="Arial"/>
          <w:sz w:val="17"/>
          <w:szCs w:val="17"/>
          <w:color w:val="auto"/>
        </w:rPr>
        <w:t>shall mean any eligible person to whom the Company has granted RSUs through a RSU Award Agreement based on this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shall have the meaning set forth in Section 1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Service Provider </w:t>
      </w:r>
      <w:r>
        <w:rPr>
          <w:rFonts w:ascii="Arial" w:cs="Arial" w:eastAsia="Arial" w:hAnsi="Arial"/>
          <w:sz w:val="17"/>
          <w:szCs w:val="17"/>
          <w:color w:val="auto"/>
        </w:rPr>
        <w:t>shall have the meaning set forth in Section 3 (e) above.</w:t>
      </w:r>
    </w:p>
    <w:p>
      <w:pPr>
        <w:spacing w:after="0" w:line="172" w:lineRule="exact"/>
        <w:rPr>
          <w:sz w:val="20"/>
          <w:szCs w:val="20"/>
          <w:color w:val="auto"/>
        </w:rPr>
      </w:pPr>
    </w:p>
    <w:p>
      <w:pPr>
        <w:spacing w:after="0" w:line="375" w:lineRule="auto"/>
        <w:rPr>
          <w:sz w:val="20"/>
          <w:szCs w:val="20"/>
          <w:color w:val="auto"/>
        </w:rPr>
      </w:pPr>
      <w:r>
        <w:rPr>
          <w:rFonts w:ascii="Arial" w:cs="Arial" w:eastAsia="Arial" w:hAnsi="Arial"/>
          <w:sz w:val="17"/>
          <w:szCs w:val="17"/>
          <w:b w:val="1"/>
          <w:bCs w:val="1"/>
          <w:color w:val="auto"/>
        </w:rPr>
        <w:t xml:space="preserve">Relationship </w:t>
      </w:r>
      <w:r>
        <w:rPr>
          <w:rFonts w:ascii="Arial" w:cs="Arial" w:eastAsia="Arial" w:hAnsi="Arial"/>
          <w:sz w:val="17"/>
          <w:szCs w:val="17"/>
          <w:color w:val="auto"/>
        </w:rPr>
        <w:t>shall mean the board relationship and any relating contractual relationship of a member of the Board of Directors and the consultancy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legal or contractual relationship of any other Participant.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RSU </w:t>
      </w:r>
      <w:r>
        <w:rPr>
          <w:rFonts w:ascii="Arial" w:cs="Arial" w:eastAsia="Arial" w:hAnsi="Arial"/>
          <w:sz w:val="17"/>
          <w:szCs w:val="17"/>
          <w:color w:val="auto"/>
        </w:rPr>
        <w:t>shall have the meaning set forth in Section 1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RSU Award Agreement </w:t>
      </w:r>
      <w:r>
        <w:rPr>
          <w:rFonts w:ascii="Arial" w:cs="Arial" w:eastAsia="Arial" w:hAnsi="Arial"/>
          <w:sz w:val="17"/>
          <w:szCs w:val="17"/>
          <w:color w:val="auto"/>
        </w:rPr>
        <w:t>shall have the meaning set forth in Section 4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Shares </w:t>
      </w:r>
      <w:r>
        <w:rPr>
          <w:rFonts w:ascii="Arial" w:cs="Arial" w:eastAsia="Arial" w:hAnsi="Arial"/>
          <w:sz w:val="17"/>
          <w:szCs w:val="17"/>
          <w:color w:val="auto"/>
        </w:rPr>
        <w:t>shall have the meaning set forth in Section 9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Date </w:t>
      </w:r>
      <w:r>
        <w:rPr>
          <w:rFonts w:ascii="Arial" w:cs="Arial" w:eastAsia="Arial" w:hAnsi="Arial"/>
          <w:sz w:val="17"/>
          <w:szCs w:val="17"/>
          <w:color w:val="auto"/>
        </w:rPr>
        <w:t>shall have the meaning set forth in Section 8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Period </w:t>
      </w:r>
      <w:r>
        <w:rPr>
          <w:rFonts w:ascii="Arial" w:cs="Arial" w:eastAsia="Arial" w:hAnsi="Arial"/>
          <w:sz w:val="17"/>
          <w:szCs w:val="17"/>
          <w:color w:val="auto"/>
        </w:rPr>
        <w:t>shall have the meaning set forth in Section 8 above.</w:t>
      </w:r>
    </w:p>
    <w:p>
      <w:pPr>
        <w:sectPr>
          <w:pgSz w:w="11900" w:h="16838" w:orient="portrait"/>
          <w:cols w:equalWidth="0" w:num="1">
            <w:col w:w="11240"/>
          </w:cols>
          <w:pgMar w:left="320" w:top="202" w:right="339" w:bottom="1440" w:gutter="0" w:footer="0" w:header="0"/>
        </w:sectPr>
      </w:pPr>
    </w:p>
    <w:bookmarkStart w:id="345" w:name="page346"/>
    <w:bookmarkEnd w:id="345"/>
    <w:p>
      <w:pPr>
        <w:ind w:left="20"/>
        <w:spacing w:after="0"/>
        <w:rPr>
          <w:sz w:val="20"/>
          <w:szCs w:val="20"/>
          <w:color w:val="auto"/>
        </w:rPr>
      </w:pPr>
      <w:r>
        <w:rPr>
          <w:rFonts w:ascii="Arial" w:cs="Arial" w:eastAsia="Arial" w:hAnsi="Arial"/>
          <w:sz w:val="13"/>
          <w:szCs w:val="13"/>
          <w:color w:val="auto"/>
        </w:rPr>
        <w:t>Molecular Partners AG: Restricted Share Plan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Annex 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RSU Award Agreement 2025</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the Grant Date set forth below by and between Molecular Partners AG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«Vorname» «Nachname», «Adresse», «PLZ» «Ort» </w:t>
      </w:r>
      <w:r>
        <w:rPr>
          <w:rFonts w:ascii="Arial" w:cs="Arial" w:eastAsia="Arial" w:hAnsi="Arial"/>
          <w:sz w:val="17"/>
          <w:szCs w:val="17"/>
          <w:color w:val="auto"/>
        </w:rPr>
        <w:t>(the</w:t>
      </w:r>
      <w:r>
        <w:rPr>
          <w:rFonts w:ascii="Arial" w:cs="Arial" w:eastAsia="Arial" w:hAnsi="Arial"/>
          <w:sz w:val="17"/>
          <w:szCs w:val="17"/>
          <w:b w:val="1"/>
          <w:bCs w:val="1"/>
          <w:color w:val="auto"/>
        </w:rPr>
        <w:t xml:space="preserve"> Participant</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connection with the Restricted Share Plan 2025 (the </w:t>
      </w:r>
      <w:r>
        <w:rPr>
          <w:rFonts w:ascii="Arial" w:cs="Arial" w:eastAsia="Arial" w:hAnsi="Arial"/>
          <w:sz w:val="17"/>
          <w:szCs w:val="17"/>
          <w:b w:val="1"/>
          <w:bCs w:val="1"/>
          <w:color w:val="auto"/>
        </w:rPr>
        <w:t>RSU Plan</w:t>
      </w:r>
      <w:r>
        <w:rPr>
          <w:rFonts w:ascii="Arial" w:cs="Arial" w:eastAsia="Arial" w:hAnsi="Arial"/>
          <w:sz w:val="17"/>
          <w:szCs w:val="17"/>
          <w:color w:val="auto"/>
        </w:rPr>
        <w:t>), issued by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 assigned to them in the RSU Plan.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and conditions of the RSU Plan, the Company hereby grants to you the following RSUs:</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303"/>
        </w:trPr>
        <w:tc>
          <w:tcPr>
            <w:tcW w:w="2980" w:type="dxa"/>
            <w:vAlign w:val="bottom"/>
          </w:tcPr>
          <w:p>
            <w:pPr>
              <w:spacing w:after="0"/>
              <w:rPr>
                <w:sz w:val="20"/>
                <w:szCs w:val="20"/>
                <w:color w:val="auto"/>
              </w:rPr>
            </w:pPr>
            <w:r>
              <w:rPr>
                <w:rFonts w:ascii="Arial" w:cs="Arial" w:eastAsia="Arial" w:hAnsi="Arial"/>
                <w:sz w:val="17"/>
                <w:szCs w:val="17"/>
                <w:b w:val="1"/>
                <w:bCs w:val="1"/>
                <w:color w:val="auto"/>
              </w:rPr>
              <w:t>Number of RSUs</w:t>
            </w:r>
          </w:p>
        </w:tc>
        <w:tc>
          <w:tcPr>
            <w:tcW w:w="7320" w:type="dxa"/>
            <w:vAlign w:val="bottom"/>
            <w:shd w:val="clear" w:color="auto" w:fill="D9D9D9"/>
          </w:tcPr>
          <w:p>
            <w:pPr>
              <w:ind w:left="20"/>
              <w:spacing w:after="0"/>
              <w:rPr>
                <w:sz w:val="20"/>
                <w:szCs w:val="20"/>
                <w:color w:val="auto"/>
              </w:rPr>
            </w:pPr>
            <w:r>
              <w:rPr>
                <w:rFonts w:ascii="Arial" w:cs="Arial" w:eastAsia="Arial" w:hAnsi="Arial"/>
                <w:sz w:val="17"/>
                <w:szCs w:val="17"/>
                <w:color w:val="auto"/>
              </w:rPr>
              <w:t>«Final_no_of_RSUs_rounded»</w:t>
            </w:r>
          </w:p>
        </w:tc>
      </w:tr>
      <w:tr>
        <w:trPr>
          <w:trHeight w:val="393"/>
        </w:trPr>
        <w:tc>
          <w:tcPr>
            <w:tcW w:w="298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7320" w:type="dxa"/>
            <w:vAlign w:val="bottom"/>
            <w:shd w:val="clear" w:color="auto" w:fill="D9D9D9"/>
          </w:tcPr>
          <w:p>
            <w:pPr>
              <w:ind w:left="20"/>
              <w:spacing w:after="0"/>
              <w:rPr>
                <w:sz w:val="20"/>
                <w:szCs w:val="20"/>
                <w:color w:val="auto"/>
              </w:rPr>
            </w:pPr>
            <w:r>
              <w:rPr>
                <w:rFonts w:ascii="Arial" w:cs="Arial" w:eastAsia="Arial" w:hAnsi="Arial"/>
                <w:sz w:val="17"/>
                <w:szCs w:val="17"/>
                <w:color w:val="auto"/>
              </w:rPr>
              <w:t>«Grant_Date»</w:t>
            </w:r>
          </w:p>
        </w:tc>
      </w:tr>
      <w:tr>
        <w:trPr>
          <w:trHeight w:val="393"/>
        </w:trPr>
        <w:tc>
          <w:tcPr>
            <w:tcW w:w="2980" w:type="dxa"/>
            <w:vAlign w:val="bottom"/>
          </w:tcPr>
          <w:p>
            <w:pPr>
              <w:spacing w:after="0"/>
              <w:rPr>
                <w:sz w:val="20"/>
                <w:szCs w:val="20"/>
                <w:color w:val="auto"/>
              </w:rPr>
            </w:pPr>
            <w:r>
              <w:rPr>
                <w:rFonts w:ascii="Arial" w:cs="Arial" w:eastAsia="Arial" w:hAnsi="Arial"/>
                <w:sz w:val="17"/>
                <w:szCs w:val="17"/>
                <w:b w:val="1"/>
                <w:bCs w:val="1"/>
                <w:color w:val="auto"/>
              </w:rPr>
              <w:t>Start Vesting Date</w:t>
            </w:r>
          </w:p>
        </w:tc>
        <w:tc>
          <w:tcPr>
            <w:tcW w:w="7320" w:type="dxa"/>
            <w:vAlign w:val="bottom"/>
            <w:shd w:val="clear" w:color="auto" w:fill="D9D9D9"/>
          </w:tcPr>
          <w:p>
            <w:pPr>
              <w:ind w:left="20"/>
              <w:spacing w:after="0"/>
              <w:rPr>
                <w:sz w:val="20"/>
                <w:szCs w:val="20"/>
                <w:color w:val="auto"/>
              </w:rPr>
            </w:pPr>
            <w:r>
              <w:rPr>
                <w:rFonts w:ascii="Arial" w:cs="Arial" w:eastAsia="Arial" w:hAnsi="Arial"/>
                <w:sz w:val="17"/>
                <w:szCs w:val="17"/>
                <w:color w:val="auto"/>
              </w:rPr>
              <w:t>«Start_Vesting»</w:t>
            </w:r>
          </w:p>
        </w:tc>
      </w:tr>
      <w:tr>
        <w:trPr>
          <w:trHeight w:val="393"/>
        </w:trPr>
        <w:tc>
          <w:tcPr>
            <w:tcW w:w="2980" w:type="dxa"/>
            <w:vAlign w:val="bottom"/>
          </w:tcPr>
          <w:p>
            <w:pPr>
              <w:spacing w:after="0"/>
              <w:rPr>
                <w:sz w:val="20"/>
                <w:szCs w:val="20"/>
                <w:color w:val="auto"/>
              </w:rPr>
            </w:pPr>
            <w:r>
              <w:rPr>
                <w:rFonts w:ascii="Arial" w:cs="Arial" w:eastAsia="Arial" w:hAnsi="Arial"/>
                <w:sz w:val="17"/>
                <w:szCs w:val="17"/>
                <w:b w:val="1"/>
                <w:bCs w:val="1"/>
                <w:color w:val="auto"/>
              </w:rPr>
              <w:t>Vesting Date</w:t>
            </w:r>
          </w:p>
        </w:tc>
        <w:tc>
          <w:tcPr>
            <w:tcW w:w="7320" w:type="dxa"/>
            <w:vAlign w:val="bottom"/>
            <w:shd w:val="clear" w:color="auto" w:fill="D9D9D9"/>
          </w:tcPr>
          <w:p>
            <w:pPr>
              <w:ind w:left="20"/>
              <w:spacing w:after="0"/>
              <w:rPr>
                <w:sz w:val="20"/>
                <w:szCs w:val="20"/>
                <w:color w:val="auto"/>
              </w:rPr>
            </w:pPr>
            <w:r>
              <w:rPr>
                <w:rFonts w:ascii="Arial" w:cs="Arial" w:eastAsia="Arial" w:hAnsi="Arial"/>
                <w:sz w:val="17"/>
                <w:szCs w:val="17"/>
                <w:color w:val="auto"/>
              </w:rPr>
              <w:t>«End_Vesting»</w:t>
            </w:r>
          </w:p>
        </w:tc>
      </w:tr>
      <w:tr>
        <w:trPr>
          <w:trHeight w:val="393"/>
        </w:trPr>
        <w:tc>
          <w:tcPr>
            <w:tcW w:w="2980" w:type="dxa"/>
            <w:vAlign w:val="bottom"/>
          </w:tcPr>
          <w:p>
            <w:pPr>
              <w:spacing w:after="0"/>
              <w:rPr>
                <w:sz w:val="20"/>
                <w:szCs w:val="20"/>
                <w:color w:val="auto"/>
              </w:rPr>
            </w:pPr>
            <w:r>
              <w:rPr>
                <w:rFonts w:ascii="Arial" w:cs="Arial" w:eastAsia="Arial" w:hAnsi="Arial"/>
                <w:sz w:val="17"/>
                <w:szCs w:val="17"/>
                <w:b w:val="1"/>
                <w:bCs w:val="1"/>
                <w:color w:val="auto"/>
              </w:rPr>
              <w:t>Agreement number</w:t>
            </w:r>
          </w:p>
        </w:tc>
        <w:tc>
          <w:tcPr>
            <w:tcW w:w="7320" w:type="dxa"/>
            <w:vAlign w:val="bottom"/>
            <w:shd w:val="clear" w:color="auto" w:fill="D9D9D9"/>
          </w:tcPr>
          <w:p>
            <w:pPr>
              <w:ind w:left="20"/>
              <w:spacing w:after="0"/>
              <w:rPr>
                <w:sz w:val="20"/>
                <w:szCs w:val="20"/>
                <w:color w:val="auto"/>
              </w:rPr>
            </w:pPr>
            <w:r>
              <w:rPr>
                <w:rFonts w:ascii="Arial" w:cs="Arial" w:eastAsia="Arial" w:hAnsi="Arial"/>
                <w:sz w:val="17"/>
                <w:szCs w:val="17"/>
                <w:color w:val="auto"/>
              </w:rPr>
              <w:t>«Agreement_no»</w:t>
            </w:r>
          </w:p>
        </w:tc>
      </w:tr>
      <w:tr>
        <w:trPr>
          <w:trHeight w:val="90"/>
        </w:trPr>
        <w:tc>
          <w:tcPr>
            <w:tcW w:w="2980" w:type="dxa"/>
            <w:vAlign w:val="bottom"/>
          </w:tcPr>
          <w:p>
            <w:pPr>
              <w:spacing w:after="0"/>
              <w:rPr>
                <w:sz w:val="7"/>
                <w:szCs w:val="7"/>
                <w:color w:val="auto"/>
              </w:rPr>
            </w:pPr>
          </w:p>
        </w:tc>
        <w:tc>
          <w:tcPr>
            <w:tcW w:w="7320" w:type="dxa"/>
            <w:vAlign w:val="bottom"/>
            <w:shd w:val="clear" w:color="auto" w:fill="D9D9D9"/>
          </w:tcPr>
          <w:p>
            <w:pPr>
              <w:spacing w:after="0"/>
              <w:rPr>
                <w:sz w:val="7"/>
                <w:szCs w:val="7"/>
                <w:color w:val="auto"/>
              </w:rPr>
            </w:pPr>
          </w:p>
        </w:tc>
      </w:tr>
    </w:tbl>
    <w:p>
      <w:pPr>
        <w:spacing w:after="0" w:line="312"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The grants and any rights associated therewith are personal and not transferable. Please note that the RSU Plan includes a number of restrictions and conditions, which may lead to a complete loss of any entitlements hereunder.</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7"/>
          <w:szCs w:val="17"/>
          <w:color w:val="auto"/>
        </w:rPr>
        <w:t>By entering this Agreement, you accept the grant of the RSUs in accordance with this Agreement and the RSU Plan attached hereto. In order to do so, please sign and return this Agreement no later than by April 30, 2025 to the Secretary of the Board of Directors.</w:t>
      </w:r>
    </w:p>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Molecular Partners AG</w:t>
      </w:r>
    </w:p>
    <w:p>
      <w:pPr>
        <w:sectPr>
          <w:pgSz w:w="11900" w:h="16838" w:orient="portrait"/>
          <w:cols w:equalWidth="0" w:num="1">
            <w:col w:w="11240"/>
          </w:cols>
          <w:pgMar w:left="320" w:top="202"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26" w:lineRule="exact"/>
        <w:rPr>
          <w:sz w:val="20"/>
          <w:szCs w:val="20"/>
          <w:color w:val="auto"/>
        </w:rPr>
      </w:pPr>
    </w:p>
    <w:p>
      <w:pPr>
        <w:sectPr>
          <w:pgSz w:w="11900" w:h="16838" w:orient="portrait"/>
          <w:cols w:equalWidth="0" w:num="2">
            <w:col w:w="2440" w:space="180"/>
            <w:col w:w="8620"/>
          </w:cols>
          <w:pgMar w:left="320" w:top="202" w:right="339" w:bottom="1440" w:gutter="0" w:footer="0" w:header="0"/>
          <w:type w:val="continuous"/>
        </w:sectPr>
      </w:pPr>
    </w:p>
    <w:p>
      <w:pPr>
        <w:spacing w:after="0"/>
        <w:rPr>
          <w:sz w:val="20"/>
          <w:szCs w:val="20"/>
          <w:color w:val="auto"/>
        </w:rPr>
      </w:pPr>
      <w:r>
        <w:rPr>
          <w:rFonts w:ascii="Arial" w:cs="Arial" w:eastAsia="Arial" w:hAnsi="Arial"/>
          <w:sz w:val="15"/>
          <w:szCs w:val="15"/>
          <w:color w:val="auto"/>
        </w:rPr>
        <w:t>By: Patrick Amstutz,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By: Robert Hendriks, SVP Finance</w:t>
      </w:r>
    </w:p>
    <w:p>
      <w:pPr>
        <w:spacing w:after="0" w:line="200" w:lineRule="exact"/>
        <w:rPr>
          <w:sz w:val="20"/>
          <w:szCs w:val="20"/>
          <w:color w:val="auto"/>
        </w:rPr>
      </w:pPr>
    </w:p>
    <w:p>
      <w:pPr>
        <w:sectPr>
          <w:pgSz w:w="11900" w:h="16838" w:orient="portrait"/>
          <w:cols w:equalWidth="0" w:num="2">
            <w:col w:w="1740" w:space="500"/>
            <w:col w:w="9000"/>
          </w:cols>
          <w:pgMar w:left="320" w:top="202"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by the Participant 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(Date, Signature):</w:t>
      </w:r>
    </w:p>
    <w:p>
      <w:pPr>
        <w:spacing w:after="0" w:line="200" w:lineRule="exact"/>
        <w:rPr>
          <w:sz w:val="20"/>
          <w:szCs w:val="20"/>
          <w:color w:val="auto"/>
        </w:rPr>
      </w:pPr>
    </w:p>
    <w:p>
      <w:pPr>
        <w:sectPr>
          <w:pgSz w:w="11900" w:h="16838" w:orient="portrait"/>
          <w:cols w:equalWidth="0" w:num="2">
            <w:col w:w="3200" w:space="40"/>
            <w:col w:w="8000"/>
          </w:cols>
          <w:pgMar w:left="320" w:top="202" w:right="339" w:bottom="1440" w:gutter="0" w:footer="0" w:header="0"/>
          <w:type w:val="continuous"/>
        </w:sectPr>
      </w:pPr>
    </w:p>
    <w:p>
      <w:pPr>
        <w:spacing w:after="0" w:line="256"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__________________________</w:t>
        <w:tab/>
        <w:t>__________________________</w:t>
      </w:r>
    </w:p>
    <w:p>
      <w:pPr>
        <w:sectPr>
          <w:pgSz w:w="11900" w:h="16838" w:orient="portrait"/>
          <w:cols w:equalWidth="0" w:num="1">
            <w:col w:w="11240"/>
          </w:cols>
          <w:pgMar w:left="320" w:top="202" w:right="339" w:bottom="1440" w:gutter="0" w:footer="0" w:header="0"/>
          <w:type w:val="continuous"/>
        </w:sectPr>
      </w:pPr>
    </w:p>
    <w:bookmarkStart w:id="346" w:name="page347"/>
    <w:bookmarkEnd w:id="346"/>
    <w:tbl>
      <w:tblPr>
        <w:tblLayout w:type="fixed"/>
        <w:tblInd w:w="20" w:type="dxa"/>
        <w:tblCellMar>
          <w:top w:w="0" w:type="dxa"/>
          <w:left w:w="0" w:type="dxa"/>
          <w:bottom w:w="0" w:type="dxa"/>
          <w:right w:w="0" w:type="dxa"/>
        </w:tblCellMar>
      </w:tblPr>
      <w:tr>
        <w:trPr>
          <w:trHeight w:val="167"/>
        </w:trPr>
        <w:tc>
          <w:tcPr>
            <w:tcW w:w="6940" w:type="dxa"/>
            <w:vAlign w:val="bottom"/>
          </w:tcPr>
          <w:p>
            <w:pPr>
              <w:spacing w:after="0"/>
              <w:rPr>
                <w:sz w:val="20"/>
                <w:szCs w:val="20"/>
                <w:color w:val="auto"/>
              </w:rPr>
            </w:pPr>
            <w:r>
              <w:rPr>
                <w:rFonts w:ascii="Arial" w:cs="Arial" w:eastAsia="Arial" w:hAnsi="Arial"/>
                <w:sz w:val="13"/>
                <w:szCs w:val="13"/>
                <w:color w:val="auto"/>
              </w:rPr>
              <w:t>Molecular Partners AG: Restricted Share Plan 2025</w:t>
            </w:r>
          </w:p>
        </w:tc>
        <w:tc>
          <w:tcPr>
            <w:tcW w:w="428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Attachments: RSU Plan 2025</w:t>
      </w:r>
    </w:p>
    <w:p>
      <w:pPr>
        <w:sectPr>
          <w:pgSz w:w="11900" w:h="16838" w:orient="portrait"/>
          <w:cols w:equalWidth="0" w:num="1">
            <w:col w:w="11240"/>
          </w:cols>
          <w:pgMar w:left="320" w:top="203" w:right="339" w:bottom="1440" w:gutter="0" w:footer="0" w:header="0"/>
        </w:sectPr>
      </w:pPr>
    </w:p>
    <w:bookmarkStart w:id="347" w:name="page348"/>
    <w:bookmarkEnd w:id="347"/>
    <w:p>
      <w:pPr>
        <w:ind w:left="6680"/>
        <w:spacing w:after="0"/>
        <w:rPr>
          <w:sz w:val="20"/>
          <w:szCs w:val="20"/>
          <w:color w:val="auto"/>
        </w:rPr>
      </w:pPr>
      <w:r>
        <w:rPr>
          <w:rFonts w:ascii="Calibri" w:cs="Calibri" w:eastAsia="Calibri" w:hAnsi="Calibri"/>
          <w:sz w:val="17"/>
          <w:szCs w:val="17"/>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214120" cy="273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1214120"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0" w:type="dxa"/>
            <w:vAlign w:val="bottom"/>
          </w:tcPr>
          <w:p>
            <w:pPr>
              <w:spacing w:after="0"/>
              <w:rPr>
                <w:sz w:val="21"/>
                <w:szCs w:val="21"/>
                <w:color w:val="auto"/>
              </w:rPr>
            </w:pPr>
          </w:p>
        </w:tc>
        <w:tc>
          <w:tcPr>
            <w:tcW w:w="10200" w:type="dxa"/>
            <w:vAlign w:val="bottom"/>
          </w:tcPr>
          <w:p>
            <w:pPr>
              <w:ind w:left="4120"/>
              <w:spacing w:after="0"/>
              <w:rPr>
                <w:sz w:val="20"/>
                <w:szCs w:val="20"/>
                <w:color w:val="auto"/>
              </w:rPr>
            </w:pPr>
            <w:r>
              <w:rPr>
                <w:rFonts w:ascii="Calibri" w:cs="Calibri" w:eastAsia="Calibri" w:hAnsi="Calibri"/>
                <w:sz w:val="20"/>
                <w:szCs w:val="20"/>
                <w:b w:val="1"/>
                <w:bCs w:val="1"/>
                <w:color w:val="auto"/>
              </w:rPr>
              <w:t>SECURITIES TRADING POLICY</w:t>
            </w:r>
          </w:p>
        </w:tc>
        <w:tc>
          <w:tcPr>
            <w:tcW w:w="720" w:type="dxa"/>
            <w:vAlign w:val="bottom"/>
          </w:tcPr>
          <w:p>
            <w:pPr>
              <w:spacing w:after="0"/>
              <w:rPr>
                <w:sz w:val="21"/>
                <w:szCs w:val="21"/>
                <w:color w:val="auto"/>
              </w:rPr>
            </w:pPr>
          </w:p>
        </w:tc>
      </w:tr>
      <w:tr>
        <w:trPr>
          <w:trHeight w:val="380"/>
        </w:trPr>
        <w:tc>
          <w:tcPr>
            <w:tcW w:w="10500" w:type="dxa"/>
            <w:vAlign w:val="bottom"/>
            <w:gridSpan w:val="2"/>
          </w:tcPr>
          <w:p>
            <w:pPr>
              <w:spacing w:after="0"/>
              <w:rPr>
                <w:sz w:val="20"/>
                <w:szCs w:val="20"/>
                <w:color w:val="auto"/>
              </w:rPr>
            </w:pPr>
            <w:r>
              <w:rPr>
                <w:rFonts w:ascii="Calibri" w:cs="Calibri" w:eastAsia="Calibri" w:hAnsi="Calibri"/>
                <w:sz w:val="20"/>
                <w:szCs w:val="20"/>
                <w:b w:val="1"/>
                <w:bCs w:val="1"/>
                <w:color w:val="auto"/>
              </w:rPr>
              <w:t>TABLE OF CONTENTS</w:t>
            </w:r>
          </w:p>
        </w:tc>
        <w:tc>
          <w:tcPr>
            <w:tcW w:w="720" w:type="dxa"/>
            <w:vAlign w:val="bottom"/>
          </w:tcPr>
          <w:p>
            <w:pPr>
              <w:spacing w:after="0"/>
              <w:rPr>
                <w:sz w:val="24"/>
                <w:szCs w:val="24"/>
                <w:color w:val="auto"/>
              </w:rPr>
            </w:pPr>
          </w:p>
        </w:tc>
      </w:tr>
      <w:tr>
        <w:trPr>
          <w:trHeight w:val="304"/>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1</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PURPOSE</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2</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SCOPE</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3</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REFERENCES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3.1</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Regulatory Guidelines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3.2</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Governing Documents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4</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DEFINITIONS AND ABBREVIATIONS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3</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4.1</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Defnitons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3</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4.2</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Abbreviatons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3</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PROCEDURE</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5.1</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Relevant Securites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5.2</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Insider Informaton</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5.3</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General Restrictons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5</w:t>
            </w:r>
          </w:p>
        </w:tc>
      </w:tr>
      <w:tr>
        <w:trPr>
          <w:trHeight w:val="253"/>
        </w:trPr>
        <w:tc>
          <w:tcPr>
            <w:tcW w:w="10500" w:type="dxa"/>
            <w:vAlign w:val="bottom"/>
            <w:gridSpan w:val="2"/>
          </w:tcPr>
          <w:p>
            <w:pPr>
              <w:ind w:left="20"/>
              <w:spacing w:after="0"/>
              <w:rPr>
                <w:sz w:val="20"/>
                <w:szCs w:val="20"/>
                <w:color w:val="auto"/>
              </w:rPr>
            </w:pPr>
            <w:r>
              <w:rPr>
                <w:rFonts w:ascii="Calibri" w:cs="Calibri" w:eastAsia="Calibri" w:hAnsi="Calibri"/>
                <w:sz w:val="20"/>
                <w:szCs w:val="20"/>
                <w:color w:val="auto"/>
              </w:rPr>
              <w:t>5.3.1  Restrictons based on Insider Informaton</w:t>
            </w:r>
          </w:p>
        </w:tc>
        <w:tc>
          <w:tcPr>
            <w:tcW w:w="720" w:type="dxa"/>
            <w:vAlign w:val="bottom"/>
          </w:tcPr>
          <w:p>
            <w:pPr>
              <w:jc w:val="right"/>
              <w:spacing w:after="0"/>
              <w:rPr>
                <w:sz w:val="20"/>
                <w:szCs w:val="20"/>
                <w:color w:val="auto"/>
              </w:rPr>
            </w:pPr>
            <w:r>
              <w:rPr>
                <w:rFonts w:ascii="Calibri" w:cs="Calibri" w:eastAsia="Calibri" w:hAnsi="Calibri"/>
                <w:sz w:val="20"/>
                <w:szCs w:val="20"/>
                <w:color w:val="auto"/>
              </w:rPr>
              <w:t>5</w:t>
            </w:r>
          </w:p>
        </w:tc>
      </w:tr>
      <w:tr>
        <w:trPr>
          <w:trHeight w:val="253"/>
        </w:trPr>
        <w:tc>
          <w:tcPr>
            <w:tcW w:w="10500" w:type="dxa"/>
            <w:vAlign w:val="bottom"/>
            <w:gridSpan w:val="2"/>
          </w:tcPr>
          <w:p>
            <w:pPr>
              <w:ind w:left="20"/>
              <w:spacing w:after="0"/>
              <w:rPr>
                <w:sz w:val="20"/>
                <w:szCs w:val="20"/>
                <w:color w:val="auto"/>
              </w:rPr>
            </w:pPr>
            <w:r>
              <w:rPr>
                <w:rFonts w:ascii="Calibri" w:cs="Calibri" w:eastAsia="Calibri" w:hAnsi="Calibri"/>
                <w:sz w:val="20"/>
                <w:szCs w:val="20"/>
                <w:color w:val="auto"/>
              </w:rPr>
              <w:t>5.3.2  Restrictons outside Trading Windows</w:t>
            </w:r>
          </w:p>
        </w:tc>
        <w:tc>
          <w:tcPr>
            <w:tcW w:w="72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5.4</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Specifc Restrictons for Members of the Board of Directors and the Management Board and the Board Secretary</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5.5</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Rules with respect to Market Manipulaton</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5.6</w:t>
            </w:r>
          </w:p>
        </w:tc>
        <w:tc>
          <w:tcPr>
            <w:tcW w:w="10200" w:type="dxa"/>
            <w:vAlign w:val="bottom"/>
          </w:tcPr>
          <w:p>
            <w:pPr>
              <w:ind w:left="160"/>
              <w:spacing w:after="0"/>
              <w:rPr>
                <w:sz w:val="20"/>
                <w:szCs w:val="20"/>
                <w:color w:val="auto"/>
              </w:rPr>
            </w:pPr>
            <w:r>
              <w:rPr>
                <w:rFonts w:ascii="Calibri" w:cs="Calibri" w:eastAsia="Calibri" w:hAnsi="Calibri"/>
                <w:sz w:val="20"/>
                <w:szCs w:val="20"/>
                <w:b w:val="1"/>
                <w:bCs w:val="1"/>
                <w:color w:val="auto"/>
              </w:rPr>
              <w:t>Sanctons in Case of Violaton</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6</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DOCUMENTATION</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7</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APPENDICES</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53"/>
        </w:trPr>
        <w:tc>
          <w:tcPr>
            <w:tcW w:w="300" w:type="dxa"/>
            <w:vAlign w:val="bottom"/>
          </w:tcPr>
          <w:p>
            <w:pPr>
              <w:ind w:left="20"/>
              <w:spacing w:after="0"/>
              <w:rPr>
                <w:sz w:val="20"/>
                <w:szCs w:val="20"/>
                <w:color w:val="auto"/>
              </w:rPr>
            </w:pPr>
            <w:r>
              <w:rPr>
                <w:rFonts w:ascii="Calibri" w:cs="Calibri" w:eastAsia="Calibri" w:hAnsi="Calibri"/>
                <w:sz w:val="20"/>
                <w:szCs w:val="20"/>
                <w:b w:val="1"/>
                <w:bCs w:val="1"/>
                <w:color w:val="auto"/>
              </w:rPr>
              <w:t>8</w:t>
            </w:r>
          </w:p>
        </w:tc>
        <w:tc>
          <w:tcPr>
            <w:tcW w:w="10200" w:type="dxa"/>
            <w:vAlign w:val="bottom"/>
          </w:tcPr>
          <w:p>
            <w:pPr>
              <w:spacing w:after="0"/>
              <w:rPr>
                <w:sz w:val="20"/>
                <w:szCs w:val="20"/>
                <w:color w:val="auto"/>
              </w:rPr>
            </w:pPr>
            <w:r>
              <w:rPr>
                <w:rFonts w:ascii="Calibri" w:cs="Calibri" w:eastAsia="Calibri" w:hAnsi="Calibri"/>
                <w:sz w:val="20"/>
                <w:szCs w:val="20"/>
                <w:b w:val="1"/>
                <w:bCs w:val="1"/>
                <w:color w:val="auto"/>
              </w:rPr>
              <w:t>CHANGE HISTORY</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 w:hanging="599"/>
        <w:spacing w:after="0"/>
        <w:tabs>
          <w:tab w:leader="none" w:pos="600" w:val="left"/>
        </w:tabs>
        <w:numPr>
          <w:ilvl w:val="0"/>
          <w:numId w:val="29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PURPOSE</w:t>
      </w:r>
    </w:p>
    <w:p>
      <w:pPr>
        <w:spacing w:after="0" w:line="37" w:lineRule="exact"/>
        <w:rPr>
          <w:sz w:val="20"/>
          <w:szCs w:val="20"/>
          <w:color w:val="auto"/>
        </w:rPr>
      </w:pPr>
    </w:p>
    <w:p>
      <w:pPr>
        <w:ind w:right="100"/>
        <w:spacing w:after="0" w:line="248" w:lineRule="auto"/>
        <w:rPr>
          <w:sz w:val="20"/>
          <w:szCs w:val="20"/>
          <w:color w:val="auto"/>
        </w:rPr>
      </w:pPr>
      <w:r>
        <w:rPr>
          <w:rFonts w:ascii="Calibri" w:cs="Calibri" w:eastAsia="Calibri" w:hAnsi="Calibri"/>
          <w:sz w:val="20"/>
          <w:szCs w:val="20"/>
          <w:color w:val="auto"/>
        </w:rPr>
        <w:t>Molecular Partners AG (Company), a company incorporated in Schlieren, Switzerland, and listed on the SIX Swiss Exchange Ltd. (SIX) and The Nasdaq Stock Market (Nasdaq) and all Covered Persons (as defned below) commit to comply with all applicable laws as well as the rules and regulatons of the SIX and of the Swiss Financial Market Supervisory Authority FINMA (FINMA) with respect to securites trading, misuse of insider informaton and market manipulaton, as well as the federal securites laws of the United States of America and the rules of Nasdaq.</w:t>
      </w:r>
    </w:p>
    <w:p>
      <w:pPr>
        <w:spacing w:after="0" w:line="144" w:lineRule="exact"/>
        <w:rPr>
          <w:sz w:val="20"/>
          <w:szCs w:val="20"/>
          <w:color w:val="auto"/>
        </w:rPr>
      </w:pPr>
    </w:p>
    <w:p>
      <w:pPr>
        <w:ind w:right="80"/>
        <w:spacing w:after="0" w:line="247" w:lineRule="auto"/>
        <w:rPr>
          <w:sz w:val="20"/>
          <w:szCs w:val="20"/>
          <w:color w:val="auto"/>
        </w:rPr>
      </w:pPr>
      <w:r>
        <w:rPr>
          <w:rFonts w:ascii="Calibri" w:cs="Calibri" w:eastAsia="Calibri" w:hAnsi="Calibri"/>
          <w:sz w:val="20"/>
          <w:szCs w:val="20"/>
          <w:color w:val="auto"/>
        </w:rPr>
        <w:t>The present Policy (POL) of Molecular Partners (MP) serves to ensure that Insiders do not take advantage of informaton not available to the investng public and do not engage in market manipulaton or in certain transactons. Accordingly, this POL defnes the rules and procedures applicable to:</w:t>
      </w:r>
    </w:p>
    <w:p>
      <w:pPr>
        <w:spacing w:after="0" w:line="120" w:lineRule="exact"/>
        <w:rPr>
          <w:sz w:val="20"/>
          <w:szCs w:val="20"/>
          <w:color w:val="auto"/>
        </w:rPr>
      </w:pPr>
    </w:p>
    <w:p>
      <w:pPr>
        <w:ind w:left="480" w:hanging="239"/>
        <w:spacing w:after="0" w:line="237" w:lineRule="auto"/>
        <w:tabs>
          <w:tab w:leader="none" w:pos="480" w:val="left"/>
        </w:tabs>
        <w:numPr>
          <w:ilvl w:val="0"/>
          <w:numId w:val="294"/>
        </w:numPr>
        <w:rPr>
          <w:rFonts w:ascii="Arial" w:cs="Arial" w:eastAsia="Arial" w:hAnsi="Arial"/>
          <w:sz w:val="17"/>
          <w:szCs w:val="17"/>
          <w:color w:val="auto"/>
        </w:rPr>
      </w:pPr>
      <w:r>
        <w:rPr>
          <w:rFonts w:ascii="Calibri" w:cs="Calibri" w:eastAsia="Calibri" w:hAnsi="Calibri"/>
          <w:sz w:val="20"/>
          <w:szCs w:val="20"/>
          <w:color w:val="auto"/>
        </w:rPr>
        <w:t>the requirements for Covered Persons to refrain from trading in, and recommending that others trade in, Relevant Securites (as defned in Secton 5.1 below) while possessing Insider Informaton (as defned in Secton 5.2 below);</w:t>
      </w:r>
    </w:p>
    <w:p>
      <w:pPr>
        <w:spacing w:after="0" w:line="110" w:lineRule="exact"/>
        <w:rPr>
          <w:rFonts w:ascii="Arial" w:cs="Arial" w:eastAsia="Arial" w:hAnsi="Arial"/>
          <w:sz w:val="17"/>
          <w:szCs w:val="17"/>
          <w:color w:val="auto"/>
        </w:rPr>
      </w:pPr>
    </w:p>
    <w:p>
      <w:pPr>
        <w:ind w:left="480" w:hanging="239"/>
        <w:spacing w:after="0"/>
        <w:tabs>
          <w:tab w:leader="none" w:pos="480" w:val="left"/>
        </w:tabs>
        <w:numPr>
          <w:ilvl w:val="0"/>
          <w:numId w:val="294"/>
        </w:numPr>
        <w:rPr>
          <w:rFonts w:ascii="Arial" w:cs="Arial" w:eastAsia="Arial" w:hAnsi="Arial"/>
          <w:sz w:val="17"/>
          <w:szCs w:val="17"/>
          <w:color w:val="auto"/>
        </w:rPr>
      </w:pPr>
      <w:r>
        <w:rPr>
          <w:rFonts w:ascii="Calibri" w:cs="Calibri" w:eastAsia="Calibri" w:hAnsi="Calibri"/>
          <w:sz w:val="20"/>
          <w:szCs w:val="20"/>
          <w:color w:val="auto"/>
        </w:rPr>
        <w:t>the requirements for Covered Persons to retain the confdentality of Insider Informaton;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13" w:right="339" w:bottom="1440" w:gutter="0" w:footer="0" w:header="0"/>
        </w:sectPr>
      </w:pPr>
    </w:p>
    <w:bookmarkStart w:id="348" w:name="page349"/>
    <w:bookmarkEnd w:id="348"/>
    <w:p>
      <w:pPr>
        <w:ind w:left="480" w:hanging="239"/>
        <w:spacing w:after="0"/>
        <w:tabs>
          <w:tab w:leader="none" w:pos="480" w:val="left"/>
        </w:tabs>
        <w:numPr>
          <w:ilvl w:val="0"/>
          <w:numId w:val="295"/>
        </w:numPr>
        <w:rPr>
          <w:rFonts w:ascii="Arial" w:cs="Arial" w:eastAsia="Arial" w:hAnsi="Arial"/>
          <w:sz w:val="17"/>
          <w:szCs w:val="17"/>
          <w:color w:val="auto"/>
        </w:rPr>
      </w:pPr>
      <w:r>
        <w:rPr>
          <w:rFonts w:ascii="Calibri" w:cs="Calibri" w:eastAsia="Calibri" w:hAnsi="Calibri"/>
          <w:sz w:val="20"/>
          <w:szCs w:val="20"/>
          <w:color w:val="auto"/>
        </w:rPr>
        <w:t>the requirements for Covered Persons not to trade in Relevant Securites outside of Trading Windows (as defned below); and</w:t>
      </w:r>
    </w:p>
    <w:p>
      <w:pPr>
        <w:spacing w:after="0" w:line="99" w:lineRule="exact"/>
        <w:rPr>
          <w:rFonts w:ascii="Arial" w:cs="Arial" w:eastAsia="Arial" w:hAnsi="Arial"/>
          <w:sz w:val="17"/>
          <w:szCs w:val="17"/>
          <w:color w:val="auto"/>
        </w:rPr>
      </w:pPr>
    </w:p>
    <w:p>
      <w:pPr>
        <w:ind w:left="480" w:hanging="239"/>
        <w:spacing w:after="0" w:line="237" w:lineRule="auto"/>
        <w:tabs>
          <w:tab w:leader="none" w:pos="480" w:val="left"/>
        </w:tabs>
        <w:numPr>
          <w:ilvl w:val="0"/>
          <w:numId w:val="295"/>
        </w:numPr>
        <w:rPr>
          <w:rFonts w:ascii="Arial" w:cs="Arial" w:eastAsia="Arial" w:hAnsi="Arial"/>
          <w:sz w:val="17"/>
          <w:szCs w:val="17"/>
          <w:color w:val="auto"/>
        </w:rPr>
      </w:pPr>
      <w:r>
        <w:rPr>
          <w:rFonts w:ascii="Calibri" w:cs="Calibri" w:eastAsia="Calibri" w:hAnsi="Calibri"/>
          <w:sz w:val="20"/>
          <w:szCs w:val="20"/>
          <w:color w:val="auto"/>
        </w:rPr>
        <w:t>the requirements for Covered Persons not to carry out transactons or purchase or sale orders which give false or misleading signals regarding the supply of, demand for or market price of Relevant Securites.</w:t>
      </w:r>
    </w:p>
    <w:p>
      <w:pPr>
        <w:spacing w:after="0" w:line="187" w:lineRule="exact"/>
        <w:rPr>
          <w:sz w:val="20"/>
          <w:szCs w:val="20"/>
          <w:color w:val="auto"/>
        </w:rPr>
      </w:pPr>
    </w:p>
    <w:p>
      <w:pPr>
        <w:ind w:left="600" w:hanging="599"/>
        <w:spacing w:after="0"/>
        <w:tabs>
          <w:tab w:leader="none" w:pos="600" w:val="left"/>
        </w:tabs>
        <w:numPr>
          <w:ilvl w:val="0"/>
          <w:numId w:val="29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SCOPE</w:t>
      </w:r>
    </w:p>
    <w:p>
      <w:pPr>
        <w:spacing w:after="0" w:line="37" w:lineRule="exact"/>
        <w:rPr>
          <w:sz w:val="20"/>
          <w:szCs w:val="20"/>
          <w:color w:val="auto"/>
        </w:rPr>
      </w:pPr>
    </w:p>
    <w:p>
      <w:pPr>
        <w:ind w:right="160"/>
        <w:spacing w:after="0" w:line="247" w:lineRule="auto"/>
        <w:rPr>
          <w:sz w:val="20"/>
          <w:szCs w:val="20"/>
          <w:color w:val="auto"/>
        </w:rPr>
      </w:pPr>
      <w:r>
        <w:rPr>
          <w:rFonts w:ascii="Calibri" w:cs="Calibri" w:eastAsia="Calibri" w:hAnsi="Calibri"/>
          <w:sz w:val="20"/>
          <w:szCs w:val="20"/>
          <w:color w:val="auto"/>
        </w:rPr>
        <w:t xml:space="preserve">This POL applies to all members of the board of directors (Board) and the Management Board (as defned in the Organizatonal Rules of the Company as amended from tme to tme) as well as to any employee of the Company and its group companies. These persons are referred to as </w:t>
      </w:r>
      <w:r>
        <w:rPr>
          <w:rFonts w:ascii="Calibri" w:cs="Calibri" w:eastAsia="Calibri" w:hAnsi="Calibri"/>
          <w:sz w:val="20"/>
          <w:szCs w:val="20"/>
          <w:b w:val="1"/>
          <w:bCs w:val="1"/>
          <w:color w:val="auto"/>
        </w:rPr>
        <w:t>Covered Persons</w:t>
      </w:r>
      <w:r>
        <w:rPr>
          <w:rFonts w:ascii="Calibri" w:cs="Calibri" w:eastAsia="Calibri" w:hAnsi="Calibri"/>
          <w:sz w:val="20"/>
          <w:szCs w:val="20"/>
          <w:color w:val="auto"/>
        </w:rPr>
        <w:t>.</w:t>
      </w:r>
    </w:p>
    <w:p>
      <w:pPr>
        <w:spacing w:after="0" w:line="145" w:lineRule="exact"/>
        <w:rPr>
          <w:sz w:val="20"/>
          <w:szCs w:val="20"/>
          <w:color w:val="auto"/>
        </w:rPr>
      </w:pPr>
    </w:p>
    <w:p>
      <w:pPr>
        <w:ind w:right="80"/>
        <w:spacing w:after="0" w:line="248" w:lineRule="auto"/>
        <w:rPr>
          <w:sz w:val="20"/>
          <w:szCs w:val="20"/>
          <w:color w:val="auto"/>
        </w:rPr>
      </w:pPr>
      <w:r>
        <w:rPr>
          <w:rFonts w:ascii="Calibri" w:cs="Calibri" w:eastAsia="Calibri" w:hAnsi="Calibri"/>
          <w:sz w:val="20"/>
          <w:szCs w:val="20"/>
          <w:color w:val="auto"/>
        </w:rPr>
        <w:t>This POL also applies to members of a Covered Person’s immediate family, persons with whom a Covered Person shares a household, persons who are a Covered Person’s economic dependents, and, unless otherwise determined by the Company, any other individuals or enttes whose transactons in securites a Covered Person infuences, directs, or controls (including, e.g., a venture or other investment fund, if the Covered Person infuences, directs, or control transactons by the fund); provided, however, this POL shall not apply to any such entty that engages in the investment of securites in the ordinary course of its business (e.g., an investment fund or partnership or family ofce) if such entty has established its own insider trading controls and procedures in compliance with applicable securites laws. The foregoing persons are deemed subject to this POL as Covered Persons. The Covered Persons are responsible for making sure that such related persons comply with this POL.</w:t>
      </w:r>
    </w:p>
    <w:p>
      <w:pPr>
        <w:spacing w:after="0" w:line="183" w:lineRule="exact"/>
        <w:rPr>
          <w:sz w:val="20"/>
          <w:szCs w:val="20"/>
          <w:color w:val="auto"/>
        </w:rPr>
      </w:pPr>
    </w:p>
    <w:p>
      <w:pPr>
        <w:ind w:left="600" w:hanging="599"/>
        <w:spacing w:after="0"/>
        <w:tabs>
          <w:tab w:leader="none" w:pos="600" w:val="left"/>
        </w:tabs>
        <w:numPr>
          <w:ilvl w:val="0"/>
          <w:numId w:val="29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REFERENCES</w:t>
      </w:r>
    </w:p>
    <w:p>
      <w:pPr>
        <w:spacing w:after="0" w:line="161"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3.1</w:t>
      </w:r>
      <w:r>
        <w:rPr>
          <w:sz w:val="20"/>
          <w:szCs w:val="20"/>
          <w:color w:val="auto"/>
        </w:rPr>
        <w:tab/>
      </w:r>
      <w:r>
        <w:rPr>
          <w:rFonts w:ascii="Calibri" w:cs="Calibri" w:eastAsia="Calibri" w:hAnsi="Calibri"/>
          <w:sz w:val="20"/>
          <w:szCs w:val="20"/>
          <w:b w:val="1"/>
          <w:bCs w:val="1"/>
          <w:color w:val="auto"/>
        </w:rPr>
        <w:t>Regulatory Guidelines</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Regulatons of the SIX and of the Swiss Financial Market Supervisory Authority FINMA</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Federal securites laws of the United States of America</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Rules of The Nasdaq Stock Market</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Organizatonal Rules of MP, as amended from tme to tme</w:t>
      </w:r>
    </w:p>
    <w:p>
      <w:pPr>
        <w:spacing w:after="0" w:line="186"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3.2</w:t>
      </w:r>
      <w:r>
        <w:rPr>
          <w:sz w:val="20"/>
          <w:szCs w:val="20"/>
          <w:color w:val="auto"/>
        </w:rPr>
        <w:tab/>
      </w:r>
      <w:r>
        <w:rPr>
          <w:rFonts w:ascii="Calibri" w:cs="Calibri" w:eastAsia="Calibri" w:hAnsi="Calibri"/>
          <w:sz w:val="20"/>
          <w:szCs w:val="20"/>
          <w:b w:val="1"/>
          <w:bCs w:val="1"/>
          <w:color w:val="auto"/>
        </w:rPr>
        <w:t>Governing Documents</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840" w:type="dxa"/>
            <w:vAlign w:val="bottom"/>
            <w:tcBorders>
              <w:top w:val="single" w:sz="8" w:color="auto"/>
              <w:left w:val="single" w:sz="8" w:color="auto"/>
              <w:right w:val="single" w:sz="8" w:color="auto"/>
            </w:tcBorders>
          </w:tcPr>
          <w:p>
            <w:pPr>
              <w:ind w:left="80"/>
              <w:spacing w:after="0"/>
              <w:rPr>
                <w:sz w:val="20"/>
                <w:szCs w:val="20"/>
                <w:color w:val="auto"/>
              </w:rPr>
            </w:pPr>
            <w:r>
              <w:rPr>
                <w:rFonts w:ascii="Calibri" w:cs="Calibri" w:eastAsia="Calibri" w:hAnsi="Calibri"/>
                <w:sz w:val="20"/>
                <w:szCs w:val="20"/>
                <w:b w:val="1"/>
                <w:bCs w:val="1"/>
                <w:color w:val="auto"/>
              </w:rPr>
              <w:t>Document Number</w:t>
            </w:r>
          </w:p>
        </w:tc>
        <w:tc>
          <w:tcPr>
            <w:tcW w:w="230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Document Type</w:t>
            </w:r>
          </w:p>
        </w:tc>
        <w:tc>
          <w:tcPr>
            <w:tcW w:w="602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Document Name</w:t>
            </w:r>
          </w:p>
        </w:tc>
      </w:tr>
      <w:tr>
        <w:trPr>
          <w:trHeight w:val="51"/>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6020" w:type="dxa"/>
            <w:vAlign w:val="bottom"/>
            <w:tcBorders>
              <w:bottom w:val="single" w:sz="8" w:color="auto"/>
              <w:right w:val="single" w:sz="8" w:color="auto"/>
            </w:tcBorders>
          </w:tcPr>
          <w:p>
            <w:pPr>
              <w:spacing w:after="0"/>
              <w:rPr>
                <w:sz w:val="4"/>
                <w:szCs w:val="4"/>
                <w:color w:val="auto"/>
              </w:rPr>
            </w:pPr>
          </w:p>
        </w:tc>
      </w:tr>
      <w:tr>
        <w:trPr>
          <w:trHeight w:val="245"/>
        </w:trPr>
        <w:tc>
          <w:tcPr>
            <w:tcW w:w="28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MP-DOC-00211</w:t>
            </w:r>
          </w:p>
        </w:tc>
        <w:tc>
          <w:tcPr>
            <w:tcW w:w="2300" w:type="dxa"/>
            <w:vAlign w:val="bottom"/>
            <w:tcBorders>
              <w:right w:val="single" w:sz="8" w:color="auto"/>
            </w:tcBorders>
          </w:tcPr>
          <w:p>
            <w:pPr>
              <w:ind w:left="60"/>
              <w:spacing w:after="0"/>
              <w:rPr>
                <w:sz w:val="20"/>
                <w:szCs w:val="20"/>
                <w:color w:val="auto"/>
              </w:rPr>
            </w:pPr>
            <w:r>
              <w:rPr>
                <w:rFonts w:ascii="Calibri" w:cs="Calibri" w:eastAsia="Calibri" w:hAnsi="Calibri"/>
                <w:sz w:val="20"/>
                <w:szCs w:val="20"/>
                <w:color w:val="auto"/>
              </w:rPr>
              <w:t>SOP</w:t>
            </w:r>
          </w:p>
        </w:tc>
        <w:tc>
          <w:tcPr>
            <w:tcW w:w="6020" w:type="dxa"/>
            <w:vAlign w:val="bottom"/>
            <w:tcBorders>
              <w:right w:val="single" w:sz="8" w:color="auto"/>
            </w:tcBorders>
          </w:tcPr>
          <w:p>
            <w:pPr>
              <w:ind w:left="60"/>
              <w:spacing w:after="0"/>
              <w:rPr>
                <w:sz w:val="20"/>
                <w:szCs w:val="20"/>
                <w:color w:val="auto"/>
              </w:rPr>
            </w:pPr>
            <w:r>
              <w:rPr>
                <w:rFonts w:ascii="Calibri" w:cs="Calibri" w:eastAsia="Calibri" w:hAnsi="Calibri"/>
                <w:sz w:val="20"/>
                <w:szCs w:val="20"/>
                <w:color w:val="auto"/>
              </w:rPr>
              <w:t>Archiving</w:t>
            </w:r>
          </w:p>
        </w:tc>
      </w:tr>
      <w:tr>
        <w:trPr>
          <w:trHeight w:val="51"/>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60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01" w:right="339" w:bottom="1440" w:gutter="0" w:footer="0" w:header="0"/>
        </w:sectPr>
      </w:pPr>
    </w:p>
    <w:bookmarkStart w:id="349" w:name="page350"/>
    <w:bookmarkEnd w:id="349"/>
    <w:p>
      <w:pPr>
        <w:spacing w:after="0" w:line="152" w:lineRule="exact"/>
        <w:rPr>
          <w:sz w:val="20"/>
          <w:szCs w:val="20"/>
          <w:color w:val="auto"/>
        </w:rPr>
      </w:pPr>
    </w:p>
    <w:p>
      <w:pPr>
        <w:ind w:left="600" w:hanging="599"/>
        <w:spacing w:after="0"/>
        <w:tabs>
          <w:tab w:leader="none" w:pos="600" w:val="left"/>
        </w:tabs>
        <w:numPr>
          <w:ilvl w:val="0"/>
          <w:numId w:val="29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DEFINITIONS AND ABBREVIATIONS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Pr>
          <w:p>
            <w:pPr>
              <w:spacing w:after="0"/>
              <w:rPr>
                <w:sz w:val="20"/>
                <w:szCs w:val="20"/>
                <w:color w:val="auto"/>
              </w:rPr>
            </w:pPr>
            <w:r>
              <w:rPr>
                <w:rFonts w:ascii="Calibri" w:cs="Calibri" w:eastAsia="Calibri" w:hAnsi="Calibri"/>
                <w:sz w:val="20"/>
                <w:szCs w:val="20"/>
                <w:b w:val="1"/>
                <w:bCs w:val="1"/>
                <w:color w:val="auto"/>
              </w:rPr>
              <w:t>4.1</w:t>
            </w:r>
          </w:p>
        </w:tc>
        <w:tc>
          <w:tcPr>
            <w:tcW w:w="2280" w:type="dxa"/>
            <w:vAlign w:val="bottom"/>
          </w:tcPr>
          <w:p>
            <w:pPr>
              <w:ind w:left="160"/>
              <w:spacing w:after="0"/>
              <w:rPr>
                <w:sz w:val="20"/>
                <w:szCs w:val="20"/>
                <w:color w:val="auto"/>
              </w:rPr>
            </w:pPr>
            <w:r>
              <w:rPr>
                <w:rFonts w:ascii="Calibri" w:cs="Calibri" w:eastAsia="Calibri" w:hAnsi="Calibri"/>
                <w:sz w:val="20"/>
                <w:szCs w:val="20"/>
                <w:b w:val="1"/>
                <w:bCs w:val="1"/>
                <w:color w:val="auto"/>
              </w:rPr>
              <w:t>Defnitons</w:t>
            </w:r>
          </w:p>
        </w:tc>
        <w:tc>
          <w:tcPr>
            <w:tcW w:w="8400" w:type="dxa"/>
            <w:vAlign w:val="bottom"/>
          </w:tcPr>
          <w:p>
            <w:pPr>
              <w:spacing w:after="0"/>
              <w:rPr>
                <w:sz w:val="21"/>
                <w:szCs w:val="21"/>
                <w:color w:val="auto"/>
              </w:rPr>
            </w:pPr>
          </w:p>
        </w:tc>
      </w:tr>
      <w:tr>
        <w:trPr>
          <w:trHeight w:val="329"/>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Company Securites</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Shares/optons/debt security of MP, ADR/ADS on Nasdaq or other securites whose price</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or performance are materially infuences by the assets or the shares/optons of MP</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Covered Person</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Members of the Board of Directors, Management Board and employees of MP</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Insiders</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A Covered Person who is in possession of Insider Informaton</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Insider Informaton</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Informaton that is factual, confdental and stock price-sensitve.</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Pre-Trading Plan</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A binding contract where a Covered Person gives an irrevocable and not changeable order</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to a bank or broker to execute transactons for a certain number of Relevant Securites on</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dates that have been fxed in advance or during certain tme periods that have been fxed</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in advance, and the individual transactons are being executed without the Covered Person</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being able to exert any further infuence on them.</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Quiet Periods</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A defned period preceding the public release of annual or interim fnancial results.</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Relevant Securites</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Company Securites, including securites issued by third partes as applicable.</w:t>
            </w:r>
          </w:p>
        </w:tc>
      </w:tr>
      <w:tr>
        <w:trPr>
          <w:trHeight w:val="304"/>
        </w:trPr>
        <w:tc>
          <w:tcPr>
            <w:tcW w:w="2720" w:type="dxa"/>
            <w:vAlign w:val="bottom"/>
            <w:gridSpan w:val="2"/>
          </w:tcPr>
          <w:p>
            <w:pPr>
              <w:ind w:left="180"/>
              <w:spacing w:after="0"/>
              <w:rPr>
                <w:sz w:val="20"/>
                <w:szCs w:val="20"/>
                <w:color w:val="auto"/>
              </w:rPr>
            </w:pPr>
            <w:r>
              <w:rPr>
                <w:rFonts w:ascii="Calibri" w:cs="Calibri" w:eastAsia="Calibri" w:hAnsi="Calibri"/>
                <w:sz w:val="20"/>
                <w:szCs w:val="20"/>
                <w:color w:val="auto"/>
              </w:rPr>
              <w:t>Trading Window</w:t>
            </w:r>
          </w:p>
        </w:tc>
        <w:tc>
          <w:tcPr>
            <w:tcW w:w="8400" w:type="dxa"/>
            <w:vAlign w:val="bottom"/>
          </w:tcPr>
          <w:p>
            <w:pPr>
              <w:ind w:left="940"/>
              <w:spacing w:after="0"/>
              <w:rPr>
                <w:sz w:val="20"/>
                <w:szCs w:val="20"/>
                <w:color w:val="auto"/>
              </w:rPr>
            </w:pPr>
            <w:r>
              <w:rPr>
                <w:rFonts w:ascii="Calibri" w:cs="Calibri" w:eastAsia="Calibri" w:hAnsi="Calibri"/>
                <w:sz w:val="20"/>
                <w:szCs w:val="20"/>
                <w:color w:val="auto"/>
              </w:rPr>
              <w:t>A window set by the Board of Directors (or the Management Board if delegated by the</w:t>
            </w:r>
          </w:p>
        </w:tc>
      </w:tr>
      <w:tr>
        <w:trPr>
          <w:trHeight w:val="253"/>
        </w:trPr>
        <w:tc>
          <w:tcPr>
            <w:tcW w:w="4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400" w:type="dxa"/>
            <w:vAlign w:val="bottom"/>
          </w:tcPr>
          <w:p>
            <w:pPr>
              <w:ind w:left="940"/>
              <w:spacing w:after="0"/>
              <w:rPr>
                <w:sz w:val="20"/>
                <w:szCs w:val="20"/>
                <w:color w:val="auto"/>
              </w:rPr>
            </w:pPr>
            <w:r>
              <w:rPr>
                <w:rFonts w:ascii="Calibri" w:cs="Calibri" w:eastAsia="Calibri" w:hAnsi="Calibri"/>
                <w:sz w:val="20"/>
                <w:szCs w:val="20"/>
                <w:color w:val="auto"/>
              </w:rPr>
              <w:t>Board) where securites could be traded.</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0" w:type="dxa"/>
            <w:vAlign w:val="bottom"/>
          </w:tcPr>
          <w:p>
            <w:pPr>
              <w:spacing w:after="0"/>
              <w:rPr>
                <w:sz w:val="20"/>
                <w:szCs w:val="20"/>
                <w:color w:val="auto"/>
              </w:rPr>
            </w:pPr>
            <w:r>
              <w:rPr>
                <w:rFonts w:ascii="Calibri" w:cs="Calibri" w:eastAsia="Calibri" w:hAnsi="Calibri"/>
                <w:sz w:val="20"/>
                <w:szCs w:val="20"/>
                <w:b w:val="1"/>
                <w:bCs w:val="1"/>
                <w:color w:val="auto"/>
              </w:rPr>
              <w:t>4.2</w:t>
            </w:r>
          </w:p>
        </w:tc>
        <w:tc>
          <w:tcPr>
            <w:tcW w:w="2300" w:type="dxa"/>
            <w:vAlign w:val="bottom"/>
          </w:tcPr>
          <w:p>
            <w:pPr>
              <w:ind w:left="40"/>
              <w:spacing w:after="0"/>
              <w:rPr>
                <w:sz w:val="20"/>
                <w:szCs w:val="20"/>
                <w:color w:val="auto"/>
              </w:rPr>
            </w:pPr>
            <w:r>
              <w:rPr>
                <w:rFonts w:ascii="Calibri" w:cs="Calibri" w:eastAsia="Calibri" w:hAnsi="Calibri"/>
                <w:sz w:val="20"/>
                <w:szCs w:val="20"/>
                <w:b w:val="1"/>
                <w:bCs w:val="1"/>
                <w:color w:val="auto"/>
              </w:rPr>
              <w:t>Abbreviatons</w:t>
            </w:r>
          </w:p>
        </w:tc>
        <w:tc>
          <w:tcPr>
            <w:tcW w:w="6760" w:type="dxa"/>
            <w:vAlign w:val="bottom"/>
          </w:tcPr>
          <w:p>
            <w:pPr>
              <w:spacing w:after="0"/>
              <w:rPr>
                <w:sz w:val="21"/>
                <w:szCs w:val="21"/>
                <w:color w:val="auto"/>
              </w:rPr>
            </w:pPr>
          </w:p>
        </w:tc>
      </w:tr>
      <w:tr>
        <w:trPr>
          <w:trHeight w:val="329"/>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Audit Commitee Chair</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The chairman of the audit commitee of the Board</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Board</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The board of directors of MP</w:t>
            </w:r>
          </w:p>
        </w:tc>
      </w:tr>
      <w:tr>
        <w:trPr>
          <w:trHeight w:val="304"/>
        </w:trPr>
        <w:tc>
          <w:tcPr>
            <w:tcW w:w="560" w:type="dxa"/>
            <w:vAlign w:val="bottom"/>
          </w:tcPr>
          <w:p>
            <w:pPr>
              <w:ind w:left="180"/>
              <w:spacing w:after="0"/>
              <w:rPr>
                <w:sz w:val="20"/>
                <w:szCs w:val="20"/>
                <w:color w:val="auto"/>
              </w:rPr>
            </w:pPr>
            <w:r>
              <w:rPr>
                <w:rFonts w:ascii="Calibri" w:cs="Calibri" w:eastAsia="Calibri" w:hAnsi="Calibri"/>
                <w:sz w:val="20"/>
                <w:szCs w:val="20"/>
                <w:color w:val="auto"/>
              </w:rPr>
              <w:t>CEO</w:t>
            </w:r>
          </w:p>
        </w:tc>
        <w:tc>
          <w:tcPr>
            <w:tcW w:w="2300" w:type="dxa"/>
            <w:vAlign w:val="bottom"/>
          </w:tcPr>
          <w:p>
            <w:pPr>
              <w:spacing w:after="0"/>
              <w:rPr>
                <w:sz w:val="24"/>
                <w:szCs w:val="24"/>
                <w:color w:val="auto"/>
              </w:rPr>
            </w:pPr>
          </w:p>
        </w:tc>
        <w:tc>
          <w:tcPr>
            <w:tcW w:w="6760" w:type="dxa"/>
            <w:vAlign w:val="bottom"/>
          </w:tcPr>
          <w:p>
            <w:pPr>
              <w:ind w:left="800"/>
              <w:spacing w:after="0"/>
              <w:rPr>
                <w:sz w:val="20"/>
                <w:szCs w:val="20"/>
                <w:color w:val="auto"/>
              </w:rPr>
            </w:pPr>
            <w:r>
              <w:rPr>
                <w:rFonts w:ascii="Calibri" w:cs="Calibri" w:eastAsia="Calibri" w:hAnsi="Calibri"/>
                <w:sz w:val="20"/>
                <w:szCs w:val="20"/>
                <w:color w:val="auto"/>
              </w:rPr>
              <w:t>Chief Executve Ofcer of MP</w:t>
            </w:r>
          </w:p>
        </w:tc>
      </w:tr>
      <w:tr>
        <w:trPr>
          <w:trHeight w:val="304"/>
        </w:trPr>
        <w:tc>
          <w:tcPr>
            <w:tcW w:w="560" w:type="dxa"/>
            <w:vAlign w:val="bottom"/>
          </w:tcPr>
          <w:p>
            <w:pPr>
              <w:ind w:left="180"/>
              <w:spacing w:after="0"/>
              <w:rPr>
                <w:sz w:val="20"/>
                <w:szCs w:val="20"/>
                <w:color w:val="auto"/>
              </w:rPr>
            </w:pPr>
            <w:r>
              <w:rPr>
                <w:rFonts w:ascii="Calibri" w:cs="Calibri" w:eastAsia="Calibri" w:hAnsi="Calibri"/>
                <w:sz w:val="20"/>
                <w:szCs w:val="20"/>
                <w:color w:val="auto"/>
              </w:rPr>
              <w:t>CFO</w:t>
            </w:r>
          </w:p>
        </w:tc>
        <w:tc>
          <w:tcPr>
            <w:tcW w:w="2300" w:type="dxa"/>
            <w:vAlign w:val="bottom"/>
          </w:tcPr>
          <w:p>
            <w:pPr>
              <w:spacing w:after="0"/>
              <w:rPr>
                <w:sz w:val="24"/>
                <w:szCs w:val="24"/>
                <w:color w:val="auto"/>
              </w:rPr>
            </w:pPr>
          </w:p>
        </w:tc>
        <w:tc>
          <w:tcPr>
            <w:tcW w:w="6760" w:type="dxa"/>
            <w:vAlign w:val="bottom"/>
          </w:tcPr>
          <w:p>
            <w:pPr>
              <w:ind w:left="800"/>
              <w:spacing w:after="0"/>
              <w:rPr>
                <w:sz w:val="20"/>
                <w:szCs w:val="20"/>
                <w:color w:val="auto"/>
              </w:rPr>
            </w:pPr>
            <w:r>
              <w:rPr>
                <w:rFonts w:ascii="Calibri" w:cs="Calibri" w:eastAsia="Calibri" w:hAnsi="Calibri"/>
                <w:sz w:val="20"/>
                <w:szCs w:val="20"/>
                <w:color w:val="auto"/>
              </w:rPr>
              <w:t>Chief Financial Ofcer of MP</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Chairperson</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A member of the Board (other than the chairperson of the Board)</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Company</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Molecular Partners AG</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FINMA</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Swiss Financial Market Supervisory Authority</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General Counsel</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General Counsel of MP</w:t>
            </w:r>
          </w:p>
        </w:tc>
      </w:tr>
      <w:tr>
        <w:trPr>
          <w:trHeight w:val="304"/>
        </w:trPr>
        <w:tc>
          <w:tcPr>
            <w:tcW w:w="2860" w:type="dxa"/>
            <w:vAlign w:val="bottom"/>
            <w:gridSpan w:val="2"/>
          </w:tcPr>
          <w:p>
            <w:pPr>
              <w:ind w:left="180"/>
              <w:spacing w:after="0"/>
              <w:rPr>
                <w:sz w:val="20"/>
                <w:szCs w:val="20"/>
                <w:color w:val="auto"/>
              </w:rPr>
            </w:pPr>
            <w:r>
              <w:rPr>
                <w:rFonts w:ascii="Calibri" w:cs="Calibri" w:eastAsia="Calibri" w:hAnsi="Calibri"/>
                <w:sz w:val="20"/>
                <w:szCs w:val="20"/>
                <w:color w:val="auto"/>
              </w:rPr>
              <w:t>Management Board</w:t>
            </w:r>
          </w:p>
        </w:tc>
        <w:tc>
          <w:tcPr>
            <w:tcW w:w="6760" w:type="dxa"/>
            <w:vAlign w:val="bottom"/>
          </w:tcPr>
          <w:p>
            <w:pPr>
              <w:ind w:left="800"/>
              <w:spacing w:after="0"/>
              <w:rPr>
                <w:sz w:val="20"/>
                <w:szCs w:val="20"/>
                <w:color w:val="auto"/>
              </w:rPr>
            </w:pPr>
            <w:r>
              <w:rPr>
                <w:rFonts w:ascii="Calibri" w:cs="Calibri" w:eastAsia="Calibri" w:hAnsi="Calibri"/>
                <w:sz w:val="20"/>
                <w:szCs w:val="20"/>
                <w:color w:val="auto"/>
              </w:rPr>
              <w:t>The management board of MP</w:t>
            </w:r>
          </w:p>
        </w:tc>
      </w:tr>
      <w:tr>
        <w:trPr>
          <w:trHeight w:val="304"/>
        </w:trPr>
        <w:tc>
          <w:tcPr>
            <w:tcW w:w="560" w:type="dxa"/>
            <w:vAlign w:val="bottom"/>
          </w:tcPr>
          <w:p>
            <w:pPr>
              <w:ind w:left="180"/>
              <w:spacing w:after="0"/>
              <w:rPr>
                <w:sz w:val="20"/>
                <w:szCs w:val="20"/>
                <w:color w:val="auto"/>
              </w:rPr>
            </w:pPr>
            <w:r>
              <w:rPr>
                <w:rFonts w:ascii="Calibri" w:cs="Calibri" w:eastAsia="Calibri" w:hAnsi="Calibri"/>
                <w:sz w:val="20"/>
                <w:szCs w:val="20"/>
                <w:color w:val="auto"/>
              </w:rPr>
              <w:t>MP</w:t>
            </w:r>
          </w:p>
        </w:tc>
        <w:tc>
          <w:tcPr>
            <w:tcW w:w="2300" w:type="dxa"/>
            <w:vAlign w:val="bottom"/>
          </w:tcPr>
          <w:p>
            <w:pPr>
              <w:spacing w:after="0"/>
              <w:rPr>
                <w:sz w:val="24"/>
                <w:szCs w:val="24"/>
                <w:color w:val="auto"/>
              </w:rPr>
            </w:pPr>
          </w:p>
        </w:tc>
        <w:tc>
          <w:tcPr>
            <w:tcW w:w="6760" w:type="dxa"/>
            <w:vAlign w:val="bottom"/>
          </w:tcPr>
          <w:p>
            <w:pPr>
              <w:ind w:left="800"/>
              <w:spacing w:after="0"/>
              <w:rPr>
                <w:sz w:val="20"/>
                <w:szCs w:val="20"/>
                <w:color w:val="auto"/>
              </w:rPr>
            </w:pPr>
            <w:r>
              <w:rPr>
                <w:rFonts w:ascii="Calibri" w:cs="Calibri" w:eastAsia="Calibri" w:hAnsi="Calibri"/>
                <w:sz w:val="20"/>
                <w:szCs w:val="20"/>
                <w:color w:val="auto"/>
              </w:rPr>
              <w:t>Molecular Partners AG and any Afliate (such as Molecular Partners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120"/>
          </w:cols>
          <w:pgMar w:left="320" w:top="1440" w:right="459" w:bottom="1440" w:gutter="0" w:footer="0" w:header="0"/>
        </w:sectPr>
      </w:pPr>
    </w:p>
    <w:bookmarkStart w:id="350" w:name="page351"/>
    <w:bookmarkEnd w:id="350"/>
    <w:p>
      <w:pPr>
        <w:spacing w:after="0" w:line="25" w:lineRule="exact"/>
        <w:rPr>
          <w:sz w:val="20"/>
          <w:szCs w:val="20"/>
          <w:color w:val="auto"/>
        </w:rPr>
      </w:pPr>
    </w:p>
    <w:p>
      <w:pPr>
        <w:ind w:left="180"/>
        <w:spacing w:after="0"/>
        <w:rPr>
          <w:sz w:val="20"/>
          <w:szCs w:val="20"/>
          <w:color w:val="auto"/>
        </w:rPr>
      </w:pPr>
      <w:r>
        <w:rPr>
          <w:rFonts w:ascii="Calibri" w:cs="Calibri" w:eastAsia="Calibri" w:hAnsi="Calibri"/>
          <w:sz w:val="20"/>
          <w:szCs w:val="20"/>
          <w:color w:val="auto"/>
        </w:rPr>
        <w:t>Nasdaq</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Calibri" w:cs="Calibri" w:eastAsia="Calibri" w:hAnsi="Calibri"/>
          <w:sz w:val="20"/>
          <w:szCs w:val="20"/>
          <w:color w:val="auto"/>
        </w:rPr>
        <w:t>The Nasdaq Stock Market</w:t>
      </w:r>
    </w:p>
    <w:p>
      <w:pPr>
        <w:spacing w:after="0" w:line="60" w:lineRule="exact"/>
        <w:rPr>
          <w:sz w:val="20"/>
          <w:szCs w:val="20"/>
          <w:color w:val="auto"/>
        </w:rPr>
      </w:pPr>
    </w:p>
    <w:p>
      <w:pPr>
        <w:sectPr>
          <w:pgSz w:w="11900" w:h="16838" w:orient="portrait"/>
          <w:cols w:equalWidth="0" w:num="2">
            <w:col w:w="2940" w:space="720"/>
            <w:col w:w="7580"/>
          </w:cols>
          <w:pgMar w:left="320" w:top="1440" w:right="339" w:bottom="1440" w:gutter="0" w:footer="0" w:header="0"/>
        </w:sectPr>
      </w:pPr>
    </w:p>
    <w:p>
      <w:pPr>
        <w:ind w:left="180"/>
        <w:spacing w:after="0"/>
        <w:rPr>
          <w:sz w:val="20"/>
          <w:szCs w:val="20"/>
          <w:color w:val="auto"/>
        </w:rPr>
      </w:pPr>
      <w:r>
        <w:rPr>
          <w:rFonts w:ascii="Calibri" w:cs="Calibri" w:eastAsia="Calibri" w:hAnsi="Calibri"/>
          <w:sz w:val="20"/>
          <w:szCs w:val="20"/>
          <w:color w:val="auto"/>
        </w:rPr>
        <w:t>POL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Policy</w:t>
      </w:r>
    </w:p>
    <w:p>
      <w:pPr>
        <w:spacing w:after="0" w:line="60" w:lineRule="exact"/>
        <w:rPr>
          <w:sz w:val="20"/>
          <w:szCs w:val="20"/>
          <w:color w:val="auto"/>
        </w:rPr>
      </w:pPr>
    </w:p>
    <w:p>
      <w:pPr>
        <w:sectPr>
          <w:pgSz w:w="11900" w:h="16838" w:orient="portrait"/>
          <w:cols w:equalWidth="0" w:num="2">
            <w:col w:w="2940" w:space="720"/>
            <w:col w:w="7580"/>
          </w:cols>
          <w:pgMar w:left="320" w:top="1440" w:right="339" w:bottom="1440" w:gutter="0" w:footer="0" w:header="0"/>
          <w:type w:val="continuous"/>
        </w:sectPr>
      </w:pPr>
    </w:p>
    <w:p>
      <w:pPr>
        <w:ind w:left="180"/>
        <w:spacing w:after="0"/>
        <w:rPr>
          <w:sz w:val="20"/>
          <w:szCs w:val="20"/>
          <w:color w:val="auto"/>
        </w:rPr>
      </w:pPr>
      <w:r>
        <w:rPr>
          <w:rFonts w:ascii="Calibri" w:cs="Calibri" w:eastAsia="Calibri" w:hAnsi="Calibri"/>
          <w:sz w:val="20"/>
          <w:szCs w:val="20"/>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Secretary of the Board</w:t>
      </w:r>
    </w:p>
    <w:p>
      <w:pPr>
        <w:spacing w:after="0" w:line="60" w:lineRule="exact"/>
        <w:rPr>
          <w:sz w:val="20"/>
          <w:szCs w:val="20"/>
          <w:color w:val="auto"/>
        </w:rPr>
      </w:pPr>
    </w:p>
    <w:p>
      <w:pPr>
        <w:sectPr>
          <w:pgSz w:w="11900" w:h="16838" w:orient="portrait"/>
          <w:cols w:equalWidth="0" w:num="2">
            <w:col w:w="2940" w:space="720"/>
            <w:col w:w="7580"/>
          </w:cols>
          <w:pgMar w:left="320" w:top="1440" w:right="339" w:bottom="1440" w:gutter="0" w:footer="0" w:header="0"/>
          <w:type w:val="continuous"/>
        </w:sectPr>
      </w:pPr>
    </w:p>
    <w:p>
      <w:pPr>
        <w:ind w:left="180"/>
        <w:spacing w:after="0"/>
        <w:rPr>
          <w:sz w:val="20"/>
          <w:szCs w:val="20"/>
          <w:color w:val="auto"/>
        </w:rPr>
      </w:pPr>
      <w:r>
        <w:rPr>
          <w:rFonts w:ascii="Calibri" w:cs="Calibri" w:eastAsia="Calibri" w:hAnsi="Calibri"/>
          <w:sz w:val="20"/>
          <w:szCs w:val="20"/>
          <w:color w:val="auto"/>
        </w:rPr>
        <w:t>SIX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SIX Swiss Exchange Ltd.</w:t>
      </w:r>
    </w:p>
    <w:p>
      <w:pPr>
        <w:spacing w:after="0" w:line="60" w:lineRule="exact"/>
        <w:rPr>
          <w:sz w:val="20"/>
          <w:szCs w:val="20"/>
          <w:color w:val="auto"/>
        </w:rPr>
      </w:pPr>
    </w:p>
    <w:p>
      <w:pPr>
        <w:sectPr>
          <w:pgSz w:w="11900" w:h="16838" w:orient="portrait"/>
          <w:cols w:equalWidth="0" w:num="2">
            <w:col w:w="2940" w:space="720"/>
            <w:col w:w="7580"/>
          </w:cols>
          <w:pgMar w:left="320" w:top="1440" w:right="339" w:bottom="1440" w:gutter="0" w:footer="0" w:header="0"/>
          <w:type w:val="continuous"/>
        </w:sectPr>
      </w:pPr>
    </w:p>
    <w:p>
      <w:pPr>
        <w:ind w:left="180"/>
        <w:spacing w:after="0"/>
        <w:rPr>
          <w:sz w:val="20"/>
          <w:szCs w:val="20"/>
          <w:color w:val="auto"/>
        </w:rPr>
      </w:pPr>
      <w:r>
        <w:rPr>
          <w:rFonts w:ascii="Calibri" w:cs="Calibri" w:eastAsia="Calibri" w:hAnsi="Calibri"/>
          <w:sz w:val="20"/>
          <w:szCs w:val="20"/>
          <w:color w:val="auto"/>
        </w:rPr>
        <w:t>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color w:val="auto"/>
        </w:rPr>
        <w:t>Standard Operatng Procedure</w:t>
      </w:r>
    </w:p>
    <w:p>
      <w:pPr>
        <w:spacing w:after="0" w:line="200" w:lineRule="exact"/>
        <w:rPr>
          <w:sz w:val="20"/>
          <w:szCs w:val="20"/>
          <w:color w:val="auto"/>
        </w:rPr>
      </w:pPr>
    </w:p>
    <w:p>
      <w:pPr>
        <w:sectPr>
          <w:pgSz w:w="11900" w:h="16838" w:orient="portrait"/>
          <w:cols w:equalWidth="0" w:num="2">
            <w:col w:w="2940" w:space="720"/>
            <w:col w:w="7580"/>
          </w:cols>
          <w:pgMar w:left="320" w:top="1440" w:right="339" w:bottom="1440" w:gutter="0" w:footer="0" w:header="0"/>
          <w:type w:val="continuous"/>
        </w:sectPr>
      </w:pPr>
    </w:p>
    <w:p>
      <w:pPr>
        <w:spacing w:after="0" w:line="88" w:lineRule="exact"/>
        <w:rPr>
          <w:sz w:val="20"/>
          <w:szCs w:val="20"/>
          <w:color w:val="auto"/>
        </w:rPr>
      </w:pPr>
    </w:p>
    <w:p>
      <w:pPr>
        <w:ind w:left="600" w:hanging="599"/>
        <w:spacing w:after="0"/>
        <w:tabs>
          <w:tab w:leader="none" w:pos="600" w:val="left"/>
        </w:tabs>
        <w:numPr>
          <w:ilvl w:val="0"/>
          <w:numId w:val="29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PROCEDURE</w:t>
      </w:r>
    </w:p>
    <w:p>
      <w:pPr>
        <w:spacing w:after="0" w:line="161"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5.1</w:t>
      </w:r>
      <w:r>
        <w:rPr>
          <w:sz w:val="20"/>
          <w:szCs w:val="20"/>
          <w:color w:val="auto"/>
        </w:rPr>
        <w:tab/>
      </w:r>
      <w:r>
        <w:rPr>
          <w:rFonts w:ascii="Calibri" w:cs="Calibri" w:eastAsia="Calibri" w:hAnsi="Calibri"/>
          <w:sz w:val="20"/>
          <w:szCs w:val="20"/>
          <w:b w:val="1"/>
          <w:bCs w:val="1"/>
          <w:color w:val="auto"/>
        </w:rPr>
        <w:t>Relevant Securites</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 applies in relaton to:</w:t>
      </w:r>
    </w:p>
    <w:p>
      <w:pPr>
        <w:spacing w:after="0" w:line="136" w:lineRule="exact"/>
        <w:rPr>
          <w:sz w:val="20"/>
          <w:szCs w:val="20"/>
          <w:color w:val="auto"/>
        </w:rPr>
      </w:pPr>
    </w:p>
    <w:p>
      <w:pPr>
        <w:ind w:left="480" w:hanging="239"/>
        <w:spacing w:after="0"/>
        <w:tabs>
          <w:tab w:leader="none" w:pos="480"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any equity security of the Company;</w:t>
      </w:r>
    </w:p>
    <w:p>
      <w:pPr>
        <w:spacing w:after="0" w:line="4" w:lineRule="exact"/>
        <w:rPr>
          <w:rFonts w:ascii="Arial" w:cs="Arial" w:eastAsia="Arial" w:hAnsi="Arial"/>
          <w:sz w:val="17"/>
          <w:szCs w:val="17"/>
          <w:color w:val="auto"/>
        </w:rPr>
      </w:pPr>
    </w:p>
    <w:p>
      <w:pPr>
        <w:jc w:val="both"/>
        <w:ind w:left="480" w:hanging="239"/>
        <w:spacing w:after="0" w:line="226" w:lineRule="auto"/>
        <w:tabs>
          <w:tab w:leader="none" w:pos="480"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any conversion, acquisiton and sale right (e.g., call and put optons) which provides for or allows actual delivery of equity securites of the Company, or of other conversion, acquisiton or sale rights of the Company (including, but not limited to, optons, warrants or swaps relatng to equity securites of the Company);</w:t>
      </w:r>
    </w:p>
    <w:p>
      <w:pPr>
        <w:spacing w:after="0" w:line="2" w:lineRule="exact"/>
        <w:rPr>
          <w:rFonts w:ascii="Arial" w:cs="Arial" w:eastAsia="Arial" w:hAnsi="Arial"/>
          <w:sz w:val="17"/>
          <w:szCs w:val="17"/>
          <w:color w:val="auto"/>
        </w:rPr>
      </w:pPr>
    </w:p>
    <w:p>
      <w:pPr>
        <w:ind w:left="480" w:hanging="239"/>
        <w:spacing w:after="0" w:line="236" w:lineRule="auto"/>
        <w:tabs>
          <w:tab w:leader="none" w:pos="480"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any debt security (including, but not limited to bonds, asset-backed securites);</w:t>
      </w:r>
    </w:p>
    <w:p>
      <w:pPr>
        <w:spacing w:after="0" w:line="4" w:lineRule="exact"/>
        <w:rPr>
          <w:rFonts w:ascii="Arial" w:cs="Arial" w:eastAsia="Arial" w:hAnsi="Arial"/>
          <w:sz w:val="17"/>
          <w:szCs w:val="17"/>
          <w:color w:val="auto"/>
        </w:rPr>
      </w:pPr>
    </w:p>
    <w:p>
      <w:pPr>
        <w:ind w:left="480" w:hanging="239"/>
        <w:spacing w:after="0" w:line="222" w:lineRule="auto"/>
        <w:tabs>
          <w:tab w:leader="none" w:pos="480"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any security issued by a third party (including, but not limited to, fnancial instruments, index products and equity baskets) whose price or performance is materially infuenced by assets of the Company or any instruments issued by the Company;</w:t>
      </w:r>
    </w:p>
    <w:p>
      <w:pPr>
        <w:jc w:val="both"/>
        <w:ind w:left="480" w:hanging="239"/>
        <w:spacing w:after="0" w:line="232" w:lineRule="auto"/>
        <w:tabs>
          <w:tab w:leader="none" w:pos="480"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any fnancial instrument, including, for the avoidance of doubt, any derivatve instruments, which provides for or allows a cash setlement, other contracts for diference, and nonstandardized over the counter products, the performance of which is dependent on any of the securites set out in a) b), c) or d) above; and</w:t>
      </w:r>
    </w:p>
    <w:p>
      <w:pPr>
        <w:spacing w:after="0" w:line="1" w:lineRule="exact"/>
        <w:rPr>
          <w:rFonts w:ascii="Arial" w:cs="Arial" w:eastAsia="Arial" w:hAnsi="Arial"/>
          <w:sz w:val="17"/>
          <w:szCs w:val="17"/>
          <w:color w:val="auto"/>
        </w:rPr>
      </w:pPr>
    </w:p>
    <w:p>
      <w:pPr>
        <w:jc w:val="both"/>
        <w:ind w:left="480" w:hanging="239"/>
        <w:spacing w:after="0" w:line="223" w:lineRule="auto"/>
        <w:tabs>
          <w:tab w:leader="none" w:pos="471" w:val="left"/>
        </w:tabs>
        <w:numPr>
          <w:ilvl w:val="0"/>
          <w:numId w:val="300"/>
        </w:numPr>
        <w:rPr>
          <w:rFonts w:ascii="Arial" w:cs="Arial" w:eastAsia="Arial" w:hAnsi="Arial"/>
          <w:sz w:val="17"/>
          <w:szCs w:val="17"/>
          <w:color w:val="auto"/>
        </w:rPr>
      </w:pPr>
      <w:r>
        <w:rPr>
          <w:rFonts w:ascii="Calibri" w:cs="Calibri" w:eastAsia="Calibri" w:hAnsi="Calibri"/>
          <w:sz w:val="20"/>
          <w:szCs w:val="20"/>
          <w:color w:val="auto"/>
        </w:rPr>
        <w:t xml:space="preserve">any fnancial instrument pursuant to e) above, the performance of which is dependent on the performance of any one or more of the securites set out in a), b), c) or d) above (e.g., index products, equity baskets or optons on such instruments) to a degree of more than 33 </w:t>
      </w:r>
      <w:r>
        <w:rPr>
          <w:rFonts w:ascii="Calibri" w:cs="Calibri" w:eastAsia="Calibri" w:hAnsi="Calibri"/>
          <w:sz w:val="26"/>
          <w:szCs w:val="26"/>
          <w:color w:val="auto"/>
          <w:vertAlign w:val="superscript"/>
        </w:rPr>
        <w:t>1</w:t>
      </w:r>
      <w:r>
        <w:rPr>
          <w:rFonts w:ascii="Calibri" w:cs="Calibri" w:eastAsia="Calibri" w:hAnsi="Calibri"/>
          <w:sz w:val="20"/>
          <w:szCs w:val="20"/>
          <w:color w:val="auto"/>
        </w:rPr>
        <w:t>/</w:t>
      </w:r>
      <w:r>
        <w:rPr>
          <w:rFonts w:ascii="Calibri" w:cs="Calibri" w:eastAsia="Calibri" w:hAnsi="Calibri"/>
          <w:sz w:val="26"/>
          <w:szCs w:val="26"/>
          <w:color w:val="auto"/>
          <w:vertAlign w:val="subscript"/>
        </w:rPr>
        <w:t>3</w:t>
      </w:r>
      <w:r>
        <w:rPr>
          <w:rFonts w:ascii="Calibri" w:cs="Calibri" w:eastAsia="Calibri" w:hAnsi="Calibri"/>
          <w:sz w:val="20"/>
          <w:szCs w:val="20"/>
          <w:color w:val="auto"/>
        </w:rPr>
        <w:t>%.</w:t>
      </w: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The securites defned under a) to f) above are defned as </w:t>
      </w:r>
      <w:r>
        <w:rPr>
          <w:rFonts w:ascii="Calibri" w:cs="Calibri" w:eastAsia="Calibri" w:hAnsi="Calibri"/>
          <w:sz w:val="20"/>
          <w:szCs w:val="20"/>
          <w:b w:val="1"/>
          <w:bCs w:val="1"/>
          <w:color w:val="auto"/>
        </w:rPr>
        <w:t>Company Securites</w:t>
      </w:r>
      <w:r>
        <w:rPr>
          <w:rFonts w:ascii="Calibri" w:cs="Calibri" w:eastAsia="Calibri" w:hAnsi="Calibri"/>
          <w:sz w:val="20"/>
          <w:szCs w:val="20"/>
          <w:color w:val="auto"/>
        </w:rPr>
        <w:t>.</w:t>
      </w:r>
    </w:p>
    <w:p>
      <w:pPr>
        <w:spacing w:after="0" w:line="138" w:lineRule="exact"/>
        <w:rPr>
          <w:sz w:val="20"/>
          <w:szCs w:val="20"/>
          <w:color w:val="auto"/>
        </w:rPr>
      </w:pPr>
    </w:p>
    <w:p>
      <w:pPr>
        <w:spacing w:after="0" w:line="248" w:lineRule="auto"/>
        <w:rPr>
          <w:sz w:val="20"/>
          <w:szCs w:val="20"/>
          <w:color w:val="auto"/>
        </w:rPr>
      </w:pPr>
      <w:r>
        <w:rPr>
          <w:rFonts w:ascii="Calibri" w:cs="Calibri" w:eastAsia="Calibri" w:hAnsi="Calibri"/>
          <w:sz w:val="20"/>
          <w:szCs w:val="20"/>
          <w:color w:val="auto"/>
        </w:rPr>
        <w:t>This POL further applies in relaton to any securites and/or fnancial instruments of any third party traded on a regulated market where a Covered Person, in the course of his/her positon or employment, acquires confdental informaton on such third party that is likely to afect the value of those securites, such as the Company planning to launch a public ofer for such securites or otherwise planning to undertake a signifcant commercial transacton with such third party.</w:t>
      </w:r>
    </w:p>
    <w:p>
      <w:pPr>
        <w:spacing w:after="0" w:line="143" w:lineRule="exact"/>
        <w:rPr>
          <w:sz w:val="20"/>
          <w:szCs w:val="20"/>
          <w:color w:val="auto"/>
        </w:rPr>
      </w:pPr>
    </w:p>
    <w:p>
      <w:pPr>
        <w:ind w:right="620"/>
        <w:spacing w:after="0" w:line="246" w:lineRule="auto"/>
        <w:rPr>
          <w:sz w:val="20"/>
          <w:szCs w:val="20"/>
          <w:color w:val="auto"/>
        </w:rPr>
      </w:pPr>
      <w:r>
        <w:rPr>
          <w:rFonts w:ascii="Calibri" w:cs="Calibri" w:eastAsia="Calibri" w:hAnsi="Calibri"/>
          <w:sz w:val="20"/>
          <w:szCs w:val="20"/>
          <w:color w:val="auto"/>
        </w:rPr>
        <w:t xml:space="preserve">All securites listed in this Secton, including securites issued by third partes as applicable, are collectvely referred to as </w:t>
      </w:r>
      <w:r>
        <w:rPr>
          <w:rFonts w:ascii="Calibri" w:cs="Calibri" w:eastAsia="Calibri" w:hAnsi="Calibri"/>
          <w:sz w:val="20"/>
          <w:szCs w:val="20"/>
          <w:b w:val="1"/>
          <w:bCs w:val="1"/>
          <w:color w:val="auto"/>
        </w:rPr>
        <w:t>Relevant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Securites</w:t>
      </w:r>
      <w:r>
        <w:rPr>
          <w:rFonts w:ascii="Calibri" w:cs="Calibri" w:eastAsia="Calibri" w:hAnsi="Calibri"/>
          <w:sz w:val="20"/>
          <w:szCs w:val="20"/>
          <w:color w:val="auto"/>
        </w:rPr>
        <w:t>.</w:t>
      </w:r>
    </w:p>
    <w:p>
      <w:pPr>
        <w:spacing w:after="0" w:line="181"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5.2</w:t>
      </w:r>
      <w:r>
        <w:rPr>
          <w:sz w:val="20"/>
          <w:szCs w:val="20"/>
          <w:color w:val="auto"/>
        </w:rPr>
        <w:tab/>
      </w:r>
      <w:r>
        <w:rPr>
          <w:rFonts w:ascii="Calibri" w:cs="Calibri" w:eastAsia="Calibri" w:hAnsi="Calibri"/>
          <w:sz w:val="20"/>
          <w:szCs w:val="20"/>
          <w:b w:val="1"/>
          <w:bCs w:val="1"/>
          <w:color w:val="auto"/>
        </w:rPr>
        <w:t>Insider Informaton</w:t>
      </w:r>
    </w:p>
    <w:p>
      <w:pPr>
        <w:spacing w:after="0" w:line="37"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Insider Informaton refers to facts (including, without limitatons, frm intentons, unrealized plans and prospects), other than rumors and speculaton, of sufciently clear and certain nature (as defned below):</w:t>
      </w:r>
    </w:p>
    <w:p>
      <w:pPr>
        <w:spacing w:after="0" w:line="143" w:lineRule="exact"/>
        <w:rPr>
          <w:sz w:val="20"/>
          <w:szCs w:val="20"/>
          <w:color w:val="auto"/>
        </w:rPr>
      </w:pPr>
    </w:p>
    <w:p>
      <w:pPr>
        <w:ind w:left="480" w:hanging="239"/>
        <w:spacing w:after="0"/>
        <w:tabs>
          <w:tab w:leader="none" w:pos="480" w:val="left"/>
        </w:tabs>
        <w:numPr>
          <w:ilvl w:val="0"/>
          <w:numId w:val="301"/>
        </w:numPr>
        <w:rPr>
          <w:rFonts w:ascii="Arial" w:cs="Arial" w:eastAsia="Arial" w:hAnsi="Arial"/>
          <w:sz w:val="17"/>
          <w:szCs w:val="17"/>
          <w:color w:val="auto"/>
        </w:rPr>
      </w:pPr>
      <w:r>
        <w:rPr>
          <w:rFonts w:ascii="Calibri" w:cs="Calibri" w:eastAsia="Calibri" w:hAnsi="Calibri"/>
          <w:sz w:val="20"/>
          <w:szCs w:val="20"/>
          <w:color w:val="auto"/>
        </w:rPr>
        <w:t>which are confdental (as defned below); and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40" w:right="339" w:bottom="1440" w:gutter="0" w:footer="0" w:header="0"/>
          <w:type w:val="continuous"/>
        </w:sectPr>
      </w:pPr>
    </w:p>
    <w:bookmarkStart w:id="351" w:name="page352"/>
    <w:bookmarkEnd w:id="351"/>
    <w:p>
      <w:pPr>
        <w:jc w:val="both"/>
        <w:ind w:left="480" w:hanging="239"/>
        <w:spacing w:after="0" w:line="247" w:lineRule="auto"/>
        <w:tabs>
          <w:tab w:leader="none" w:pos="480" w:val="left"/>
        </w:tabs>
        <w:numPr>
          <w:ilvl w:val="0"/>
          <w:numId w:val="302"/>
        </w:numPr>
        <w:rPr>
          <w:rFonts w:ascii="Arial" w:cs="Arial" w:eastAsia="Arial" w:hAnsi="Arial"/>
          <w:sz w:val="17"/>
          <w:szCs w:val="17"/>
          <w:color w:val="auto"/>
        </w:rPr>
      </w:pPr>
      <w:r>
        <w:rPr>
          <w:rFonts w:ascii="Calibri" w:cs="Calibri" w:eastAsia="Calibri" w:hAnsi="Calibri"/>
          <w:sz w:val="20"/>
          <w:szCs w:val="20"/>
          <w:color w:val="auto"/>
        </w:rPr>
        <w:t>which have arisen in the Company's sphere of actvity or relate to facts external to the Company (such as knowledge of fnancial analysis, ratng decisions, industry-specifc or general economic developments, awaitng publicaton) or which relate to any Relevant Securites; and</w:t>
      </w:r>
    </w:p>
    <w:p>
      <w:pPr>
        <w:spacing w:after="0" w:line="3" w:lineRule="exact"/>
        <w:rPr>
          <w:rFonts w:ascii="Arial" w:cs="Arial" w:eastAsia="Arial" w:hAnsi="Arial"/>
          <w:sz w:val="17"/>
          <w:szCs w:val="17"/>
          <w:color w:val="auto"/>
        </w:rPr>
      </w:pPr>
    </w:p>
    <w:p>
      <w:pPr>
        <w:ind w:left="480" w:hanging="239"/>
        <w:spacing w:after="0"/>
        <w:tabs>
          <w:tab w:leader="none" w:pos="480" w:val="left"/>
        </w:tabs>
        <w:numPr>
          <w:ilvl w:val="0"/>
          <w:numId w:val="302"/>
        </w:numPr>
        <w:rPr>
          <w:rFonts w:ascii="Arial" w:cs="Arial" w:eastAsia="Arial" w:hAnsi="Arial"/>
          <w:sz w:val="17"/>
          <w:szCs w:val="17"/>
          <w:color w:val="auto"/>
        </w:rPr>
      </w:pPr>
      <w:r>
        <w:rPr>
          <w:rFonts w:ascii="Calibri" w:cs="Calibri" w:eastAsia="Calibri" w:hAnsi="Calibri"/>
          <w:sz w:val="20"/>
          <w:szCs w:val="20"/>
          <w:color w:val="auto"/>
        </w:rPr>
        <w:t>which are price-sensitve (as defned below).</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Informaton is of </w:t>
      </w:r>
      <w:r>
        <w:rPr>
          <w:rFonts w:ascii="Calibri" w:cs="Calibri" w:eastAsia="Calibri" w:hAnsi="Calibri"/>
          <w:sz w:val="20"/>
          <w:szCs w:val="20"/>
          <w:b w:val="1"/>
          <w:bCs w:val="1"/>
          <w:color w:val="auto"/>
        </w:rPr>
        <w:t>sufciently clear and certain nature</w:t>
      </w:r>
      <w:r>
        <w:rPr>
          <w:rFonts w:ascii="Calibri" w:cs="Calibri" w:eastAsia="Calibri" w:hAnsi="Calibri"/>
          <w:sz w:val="20"/>
          <w:szCs w:val="20"/>
          <w:color w:val="auto"/>
        </w:rPr>
        <w:t xml:space="preserve"> if it:</w:t>
      </w:r>
    </w:p>
    <w:p>
      <w:pPr>
        <w:spacing w:after="0" w:line="138" w:lineRule="exact"/>
        <w:rPr>
          <w:sz w:val="20"/>
          <w:szCs w:val="20"/>
          <w:color w:val="auto"/>
        </w:rPr>
      </w:pPr>
    </w:p>
    <w:p>
      <w:pPr>
        <w:ind w:left="480" w:hanging="239"/>
        <w:spacing w:after="0" w:line="246" w:lineRule="auto"/>
        <w:tabs>
          <w:tab w:leader="none" w:pos="480" w:val="left"/>
        </w:tabs>
        <w:numPr>
          <w:ilvl w:val="0"/>
          <w:numId w:val="303"/>
        </w:numPr>
        <w:rPr>
          <w:rFonts w:ascii="Arial" w:cs="Arial" w:eastAsia="Arial" w:hAnsi="Arial"/>
          <w:sz w:val="17"/>
          <w:szCs w:val="17"/>
          <w:color w:val="auto"/>
        </w:rPr>
      </w:pPr>
      <w:r>
        <w:rPr>
          <w:rFonts w:ascii="Calibri" w:cs="Calibri" w:eastAsia="Calibri" w:hAnsi="Calibri"/>
          <w:sz w:val="20"/>
          <w:szCs w:val="20"/>
          <w:color w:val="auto"/>
        </w:rPr>
        <w:t>indicates circumstances that exist or may reasonably be expected to come into existence or an event that has occurred or may reasonably be expected to occur; and</w:t>
      </w:r>
    </w:p>
    <w:p>
      <w:pPr>
        <w:spacing w:after="0" w:line="6" w:lineRule="exact"/>
        <w:rPr>
          <w:rFonts w:ascii="Arial" w:cs="Arial" w:eastAsia="Arial" w:hAnsi="Arial"/>
          <w:sz w:val="17"/>
          <w:szCs w:val="17"/>
          <w:color w:val="auto"/>
        </w:rPr>
      </w:pPr>
    </w:p>
    <w:p>
      <w:pPr>
        <w:ind w:left="480" w:hanging="239"/>
        <w:spacing w:after="0" w:line="246" w:lineRule="auto"/>
        <w:tabs>
          <w:tab w:leader="none" w:pos="480" w:val="left"/>
        </w:tabs>
        <w:numPr>
          <w:ilvl w:val="0"/>
          <w:numId w:val="303"/>
        </w:numPr>
        <w:rPr>
          <w:rFonts w:ascii="Arial" w:cs="Arial" w:eastAsia="Arial" w:hAnsi="Arial"/>
          <w:sz w:val="17"/>
          <w:szCs w:val="17"/>
          <w:color w:val="auto"/>
        </w:rPr>
      </w:pPr>
      <w:r>
        <w:rPr>
          <w:rFonts w:ascii="Calibri" w:cs="Calibri" w:eastAsia="Calibri" w:hAnsi="Calibri"/>
          <w:sz w:val="20"/>
          <w:szCs w:val="20"/>
          <w:color w:val="auto"/>
        </w:rPr>
        <w:t>is specifc enough to enable a conclusion to be drawn as to the possible efect of those circumstances or that event on the price of any Relevant Securites.</w:t>
      </w:r>
    </w:p>
    <w:p>
      <w:pPr>
        <w:spacing w:after="0" w:line="234" w:lineRule="exact"/>
        <w:rPr>
          <w:sz w:val="20"/>
          <w:szCs w:val="20"/>
          <w:color w:val="auto"/>
        </w:rPr>
      </w:pPr>
    </w:p>
    <w:p>
      <w:pPr>
        <w:ind w:right="20"/>
        <w:spacing w:after="0" w:line="248" w:lineRule="auto"/>
        <w:rPr>
          <w:sz w:val="20"/>
          <w:szCs w:val="20"/>
          <w:color w:val="auto"/>
        </w:rPr>
      </w:pPr>
      <w:r>
        <w:rPr>
          <w:rFonts w:ascii="Calibri" w:cs="Calibri" w:eastAsia="Calibri" w:hAnsi="Calibri"/>
          <w:sz w:val="20"/>
          <w:szCs w:val="20"/>
          <w:color w:val="auto"/>
        </w:rPr>
        <w:t xml:space="preserve">Informaton is deemed to be </w:t>
      </w:r>
      <w:r>
        <w:rPr>
          <w:rFonts w:ascii="Calibri" w:cs="Calibri" w:eastAsia="Calibri" w:hAnsi="Calibri"/>
          <w:sz w:val="20"/>
          <w:szCs w:val="20"/>
          <w:b w:val="1"/>
          <w:bCs w:val="1"/>
          <w:color w:val="auto"/>
        </w:rPr>
        <w:t>confdental</w:t>
      </w:r>
      <w:r>
        <w:rPr>
          <w:rFonts w:ascii="Calibri" w:cs="Calibri" w:eastAsia="Calibri" w:hAnsi="Calibri"/>
          <w:sz w:val="20"/>
          <w:szCs w:val="20"/>
          <w:color w:val="auto"/>
        </w:rPr>
        <w:t xml:space="preserve"> if it is not generally available but restricted to a limited group of people. Informaton is deemed to be generally available (</w:t>
      </w:r>
      <w:r>
        <w:rPr>
          <w:rFonts w:ascii="Calibri" w:cs="Calibri" w:eastAsia="Calibri" w:hAnsi="Calibri"/>
          <w:sz w:val="20"/>
          <w:szCs w:val="20"/>
          <w:i w:val="1"/>
          <w:iCs w:val="1"/>
          <w:color w:val="auto"/>
        </w:rPr>
        <w:t>i.e.</w:t>
      </w:r>
      <w:r>
        <w:rPr>
          <w:rFonts w:ascii="Calibri" w:cs="Calibri" w:eastAsia="Calibri" w:hAnsi="Calibri"/>
          <w:sz w:val="20"/>
          <w:szCs w:val="20"/>
          <w:color w:val="auto"/>
        </w:rPr>
        <w:t>, in the public domain) if the informaton has been widely disseminated and/or third partes are able to obtain it from generally accessible sources. Informaton has not been made public as long as the Company has not publicly disclosed it by way of a media release or public regulatory fling. Once informaton is generally available, it is stll necessary to aford the investng public with sufcient tme to absorb the informaton. Generally speaking, informaton will be considered generally available for purposes of this policy only afer full trading days have elapsed since the informaton was publicly disclosed. Rumors or "talk on the street", even if widespread and reported in the media, do not consttute a public release untl the Company itself shall have released the relevant informaton in its entrety. Please note that Insider Informaton does not have to come from inside the Company, but can include confdental external informaton capable of infuencing the price of the Relevant Securites (e.g., the factory of a crucial supplier is destroyed by fre).</w:t>
      </w:r>
    </w:p>
    <w:p>
      <w:pPr>
        <w:spacing w:after="0" w:line="200" w:lineRule="exact"/>
        <w:rPr>
          <w:sz w:val="20"/>
          <w:szCs w:val="20"/>
          <w:color w:val="auto"/>
        </w:rPr>
      </w:pPr>
    </w:p>
    <w:p>
      <w:pPr>
        <w:spacing w:after="0" w:line="202" w:lineRule="exact"/>
        <w:rPr>
          <w:sz w:val="20"/>
          <w:szCs w:val="20"/>
          <w:color w:val="auto"/>
        </w:rPr>
      </w:pPr>
    </w:p>
    <w:p>
      <w:pPr>
        <w:ind w:right="60"/>
        <w:spacing w:after="0" w:line="247" w:lineRule="auto"/>
        <w:rPr>
          <w:sz w:val="20"/>
          <w:szCs w:val="20"/>
          <w:color w:val="auto"/>
        </w:rPr>
      </w:pPr>
      <w:r>
        <w:rPr>
          <w:rFonts w:ascii="Calibri" w:cs="Calibri" w:eastAsia="Calibri" w:hAnsi="Calibri"/>
          <w:sz w:val="20"/>
          <w:szCs w:val="20"/>
          <w:color w:val="auto"/>
        </w:rPr>
        <w:t xml:space="preserve">Informaton is deemed to be </w:t>
      </w:r>
      <w:r>
        <w:rPr>
          <w:rFonts w:ascii="Calibri" w:cs="Calibri" w:eastAsia="Calibri" w:hAnsi="Calibri"/>
          <w:sz w:val="20"/>
          <w:szCs w:val="20"/>
          <w:b w:val="1"/>
          <w:bCs w:val="1"/>
          <w:color w:val="auto"/>
        </w:rPr>
        <w:t>price-sensitve</w:t>
      </w:r>
      <w:r>
        <w:rPr>
          <w:rFonts w:ascii="Calibri" w:cs="Calibri" w:eastAsia="Calibri" w:hAnsi="Calibri"/>
          <w:sz w:val="20"/>
          <w:szCs w:val="20"/>
          <w:color w:val="auto"/>
        </w:rPr>
        <w:t xml:space="preserve"> if such informaton is capable of afectng the investment behavior of a reasonable market partcipant and, thus, of substantally infuencing the market price of Relevant Securites that is considerably greater than the usual price fuctuatons. For examples of informaton that may be deemed price-sensitve, please refer to MP-DOC-00515 hereto.</w:t>
      </w:r>
    </w:p>
    <w:p>
      <w:pPr>
        <w:spacing w:after="0" w:line="181"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5.3</w:t>
      </w:r>
      <w:r>
        <w:rPr>
          <w:sz w:val="20"/>
          <w:szCs w:val="20"/>
          <w:color w:val="auto"/>
        </w:rPr>
        <w:tab/>
      </w:r>
      <w:r>
        <w:rPr>
          <w:rFonts w:ascii="Calibri" w:cs="Calibri" w:eastAsia="Calibri" w:hAnsi="Calibri"/>
          <w:sz w:val="20"/>
          <w:szCs w:val="20"/>
          <w:b w:val="1"/>
          <w:bCs w:val="1"/>
          <w:color w:val="auto"/>
        </w:rPr>
        <w:t>General Restrictons</w:t>
      </w:r>
    </w:p>
    <w:p>
      <w:pPr>
        <w:spacing w:after="0" w:line="161" w:lineRule="exact"/>
        <w:rPr>
          <w:sz w:val="20"/>
          <w:szCs w:val="20"/>
          <w:color w:val="auto"/>
        </w:rPr>
      </w:pPr>
    </w:p>
    <w:p>
      <w:pPr>
        <w:ind w:left="380"/>
        <w:spacing w:after="0"/>
        <w:tabs>
          <w:tab w:leader="none" w:pos="960" w:val="left"/>
        </w:tabs>
        <w:rPr>
          <w:sz w:val="20"/>
          <w:szCs w:val="20"/>
          <w:color w:val="auto"/>
        </w:rPr>
      </w:pPr>
      <w:r>
        <w:rPr>
          <w:rFonts w:ascii="Calibri" w:cs="Calibri" w:eastAsia="Calibri" w:hAnsi="Calibri"/>
          <w:sz w:val="20"/>
          <w:szCs w:val="20"/>
          <w:b w:val="1"/>
          <w:bCs w:val="1"/>
          <w:color w:val="auto"/>
        </w:rPr>
        <w:t>5.3.1</w:t>
        <w:tab/>
        <w:t>Restrictons based on Insider Informaton</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A Covered Person who is in possession of Insider Informaton (Insider) may not:</w:t>
      </w:r>
    </w:p>
    <w:p>
      <w:pPr>
        <w:spacing w:after="0" w:line="151" w:lineRule="exact"/>
        <w:rPr>
          <w:sz w:val="20"/>
          <w:szCs w:val="20"/>
          <w:color w:val="auto"/>
        </w:rPr>
      </w:pPr>
    </w:p>
    <w:p>
      <w:pPr>
        <w:ind w:left="480" w:right="20" w:hanging="239"/>
        <w:spacing w:after="0" w:line="246" w:lineRule="auto"/>
        <w:tabs>
          <w:tab w:leader="none" w:pos="480" w:val="left"/>
        </w:tabs>
        <w:numPr>
          <w:ilvl w:val="0"/>
          <w:numId w:val="304"/>
        </w:numPr>
        <w:rPr>
          <w:rFonts w:ascii="Arial" w:cs="Arial" w:eastAsia="Arial" w:hAnsi="Arial"/>
          <w:sz w:val="17"/>
          <w:szCs w:val="17"/>
          <w:color w:val="auto"/>
        </w:rPr>
      </w:pPr>
      <w:r>
        <w:rPr>
          <w:rFonts w:ascii="Calibri" w:cs="Calibri" w:eastAsia="Calibri" w:hAnsi="Calibri"/>
          <w:sz w:val="20"/>
          <w:szCs w:val="20"/>
          <w:color w:val="auto"/>
        </w:rPr>
        <w:t>directly or indirectly, sell, buy, or enter into an opton or similar transacton relatng to Relevant Securites, whether for his/her own account or for the account of another person;</w:t>
      </w:r>
    </w:p>
    <w:p>
      <w:pPr>
        <w:spacing w:after="0" w:line="3" w:lineRule="exact"/>
        <w:rPr>
          <w:rFonts w:ascii="Arial" w:cs="Arial" w:eastAsia="Arial" w:hAnsi="Arial"/>
          <w:sz w:val="17"/>
          <w:szCs w:val="17"/>
          <w:color w:val="auto"/>
        </w:rPr>
      </w:pPr>
    </w:p>
    <w:p>
      <w:pPr>
        <w:ind w:left="480" w:hanging="239"/>
        <w:spacing w:after="0"/>
        <w:tabs>
          <w:tab w:leader="none" w:pos="480" w:val="left"/>
        </w:tabs>
        <w:numPr>
          <w:ilvl w:val="0"/>
          <w:numId w:val="304"/>
        </w:numPr>
        <w:rPr>
          <w:rFonts w:ascii="Arial" w:cs="Arial" w:eastAsia="Arial" w:hAnsi="Arial"/>
          <w:sz w:val="17"/>
          <w:szCs w:val="17"/>
          <w:color w:val="auto"/>
        </w:rPr>
      </w:pPr>
      <w:r>
        <w:rPr>
          <w:rFonts w:ascii="Calibri" w:cs="Calibri" w:eastAsia="Calibri" w:hAnsi="Calibri"/>
          <w:sz w:val="20"/>
          <w:szCs w:val="20"/>
          <w:color w:val="auto"/>
        </w:rPr>
        <w:t>disclose Insider Informaton to anyone other than a person whose positon requires him or her to know the Insider Informaton and</w:t>
      </w:r>
    </w:p>
    <w:p>
      <w:pPr>
        <w:spacing w:after="0" w:line="11" w:lineRule="exact"/>
        <w:rPr>
          <w:rFonts w:ascii="Arial" w:cs="Arial" w:eastAsia="Arial" w:hAnsi="Arial"/>
          <w:sz w:val="17"/>
          <w:szCs w:val="17"/>
          <w:color w:val="auto"/>
        </w:rPr>
      </w:pPr>
    </w:p>
    <w:p>
      <w:pPr>
        <w:ind w:left="480"/>
        <w:spacing w:after="0" w:line="246" w:lineRule="auto"/>
        <w:rPr>
          <w:rFonts w:ascii="Arial" w:cs="Arial" w:eastAsia="Arial" w:hAnsi="Arial"/>
          <w:sz w:val="17"/>
          <w:szCs w:val="17"/>
          <w:color w:val="auto"/>
        </w:rPr>
      </w:pPr>
      <w:r>
        <w:rPr>
          <w:rFonts w:ascii="Calibri" w:cs="Calibri" w:eastAsia="Calibri" w:hAnsi="Calibri"/>
          <w:sz w:val="20"/>
          <w:szCs w:val="20"/>
          <w:color w:val="auto"/>
        </w:rPr>
        <w:t>(i) who is subject to this POL, or (ii) who is subject to a statutory or professional secrecy obligaton, or (iii) who has executed a writen confdentality undertaking (including standstll); or</w:t>
      </w:r>
    </w:p>
    <w:p>
      <w:pPr>
        <w:spacing w:after="0" w:line="3" w:lineRule="exact"/>
        <w:rPr>
          <w:rFonts w:ascii="Arial" w:cs="Arial" w:eastAsia="Arial" w:hAnsi="Arial"/>
          <w:sz w:val="17"/>
          <w:szCs w:val="17"/>
          <w:color w:val="auto"/>
        </w:rPr>
      </w:pPr>
    </w:p>
    <w:p>
      <w:pPr>
        <w:ind w:left="480" w:hanging="239"/>
        <w:spacing w:after="0"/>
        <w:tabs>
          <w:tab w:leader="none" w:pos="480" w:val="left"/>
        </w:tabs>
        <w:numPr>
          <w:ilvl w:val="0"/>
          <w:numId w:val="304"/>
        </w:numPr>
        <w:rPr>
          <w:rFonts w:ascii="Arial" w:cs="Arial" w:eastAsia="Arial" w:hAnsi="Arial"/>
          <w:sz w:val="17"/>
          <w:szCs w:val="17"/>
          <w:color w:val="auto"/>
        </w:rPr>
      </w:pPr>
      <w:r>
        <w:rPr>
          <w:rFonts w:ascii="Calibri" w:cs="Calibri" w:eastAsia="Calibri" w:hAnsi="Calibri"/>
          <w:sz w:val="20"/>
          <w:szCs w:val="20"/>
          <w:color w:val="auto"/>
        </w:rPr>
        <w:t>recommend to, induce or instruct another person to sell, buy, or otherwise deal in Relevant Securites.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16" w:right="339" w:bottom="1440" w:gutter="0" w:footer="0" w:header="0"/>
        </w:sectPr>
      </w:pPr>
    </w:p>
    <w:bookmarkStart w:id="352" w:name="page353"/>
    <w:bookmarkEnd w:id="352"/>
    <w:p>
      <w:pPr>
        <w:spacing w:after="0"/>
        <w:rPr>
          <w:sz w:val="20"/>
          <w:szCs w:val="20"/>
          <w:color w:val="auto"/>
        </w:rPr>
      </w:pPr>
      <w:r>
        <w:rPr>
          <w:rFonts w:ascii="Calibri" w:cs="Calibri" w:eastAsia="Calibri" w:hAnsi="Calibri"/>
          <w:sz w:val="20"/>
          <w:szCs w:val="20"/>
          <w:color w:val="auto"/>
        </w:rPr>
        <w:t>The prohibitons under this Secton 5.3.1 apply also during the Trading Windows described in Secton 5.3.2.</w:t>
      </w:r>
    </w:p>
    <w:p>
      <w:pPr>
        <w:spacing w:after="0" w:line="136"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The prohibitons under this Secton 5.3.1 above shall, subject, however, to Sectons 5.3.2 and 5.4 below, </w:t>
      </w:r>
      <w:r>
        <w:rPr>
          <w:rFonts w:ascii="Calibri" w:cs="Calibri" w:eastAsia="Calibri" w:hAnsi="Calibri"/>
          <w:sz w:val="20"/>
          <w:szCs w:val="20"/>
          <w:u w:val="single" w:color="auto"/>
          <w:color w:val="auto"/>
        </w:rPr>
        <w:t>not</w:t>
      </w:r>
      <w:r>
        <w:rPr>
          <w:rFonts w:ascii="Calibri" w:cs="Calibri" w:eastAsia="Calibri" w:hAnsi="Calibri"/>
          <w:sz w:val="20"/>
          <w:szCs w:val="20"/>
          <w:color w:val="auto"/>
        </w:rPr>
        <w:t xml:space="preserve"> apply if:</w:t>
      </w:r>
    </w:p>
    <w:p>
      <w:pPr>
        <w:spacing w:after="0" w:line="151" w:lineRule="exact"/>
        <w:rPr>
          <w:sz w:val="20"/>
          <w:szCs w:val="20"/>
          <w:color w:val="auto"/>
        </w:rPr>
      </w:pPr>
    </w:p>
    <w:p>
      <w:pPr>
        <w:jc w:val="both"/>
        <w:ind w:left="480" w:hanging="239"/>
        <w:spacing w:after="0" w:line="247" w:lineRule="auto"/>
        <w:tabs>
          <w:tab w:leader="none" w:pos="477" w:val="left"/>
        </w:tabs>
        <w:numPr>
          <w:ilvl w:val="0"/>
          <w:numId w:val="305"/>
        </w:numPr>
        <w:rPr>
          <w:rFonts w:ascii="Arial" w:cs="Arial" w:eastAsia="Arial" w:hAnsi="Arial"/>
          <w:sz w:val="17"/>
          <w:szCs w:val="17"/>
          <w:color w:val="auto"/>
        </w:rPr>
      </w:pPr>
      <w:r>
        <w:rPr>
          <w:rFonts w:ascii="Calibri" w:cs="Calibri" w:eastAsia="Calibri" w:hAnsi="Calibri"/>
          <w:sz w:val="20"/>
          <w:szCs w:val="20"/>
          <w:color w:val="auto"/>
        </w:rPr>
        <w:t>a Covered Person, at a tme when he or she did not possess Insider Informaton, had entered into a binding contract, provided instructons to another, or was subject to a writen plan (such as a plan meetng the requirements of Rule 10b5-1 promulgated under the Securites Exchange Act of 1934, as amended) for the trading of Relevant Securites; and</w:t>
      </w:r>
    </w:p>
    <w:p>
      <w:pPr>
        <w:spacing w:after="0" w:line="145" w:lineRule="exact"/>
        <w:rPr>
          <w:rFonts w:ascii="Arial" w:cs="Arial" w:eastAsia="Arial" w:hAnsi="Arial"/>
          <w:sz w:val="17"/>
          <w:szCs w:val="17"/>
          <w:color w:val="auto"/>
        </w:rPr>
      </w:pPr>
    </w:p>
    <w:p>
      <w:pPr>
        <w:ind w:left="480" w:hanging="239"/>
        <w:spacing w:after="0" w:line="246" w:lineRule="auto"/>
        <w:tabs>
          <w:tab w:leader="none" w:pos="477" w:val="left"/>
        </w:tabs>
        <w:numPr>
          <w:ilvl w:val="0"/>
          <w:numId w:val="305"/>
        </w:numPr>
        <w:rPr>
          <w:rFonts w:ascii="Arial" w:cs="Arial" w:eastAsia="Arial" w:hAnsi="Arial"/>
          <w:sz w:val="17"/>
          <w:szCs w:val="17"/>
          <w:color w:val="auto"/>
        </w:rPr>
      </w:pPr>
      <w:r>
        <w:rPr>
          <w:rFonts w:ascii="Calibri" w:cs="Calibri" w:eastAsia="Calibri" w:hAnsi="Calibri"/>
          <w:sz w:val="20"/>
          <w:szCs w:val="20"/>
          <w:color w:val="auto"/>
        </w:rPr>
        <w:t>the contract, instructon or writen plan does not allow the Covered Person to exercise any subsequent infuence over when, whether or at what price to efect purchases or sales of Relevant Securites; and</w:t>
      </w:r>
    </w:p>
    <w:p>
      <w:pPr>
        <w:spacing w:after="0" w:line="132" w:lineRule="exact"/>
        <w:rPr>
          <w:rFonts w:ascii="Arial" w:cs="Arial" w:eastAsia="Arial" w:hAnsi="Arial"/>
          <w:sz w:val="17"/>
          <w:szCs w:val="17"/>
          <w:color w:val="auto"/>
        </w:rPr>
      </w:pPr>
    </w:p>
    <w:p>
      <w:pPr>
        <w:ind w:left="480" w:hanging="239"/>
        <w:spacing w:after="0" w:line="246" w:lineRule="auto"/>
        <w:tabs>
          <w:tab w:leader="none" w:pos="476" w:val="left"/>
        </w:tabs>
        <w:numPr>
          <w:ilvl w:val="0"/>
          <w:numId w:val="305"/>
        </w:numPr>
        <w:rPr>
          <w:rFonts w:ascii="Arial" w:cs="Arial" w:eastAsia="Arial" w:hAnsi="Arial"/>
          <w:sz w:val="17"/>
          <w:szCs w:val="17"/>
          <w:color w:val="auto"/>
        </w:rPr>
      </w:pPr>
      <w:r>
        <w:rPr>
          <w:rFonts w:ascii="Calibri" w:cs="Calibri" w:eastAsia="Calibri" w:hAnsi="Calibri"/>
          <w:sz w:val="20"/>
          <w:szCs w:val="20"/>
          <w:color w:val="auto"/>
        </w:rPr>
        <w:t>no material alteraton to, or material deviaton from, the original contract, instructon or plan was made afer the Covered Person came into possession of the Insider Informaton.</w:t>
      </w:r>
    </w:p>
    <w:p>
      <w:pPr>
        <w:spacing w:after="0" w:line="145" w:lineRule="exact"/>
        <w:rPr>
          <w:sz w:val="20"/>
          <w:szCs w:val="20"/>
          <w:color w:val="auto"/>
        </w:rPr>
      </w:pPr>
    </w:p>
    <w:p>
      <w:pPr>
        <w:spacing w:after="0" w:line="248" w:lineRule="auto"/>
        <w:rPr>
          <w:sz w:val="20"/>
          <w:szCs w:val="20"/>
          <w:color w:val="auto"/>
        </w:rPr>
      </w:pPr>
      <w:r>
        <w:rPr>
          <w:rFonts w:ascii="Calibri" w:cs="Calibri" w:eastAsia="Calibri" w:hAnsi="Calibri"/>
          <w:sz w:val="20"/>
          <w:szCs w:val="20"/>
          <w:color w:val="auto"/>
        </w:rPr>
        <w:t>A “</w:t>
      </w:r>
      <w:r>
        <w:rPr>
          <w:rFonts w:ascii="Calibri" w:cs="Calibri" w:eastAsia="Calibri" w:hAnsi="Calibri"/>
          <w:sz w:val="20"/>
          <w:szCs w:val="20"/>
          <w:b w:val="1"/>
          <w:bCs w:val="1"/>
          <w:color w:val="auto"/>
        </w:rPr>
        <w:t>Pre-Trading Plan</w:t>
      </w:r>
      <w:r>
        <w:rPr>
          <w:rFonts w:ascii="Calibri" w:cs="Calibri" w:eastAsia="Calibri" w:hAnsi="Calibri"/>
          <w:sz w:val="20"/>
          <w:szCs w:val="20"/>
          <w:color w:val="auto"/>
        </w:rPr>
        <w:t>” is an example of a binding contract or plan that fulflls the requirements of (i) to (iii) above and hence is not subject to the prohibitons under this Secton 5.3.1. Under a Pre-Trading Plan, a Covered Person gives an irrevocable and not changeable order to a bank or broker to execute transactons for a certain number of Relevant Securites on dates that have been fxed in advance or during certain tme periods that have been fxed in advance, and the individual transactons are being executed without the Covered Person being able to exert any further infuence on them. A Covered Person interested in concluding a Pre-Trading Plan may contact the CFO for further informaton.</w:t>
      </w:r>
    </w:p>
    <w:p>
      <w:pPr>
        <w:spacing w:after="0" w:line="145" w:lineRule="exact"/>
        <w:rPr>
          <w:sz w:val="20"/>
          <w:szCs w:val="20"/>
          <w:color w:val="auto"/>
        </w:rPr>
      </w:pPr>
    </w:p>
    <w:p>
      <w:pPr>
        <w:ind w:right="80"/>
        <w:spacing w:after="0" w:line="248" w:lineRule="auto"/>
        <w:rPr>
          <w:sz w:val="20"/>
          <w:szCs w:val="20"/>
          <w:color w:val="auto"/>
        </w:rPr>
      </w:pPr>
      <w:r>
        <w:rPr>
          <w:rFonts w:ascii="Calibri" w:cs="Calibri" w:eastAsia="Calibri" w:hAnsi="Calibri"/>
          <w:sz w:val="20"/>
          <w:szCs w:val="20"/>
          <w:color w:val="auto"/>
        </w:rPr>
        <w:t>A Pre-Trading Plan must be concluded, i.e. entered into, during a Trading Window as described in Secton 5.3.2. and the Company’s Rule 10b5-1 trading guidelines (</w:t>
      </w:r>
      <w:r>
        <w:rPr>
          <w:rFonts w:ascii="Calibri" w:cs="Calibri" w:eastAsia="Calibri" w:hAnsi="Calibri"/>
          <w:sz w:val="20"/>
          <w:szCs w:val="20"/>
          <w:b w:val="1"/>
          <w:bCs w:val="1"/>
          <w:color w:val="auto"/>
        </w:rPr>
        <w:t>10b5-1 Trading Guidelines</w:t>
      </w:r>
      <w:r>
        <w:rPr>
          <w:rFonts w:ascii="Calibri" w:cs="Calibri" w:eastAsia="Calibri" w:hAnsi="Calibri"/>
          <w:sz w:val="20"/>
          <w:szCs w:val="20"/>
          <w:color w:val="auto"/>
        </w:rPr>
        <w:t>), at tmes when the relevant Covered Person is not privy to Insider Informaton. Members of the Board and of the Management Board must report a Pre-Trading Plan to the CFO within two days from entering into the plan in accordance with the Company’s Policy on Transactons by Directors and Management. The individual transactons that follow the conclusion of a Pre-Trading Plan and occur in accordance with the Pre-Trading Plan do not have to occur within a Trading Window. Each Covered Person who has entered into a 10b5-1 trading plan must adhere to the Commpany’s 10b5-1 Trading Guidelines.</w:t>
      </w:r>
    </w:p>
    <w:p>
      <w:pPr>
        <w:spacing w:after="0" w:line="120" w:lineRule="exact"/>
        <w:rPr>
          <w:sz w:val="20"/>
          <w:szCs w:val="20"/>
          <w:color w:val="auto"/>
        </w:rPr>
      </w:pPr>
    </w:p>
    <w:p>
      <w:pPr>
        <w:spacing w:after="0" w:line="246" w:lineRule="auto"/>
        <w:rPr>
          <w:sz w:val="20"/>
          <w:szCs w:val="20"/>
          <w:color w:val="auto"/>
        </w:rPr>
      </w:pPr>
      <w:r>
        <w:rPr>
          <w:rFonts w:ascii="Calibri" w:cs="Calibri" w:eastAsia="Calibri" w:hAnsi="Calibri"/>
          <w:sz w:val="20"/>
          <w:szCs w:val="20"/>
          <w:color w:val="auto"/>
        </w:rPr>
        <w:t>The Company may enter into a framework agreement with a bank or broker to provide for Pre-Trading Plans for Covered Persons. In such case, the Company may require that Pre-Trading Plans have to be exclusively efected through that bank or broker.</w:t>
      </w:r>
    </w:p>
    <w:p>
      <w:pPr>
        <w:spacing w:after="0" w:line="181" w:lineRule="exact"/>
        <w:rPr>
          <w:sz w:val="20"/>
          <w:szCs w:val="20"/>
          <w:color w:val="auto"/>
        </w:rPr>
      </w:pPr>
    </w:p>
    <w:p>
      <w:pPr>
        <w:ind w:left="380"/>
        <w:spacing w:after="0"/>
        <w:tabs>
          <w:tab w:leader="none" w:pos="960" w:val="left"/>
        </w:tabs>
        <w:rPr>
          <w:sz w:val="20"/>
          <w:szCs w:val="20"/>
          <w:color w:val="auto"/>
        </w:rPr>
      </w:pPr>
      <w:r>
        <w:rPr>
          <w:rFonts w:ascii="Calibri" w:cs="Calibri" w:eastAsia="Calibri" w:hAnsi="Calibri"/>
          <w:sz w:val="20"/>
          <w:szCs w:val="20"/>
          <w:b w:val="1"/>
          <w:bCs w:val="1"/>
          <w:color w:val="auto"/>
        </w:rPr>
        <w:t>5.3.2</w:t>
        <w:tab/>
        <w:t>Restrictons outside Trading Windows</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A Covered Person, whether or not in possession of Insider Informaton, may not:</w:t>
      </w:r>
    </w:p>
    <w:p>
      <w:pPr>
        <w:spacing w:after="0" w:line="138" w:lineRule="exact"/>
        <w:rPr>
          <w:sz w:val="20"/>
          <w:szCs w:val="20"/>
          <w:color w:val="auto"/>
        </w:rPr>
      </w:pPr>
    </w:p>
    <w:p>
      <w:pPr>
        <w:ind w:left="480" w:hanging="239"/>
        <w:spacing w:after="0" w:line="246" w:lineRule="auto"/>
        <w:tabs>
          <w:tab w:leader="none" w:pos="480" w:val="left"/>
        </w:tabs>
        <w:numPr>
          <w:ilvl w:val="0"/>
          <w:numId w:val="306"/>
        </w:numPr>
        <w:rPr>
          <w:rFonts w:ascii="Arial" w:cs="Arial" w:eastAsia="Arial" w:hAnsi="Arial"/>
          <w:sz w:val="17"/>
          <w:szCs w:val="17"/>
          <w:color w:val="auto"/>
        </w:rPr>
      </w:pPr>
      <w:r>
        <w:rPr>
          <w:rFonts w:ascii="Calibri" w:cs="Calibri" w:eastAsia="Calibri" w:hAnsi="Calibri"/>
          <w:sz w:val="20"/>
          <w:szCs w:val="20"/>
          <w:color w:val="auto"/>
        </w:rPr>
        <w:t>directly or indirectly, sell, buy, or enter into an opton or similar transacton relatng to Relevant Securites, whether for his/her own account or for the account of another person;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14" w:right="339" w:bottom="1440" w:gutter="0" w:footer="0" w:header="0"/>
        </w:sectPr>
      </w:pPr>
    </w:p>
    <w:bookmarkStart w:id="353" w:name="page354"/>
    <w:bookmarkEnd w:id="353"/>
    <w:p>
      <w:pPr>
        <w:ind w:left="480" w:hanging="239"/>
        <w:spacing w:after="0"/>
        <w:tabs>
          <w:tab w:leader="none" w:pos="480" w:val="left"/>
        </w:tabs>
        <w:numPr>
          <w:ilvl w:val="0"/>
          <w:numId w:val="307"/>
        </w:numPr>
        <w:rPr>
          <w:rFonts w:ascii="Arial" w:cs="Arial" w:eastAsia="Arial" w:hAnsi="Arial"/>
          <w:sz w:val="17"/>
          <w:szCs w:val="17"/>
          <w:color w:val="auto"/>
        </w:rPr>
      </w:pPr>
      <w:r>
        <w:rPr>
          <w:rFonts w:ascii="Calibri" w:cs="Calibri" w:eastAsia="Calibri" w:hAnsi="Calibri"/>
          <w:sz w:val="20"/>
          <w:szCs w:val="20"/>
          <w:color w:val="auto"/>
        </w:rPr>
        <w:t>recommend to, induce or instruct another person to sell, buy, or otherwise deal in Relevant Securites;</w:t>
      </w:r>
    </w:p>
    <w:p>
      <w:pPr>
        <w:spacing w:after="0" w:line="239" w:lineRule="exact"/>
        <w:rPr>
          <w:sz w:val="20"/>
          <w:szCs w:val="20"/>
          <w:color w:val="auto"/>
        </w:rPr>
      </w:pPr>
    </w:p>
    <w:p>
      <w:pPr>
        <w:ind w:right="260"/>
        <w:spacing w:after="0" w:line="246" w:lineRule="auto"/>
        <w:rPr>
          <w:sz w:val="20"/>
          <w:szCs w:val="20"/>
          <w:color w:val="auto"/>
        </w:rPr>
      </w:pPr>
      <w:r>
        <w:rPr>
          <w:rFonts w:ascii="Calibri" w:cs="Calibri" w:eastAsia="Calibri" w:hAnsi="Calibri"/>
          <w:sz w:val="20"/>
          <w:szCs w:val="20"/>
          <w:b w:val="1"/>
          <w:bCs w:val="1"/>
          <w:u w:val="single" w:color="auto"/>
          <w:color w:val="auto"/>
        </w:rPr>
        <w:t>except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during trading windows set by the Board of Directors (or the Management Board if delegated by the Board) and announced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advance and in writng (by e-mail or in any other writen form) to all Covered Persons (</w:t>
      </w:r>
      <w:r>
        <w:rPr>
          <w:rFonts w:ascii="Calibri" w:cs="Calibri" w:eastAsia="Calibri" w:hAnsi="Calibri"/>
          <w:sz w:val="20"/>
          <w:szCs w:val="20"/>
          <w:b w:val="1"/>
          <w:bCs w:val="1"/>
          <w:color w:val="auto"/>
        </w:rPr>
        <w:t>Trading Windows</w:t>
      </w:r>
      <w:r>
        <w:rPr>
          <w:rFonts w:ascii="Calibri" w:cs="Calibri" w:eastAsia="Calibri" w:hAnsi="Calibri"/>
          <w:sz w:val="20"/>
          <w:szCs w:val="20"/>
          <w:color w:val="auto"/>
        </w:rPr>
        <w:t>).</w:t>
      </w:r>
    </w:p>
    <w:p>
      <w:pPr>
        <w:spacing w:after="0" w:line="131" w:lineRule="exact"/>
        <w:rPr>
          <w:sz w:val="20"/>
          <w:szCs w:val="20"/>
          <w:color w:val="auto"/>
        </w:rPr>
      </w:pPr>
    </w:p>
    <w:p>
      <w:pPr>
        <w:spacing w:after="0"/>
        <w:rPr>
          <w:sz w:val="20"/>
          <w:szCs w:val="20"/>
          <w:color w:val="auto"/>
        </w:rPr>
      </w:pPr>
      <w:r>
        <w:rPr>
          <w:rFonts w:ascii="Calibri" w:cs="Calibri" w:eastAsia="Calibri" w:hAnsi="Calibri"/>
          <w:sz w:val="20"/>
          <w:szCs w:val="20"/>
          <w:color w:val="auto"/>
        </w:rPr>
        <w:t>Notwithstanding the foregoing, the trading restrictons set forth in Secton 5.3.1 above also apply during Trading Windows.</w:t>
      </w:r>
    </w:p>
    <w:p>
      <w:pPr>
        <w:spacing w:after="0" w:line="151" w:lineRule="exact"/>
        <w:rPr>
          <w:sz w:val="20"/>
          <w:szCs w:val="20"/>
          <w:color w:val="auto"/>
        </w:rPr>
      </w:pPr>
    </w:p>
    <w:p>
      <w:pPr>
        <w:ind w:right="100"/>
        <w:spacing w:after="0" w:line="248" w:lineRule="auto"/>
        <w:rPr>
          <w:sz w:val="20"/>
          <w:szCs w:val="20"/>
          <w:color w:val="auto"/>
        </w:rPr>
      </w:pPr>
      <w:r>
        <w:rPr>
          <w:rFonts w:ascii="Calibri" w:cs="Calibri" w:eastAsia="Calibri" w:hAnsi="Calibri"/>
          <w:sz w:val="20"/>
          <w:szCs w:val="20"/>
          <w:color w:val="auto"/>
        </w:rPr>
        <w:t>The Board (or the Management Board if delegated by the Board) shall, as a rule, set four (4) Trading Windows per year, with, normally, each of these four Trading Windows startng on the second trading day following the public release of fnancial data, i.e. the public release of the annual results, the semi-annual results and the results of Q1 and Q3, respectvely. Each Trading Window shall usually last for ten (10) consecutve trading days.</w:t>
      </w:r>
    </w:p>
    <w:p>
      <w:pPr>
        <w:spacing w:after="0" w:line="143" w:lineRule="exact"/>
        <w:rPr>
          <w:sz w:val="20"/>
          <w:szCs w:val="20"/>
          <w:color w:val="auto"/>
        </w:rPr>
      </w:pPr>
    </w:p>
    <w:p>
      <w:pPr>
        <w:ind w:right="520"/>
        <w:spacing w:after="0" w:line="247" w:lineRule="auto"/>
        <w:rPr>
          <w:sz w:val="20"/>
          <w:szCs w:val="20"/>
          <w:color w:val="auto"/>
        </w:rPr>
      </w:pPr>
      <w:r>
        <w:rPr>
          <w:rFonts w:ascii="Calibri" w:cs="Calibri" w:eastAsia="Calibri" w:hAnsi="Calibri"/>
          <w:sz w:val="20"/>
          <w:szCs w:val="20"/>
          <w:color w:val="auto"/>
        </w:rPr>
        <w:t>The Board (or the Management Board if delegated by the Board) may set other ad hoc Trading Windows from tme to tme, where considered necessary or appropriate, including (without limitaton) following the public announcement of Insider Informaton in accordance with ad hoc publicity requirements.</w:t>
      </w:r>
    </w:p>
    <w:p>
      <w:pPr>
        <w:spacing w:after="0" w:line="133" w:lineRule="exact"/>
        <w:rPr>
          <w:sz w:val="20"/>
          <w:szCs w:val="20"/>
          <w:color w:val="auto"/>
        </w:rPr>
      </w:pPr>
    </w:p>
    <w:p>
      <w:pPr>
        <w:ind w:right="120"/>
        <w:spacing w:after="0" w:line="246" w:lineRule="auto"/>
        <w:rPr>
          <w:sz w:val="20"/>
          <w:szCs w:val="20"/>
          <w:color w:val="auto"/>
        </w:rPr>
      </w:pPr>
      <w:r>
        <w:rPr>
          <w:rFonts w:ascii="Calibri" w:cs="Calibri" w:eastAsia="Calibri" w:hAnsi="Calibri"/>
          <w:sz w:val="20"/>
          <w:szCs w:val="20"/>
          <w:color w:val="auto"/>
        </w:rPr>
        <w:t>The General Counsel (or a member of the Management Board) shall announce each Trading Window to all Covered Persons in advance and in writng (by e-mail or in any other writen form).</w:t>
      </w:r>
    </w:p>
    <w:p>
      <w:pPr>
        <w:spacing w:after="0" w:line="145" w:lineRule="exact"/>
        <w:rPr>
          <w:sz w:val="20"/>
          <w:szCs w:val="20"/>
          <w:color w:val="auto"/>
        </w:rPr>
      </w:pPr>
    </w:p>
    <w:p>
      <w:pPr>
        <w:ind w:right="420"/>
        <w:spacing w:after="0" w:line="247" w:lineRule="auto"/>
        <w:rPr>
          <w:sz w:val="20"/>
          <w:szCs w:val="20"/>
          <w:color w:val="auto"/>
        </w:rPr>
      </w:pPr>
      <w:r>
        <w:rPr>
          <w:rFonts w:ascii="Calibri" w:cs="Calibri" w:eastAsia="Calibri" w:hAnsi="Calibri"/>
          <w:sz w:val="20"/>
          <w:szCs w:val="20"/>
          <w:color w:val="auto"/>
        </w:rPr>
        <w:t xml:space="preserve">A Trading Window does </w:t>
      </w:r>
      <w:r>
        <w:rPr>
          <w:rFonts w:ascii="Calibri" w:cs="Calibri" w:eastAsia="Calibri" w:hAnsi="Calibri"/>
          <w:sz w:val="20"/>
          <w:szCs w:val="20"/>
          <w:u w:val="single" w:color="auto"/>
          <w:color w:val="auto"/>
        </w:rPr>
        <w:t>not</w:t>
      </w:r>
      <w:r>
        <w:rPr>
          <w:rFonts w:ascii="Calibri" w:cs="Calibri" w:eastAsia="Calibri" w:hAnsi="Calibri"/>
          <w:sz w:val="20"/>
          <w:szCs w:val="20"/>
          <w:color w:val="auto"/>
        </w:rPr>
        <w:t xml:space="preserve"> automatcally open afer the public release of fnancial data, but only when set by the Board (or the Management Board if delegated by the Board) and expressly announced by the General Counsel (or a member of the Management Board) to the Covered Persons.</w:t>
      </w:r>
    </w:p>
    <w:p>
      <w:pPr>
        <w:spacing w:after="0" w:line="145" w:lineRule="exact"/>
        <w:rPr>
          <w:sz w:val="20"/>
          <w:szCs w:val="20"/>
          <w:color w:val="auto"/>
        </w:rPr>
      </w:pPr>
    </w:p>
    <w:p>
      <w:pPr>
        <w:ind w:right="40"/>
        <w:spacing w:after="0" w:line="248" w:lineRule="auto"/>
        <w:rPr>
          <w:sz w:val="20"/>
          <w:szCs w:val="20"/>
          <w:color w:val="auto"/>
        </w:rPr>
      </w:pPr>
      <w:r>
        <w:rPr>
          <w:rFonts w:ascii="Calibri" w:cs="Calibri" w:eastAsia="Calibri" w:hAnsi="Calibri"/>
          <w:sz w:val="20"/>
          <w:szCs w:val="20"/>
          <w:color w:val="auto"/>
        </w:rPr>
        <w:t>The Board (or the Management Board if delegated by the Board) may, in its sole discreton, decide not to set a Trading Window, where the Board considers it necessary or appropriate, including (without limitaton) where Insider Informaton exists or where restrictons are required or appropriate to comply with regulatory or other requirements or to protect the Company's or its personnel's reputaton. As a rule, Trading Windows shall, irrespectve of whether or not Insider Informaton is available, not be set during Quiet Periods as defned in the Company's Public Disclosure, Reportng and Securites Trading Policy.</w:t>
      </w:r>
    </w:p>
    <w:p>
      <w:pPr>
        <w:spacing w:after="0" w:line="132" w:lineRule="exact"/>
        <w:rPr>
          <w:sz w:val="20"/>
          <w:szCs w:val="20"/>
          <w:color w:val="auto"/>
        </w:rPr>
      </w:pPr>
    </w:p>
    <w:p>
      <w:pPr>
        <w:spacing w:after="0" w:line="248" w:lineRule="auto"/>
        <w:rPr>
          <w:sz w:val="20"/>
          <w:szCs w:val="20"/>
          <w:color w:val="auto"/>
        </w:rPr>
      </w:pPr>
      <w:r>
        <w:rPr>
          <w:rFonts w:ascii="Calibri" w:cs="Calibri" w:eastAsia="Calibri" w:hAnsi="Calibri"/>
          <w:sz w:val="20"/>
          <w:szCs w:val="20"/>
          <w:color w:val="auto"/>
        </w:rPr>
        <w:t>Whenever the Board decides not to set a Trading Window following the public release of fnancial data based on the existence of Insider Informaton, the next Trading Window may not start (a) earlier than the second trading day afer such Insider Informaton has been made public by the Company in its entrety or deemed by the Chairperson to no longer qualify as Insider Informaton, and (b) untl the CFO (or a member of the Management Board designated by him) announces a Trading Window.</w:t>
      </w:r>
    </w:p>
    <w:p>
      <w:pPr>
        <w:spacing w:after="0" w:line="143" w:lineRule="exact"/>
        <w:rPr>
          <w:sz w:val="20"/>
          <w:szCs w:val="20"/>
          <w:color w:val="auto"/>
        </w:rPr>
      </w:pPr>
    </w:p>
    <w:p>
      <w:pPr>
        <w:ind w:right="80"/>
        <w:spacing w:after="0" w:line="248" w:lineRule="auto"/>
        <w:rPr>
          <w:sz w:val="20"/>
          <w:szCs w:val="20"/>
          <w:color w:val="auto"/>
        </w:rPr>
      </w:pPr>
      <w:r>
        <w:rPr>
          <w:rFonts w:ascii="Calibri" w:cs="Calibri" w:eastAsia="Calibri" w:hAnsi="Calibri"/>
          <w:sz w:val="20"/>
          <w:szCs w:val="20"/>
          <w:color w:val="auto"/>
        </w:rPr>
        <w:t>The Board (or the Management Board if delegated by the Board) may make rare exceptons to the prohibitons under this Secton 5.3.2, if a Covered Person who is not privy to any Insider Informaton requests such an excepton and demonstrates to the Board an urgent need for the excepton based on important reasons, including (without limitaton) to avoid hardship for him- or herself or a close family member.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180"/>
          </w:cols>
          <w:pgMar w:left="320" w:top="1414" w:right="399" w:bottom="1440" w:gutter="0" w:footer="0" w:header="0"/>
        </w:sectPr>
      </w:pPr>
    </w:p>
    <w:bookmarkStart w:id="354" w:name="page355"/>
    <w:bookmarkEnd w:id="354"/>
    <w:p>
      <w:pPr>
        <w:spacing w:after="0" w:line="152"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5.4</w:t>
      </w:r>
      <w:r>
        <w:rPr>
          <w:sz w:val="20"/>
          <w:szCs w:val="20"/>
          <w:color w:val="auto"/>
        </w:rPr>
        <w:tab/>
      </w:r>
      <w:r>
        <w:rPr>
          <w:rFonts w:ascii="Calibri" w:cs="Calibri" w:eastAsia="Calibri" w:hAnsi="Calibri"/>
          <w:sz w:val="20"/>
          <w:szCs w:val="20"/>
          <w:b w:val="1"/>
          <w:bCs w:val="1"/>
          <w:color w:val="auto"/>
        </w:rPr>
        <w:t>Specifc Restrictons for Members of the Board of Directors and the Management Board and the Board Secretary</w:t>
      </w:r>
    </w:p>
    <w:p>
      <w:pPr>
        <w:spacing w:after="0" w:line="37" w:lineRule="exact"/>
        <w:rPr>
          <w:sz w:val="20"/>
          <w:szCs w:val="20"/>
          <w:color w:val="auto"/>
        </w:rPr>
      </w:pPr>
    </w:p>
    <w:p>
      <w:pPr>
        <w:ind w:right="240"/>
        <w:spacing w:after="0" w:line="248" w:lineRule="auto"/>
        <w:rPr>
          <w:sz w:val="20"/>
          <w:szCs w:val="20"/>
          <w:color w:val="auto"/>
        </w:rPr>
      </w:pPr>
      <w:r>
        <w:rPr>
          <w:rFonts w:ascii="Calibri" w:cs="Calibri" w:eastAsia="Calibri" w:hAnsi="Calibri"/>
          <w:sz w:val="20"/>
          <w:szCs w:val="20"/>
          <w:color w:val="auto"/>
        </w:rPr>
        <w:t>Under this POL, the members of the Board, the members of the Management Board, and the Secretary of the Board (as defned in the Organizatonal Rules of the Company as amended from tme to tme) are subject to specifc restrictons on trading in the Relevant Securites due to their access to confdental informaton on a regular basis. These restrictons apply in additon to those set forth in Secton 5.3 above and also apply during the Trading Windows described in Secton 5.3.2.</w:t>
      </w:r>
    </w:p>
    <w:p>
      <w:pPr>
        <w:spacing w:after="0" w:line="131" w:lineRule="exact"/>
        <w:rPr>
          <w:sz w:val="20"/>
          <w:szCs w:val="20"/>
          <w:color w:val="auto"/>
        </w:rPr>
      </w:pPr>
    </w:p>
    <w:p>
      <w:pPr>
        <w:ind w:right="800"/>
        <w:spacing w:after="0" w:line="246" w:lineRule="auto"/>
        <w:rPr>
          <w:sz w:val="20"/>
          <w:szCs w:val="20"/>
          <w:color w:val="auto"/>
        </w:rPr>
      </w:pPr>
      <w:r>
        <w:rPr>
          <w:rFonts w:ascii="Calibri" w:cs="Calibri" w:eastAsia="Calibri" w:hAnsi="Calibri"/>
          <w:sz w:val="20"/>
          <w:szCs w:val="20"/>
          <w:color w:val="auto"/>
        </w:rPr>
        <w:t>A member of the Board or the Management Board, or the Secretary, must not deal in any Relevant Securites without obtaining clearance to deal in advance in accordance with this Secton 5.4:</w:t>
      </w:r>
    </w:p>
    <w:p>
      <w:pPr>
        <w:spacing w:after="0" w:line="145" w:lineRule="exact"/>
        <w:rPr>
          <w:sz w:val="20"/>
          <w:szCs w:val="20"/>
          <w:color w:val="auto"/>
        </w:rPr>
      </w:pPr>
    </w:p>
    <w:p>
      <w:pPr>
        <w:jc w:val="both"/>
        <w:ind w:left="480" w:hanging="239"/>
        <w:spacing w:after="0" w:line="269" w:lineRule="auto"/>
        <w:tabs>
          <w:tab w:leader="none" w:pos="480" w:val="left"/>
        </w:tabs>
        <w:numPr>
          <w:ilvl w:val="0"/>
          <w:numId w:val="308"/>
        </w:numPr>
        <w:rPr>
          <w:rFonts w:ascii="Arial" w:cs="Arial" w:eastAsia="Arial" w:hAnsi="Arial"/>
          <w:sz w:val="17"/>
          <w:szCs w:val="17"/>
          <w:color w:val="auto"/>
        </w:rPr>
      </w:pPr>
      <w:r>
        <w:rPr>
          <w:rFonts w:ascii="Calibri" w:cs="Calibri" w:eastAsia="Calibri" w:hAnsi="Calibri"/>
          <w:sz w:val="20"/>
          <w:szCs w:val="20"/>
          <w:color w:val="auto"/>
        </w:rPr>
        <w:t>A member of the Board (other than the Chairperson of the Board (</w:t>
      </w:r>
      <w:r>
        <w:rPr>
          <w:rFonts w:ascii="Calibri" w:cs="Calibri" w:eastAsia="Calibri" w:hAnsi="Calibri"/>
          <w:sz w:val="20"/>
          <w:szCs w:val="20"/>
          <w:b w:val="1"/>
          <w:bCs w:val="1"/>
          <w:color w:val="auto"/>
        </w:rPr>
        <w:t>Chairperson</w:t>
      </w:r>
      <w:r>
        <w:rPr>
          <w:rFonts w:ascii="Calibri" w:cs="Calibri" w:eastAsia="Calibri" w:hAnsi="Calibri"/>
          <w:sz w:val="20"/>
          <w:szCs w:val="20"/>
          <w:color w:val="auto"/>
        </w:rPr>
        <w:t>)), a member of the Management Board, or the Secretary must not deal in any Relevant Securites without frst notfying the Chairperson (or a Board member designated by the Board for this purpose) and receiving clearance to deal from him/her. The Chairperson may consult with members of the Management Board prior to giving clearance.</w:t>
      </w:r>
    </w:p>
    <w:p>
      <w:pPr>
        <w:spacing w:after="0" w:line="235" w:lineRule="exact"/>
        <w:rPr>
          <w:rFonts w:ascii="Arial" w:cs="Arial" w:eastAsia="Arial" w:hAnsi="Arial"/>
          <w:sz w:val="17"/>
          <w:szCs w:val="17"/>
          <w:color w:val="auto"/>
        </w:rPr>
      </w:pPr>
    </w:p>
    <w:p>
      <w:pPr>
        <w:jc w:val="both"/>
        <w:ind w:left="480" w:hanging="239"/>
        <w:spacing w:after="0" w:line="269" w:lineRule="auto"/>
        <w:tabs>
          <w:tab w:leader="none" w:pos="480" w:val="left"/>
        </w:tabs>
        <w:numPr>
          <w:ilvl w:val="0"/>
          <w:numId w:val="308"/>
        </w:numPr>
        <w:rPr>
          <w:rFonts w:ascii="Arial" w:cs="Arial" w:eastAsia="Arial" w:hAnsi="Arial"/>
          <w:sz w:val="17"/>
          <w:szCs w:val="17"/>
          <w:color w:val="auto"/>
        </w:rPr>
      </w:pPr>
      <w:r>
        <w:rPr>
          <w:rFonts w:ascii="Calibri" w:cs="Calibri" w:eastAsia="Calibri" w:hAnsi="Calibri"/>
          <w:sz w:val="20"/>
          <w:szCs w:val="20"/>
          <w:color w:val="auto"/>
        </w:rPr>
        <w:t>The Chairperson must not deal in any Relevant Securites without frst notfying the chairperson of the audit commitee of the Board (</w:t>
      </w:r>
      <w:r>
        <w:rPr>
          <w:rFonts w:ascii="Calibri" w:cs="Calibri" w:eastAsia="Calibri" w:hAnsi="Calibri"/>
          <w:sz w:val="20"/>
          <w:szCs w:val="20"/>
          <w:b w:val="1"/>
          <w:bCs w:val="1"/>
          <w:color w:val="auto"/>
        </w:rPr>
        <w:t>Audit Commitee Chair</w:t>
      </w:r>
      <w:r>
        <w:rPr>
          <w:rFonts w:ascii="Calibri" w:cs="Calibri" w:eastAsia="Calibri" w:hAnsi="Calibri"/>
          <w:sz w:val="20"/>
          <w:szCs w:val="20"/>
          <w:color w:val="auto"/>
        </w:rPr>
        <w:t>) and receiving clearance to deal from him/her, or, if the Audit Commitee Chair is not available, without frst notfying the CEO and receiving clearance to deal from him/her. The Audit Commitee Chair may consult with members of the Management Board prior to giving clearance.</w:t>
      </w:r>
    </w:p>
    <w:p>
      <w:pPr>
        <w:spacing w:after="0" w:line="235" w:lineRule="exact"/>
        <w:rPr>
          <w:sz w:val="20"/>
          <w:szCs w:val="20"/>
          <w:color w:val="auto"/>
        </w:rPr>
      </w:pPr>
    </w:p>
    <w:p>
      <w:pPr>
        <w:jc w:val="both"/>
        <w:ind w:right="400"/>
        <w:spacing w:after="0" w:line="247" w:lineRule="auto"/>
        <w:rPr>
          <w:sz w:val="20"/>
          <w:szCs w:val="20"/>
          <w:color w:val="auto"/>
        </w:rPr>
      </w:pPr>
      <w:r>
        <w:rPr>
          <w:rFonts w:ascii="Calibri" w:cs="Calibri" w:eastAsia="Calibri" w:hAnsi="Calibri"/>
          <w:sz w:val="20"/>
          <w:szCs w:val="20"/>
          <w:color w:val="auto"/>
        </w:rPr>
        <w:t>The executon of a Pre-Trading Plan by a member of the Board, a member of the Management Board, or the Secretary must receive advance clearance in accordance with this Secton 5.4. Subsequently, transactons under the Pre-Trading Plan do not require specifc clearance.</w:t>
      </w:r>
    </w:p>
    <w:p>
      <w:pPr>
        <w:spacing w:after="0" w:line="145" w:lineRule="exact"/>
        <w:rPr>
          <w:sz w:val="20"/>
          <w:szCs w:val="20"/>
          <w:color w:val="auto"/>
        </w:rPr>
      </w:pPr>
    </w:p>
    <w:p>
      <w:pPr>
        <w:ind w:right="300"/>
        <w:spacing w:after="0" w:line="246" w:lineRule="auto"/>
        <w:rPr>
          <w:sz w:val="20"/>
          <w:szCs w:val="20"/>
          <w:color w:val="auto"/>
        </w:rPr>
      </w:pPr>
      <w:r>
        <w:rPr>
          <w:rFonts w:ascii="Calibri" w:cs="Calibri" w:eastAsia="Calibri" w:hAnsi="Calibri"/>
          <w:sz w:val="20"/>
          <w:szCs w:val="20"/>
          <w:color w:val="auto"/>
        </w:rPr>
        <w:t>A response to a request for clearance to deal must be given to the relevant member of the Board or the Management Board or to the Secretary within three (3) business days of the request being made.</w:t>
      </w:r>
    </w:p>
    <w:p>
      <w:pPr>
        <w:spacing w:after="0" w:line="133" w:lineRule="exact"/>
        <w:rPr>
          <w:sz w:val="20"/>
          <w:szCs w:val="20"/>
          <w:color w:val="auto"/>
        </w:rPr>
      </w:pPr>
    </w:p>
    <w:p>
      <w:pPr>
        <w:ind w:right="20"/>
        <w:spacing w:after="0" w:line="247" w:lineRule="auto"/>
        <w:rPr>
          <w:sz w:val="20"/>
          <w:szCs w:val="20"/>
          <w:color w:val="auto"/>
        </w:rPr>
      </w:pPr>
      <w:r>
        <w:rPr>
          <w:rFonts w:ascii="Calibri" w:cs="Calibri" w:eastAsia="Calibri" w:hAnsi="Calibri"/>
          <w:sz w:val="20"/>
          <w:szCs w:val="20"/>
          <w:color w:val="auto"/>
        </w:rPr>
        <w:t>The Company must maintain a record of the response to any dealing request made by a member of the Board or the Management Board or by the Secretary and of any clearance given. A copy of the response and clearance (if any) must be given to the member of the Board or Management Board concerned or to the Secretary.</w:t>
      </w:r>
    </w:p>
    <w:p>
      <w:pPr>
        <w:spacing w:after="0" w:line="145" w:lineRule="exact"/>
        <w:rPr>
          <w:sz w:val="20"/>
          <w:szCs w:val="20"/>
          <w:color w:val="auto"/>
        </w:rPr>
      </w:pPr>
    </w:p>
    <w:p>
      <w:pPr>
        <w:ind w:right="380"/>
        <w:spacing w:after="0" w:line="246" w:lineRule="auto"/>
        <w:rPr>
          <w:sz w:val="20"/>
          <w:szCs w:val="20"/>
          <w:color w:val="auto"/>
        </w:rPr>
      </w:pPr>
      <w:r>
        <w:rPr>
          <w:rFonts w:ascii="Calibri" w:cs="Calibri" w:eastAsia="Calibri" w:hAnsi="Calibri"/>
          <w:sz w:val="20"/>
          <w:szCs w:val="20"/>
          <w:color w:val="auto"/>
        </w:rPr>
        <w:t>A member of the Board or Management Board or the Secretary, who is given clearance to deal in accordance with this Secton, must deal as soon as possible and within a Trading Window described in Secton 5.3.2.</w:t>
      </w:r>
    </w:p>
    <w:p>
      <w:pPr>
        <w:spacing w:after="0" w:line="145" w:lineRule="exact"/>
        <w:rPr>
          <w:sz w:val="20"/>
          <w:szCs w:val="20"/>
          <w:color w:val="auto"/>
        </w:rPr>
      </w:pPr>
    </w:p>
    <w:p>
      <w:pPr>
        <w:ind w:right="320"/>
        <w:spacing w:after="0" w:line="246" w:lineRule="auto"/>
        <w:rPr>
          <w:sz w:val="20"/>
          <w:szCs w:val="20"/>
          <w:color w:val="auto"/>
        </w:rPr>
      </w:pPr>
      <w:r>
        <w:rPr>
          <w:rFonts w:ascii="Calibri" w:cs="Calibri" w:eastAsia="Calibri" w:hAnsi="Calibri"/>
          <w:sz w:val="20"/>
          <w:szCs w:val="20"/>
          <w:color w:val="auto"/>
        </w:rPr>
        <w:t>Clearance does not release a member of the Board or Management Board or the Secretary from the restrictons applying pursuant to Secton 5.3.1 above if they are privy to Insider Informaton.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52"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5.5</w:t>
      </w:r>
      <w:r>
        <w:rPr>
          <w:sz w:val="20"/>
          <w:szCs w:val="20"/>
          <w:color w:val="auto"/>
        </w:rPr>
        <w:tab/>
      </w:r>
      <w:r>
        <w:rPr>
          <w:rFonts w:ascii="Calibri" w:cs="Calibri" w:eastAsia="Calibri" w:hAnsi="Calibri"/>
          <w:sz w:val="20"/>
          <w:szCs w:val="20"/>
          <w:b w:val="1"/>
          <w:bCs w:val="1"/>
          <w:color w:val="auto"/>
        </w:rPr>
        <w:t>Rules with respect to Market Manipulaton</w:t>
      </w:r>
    </w:p>
    <w:p>
      <w:pPr>
        <w:spacing w:after="0" w:line="37" w:lineRule="exact"/>
        <w:rPr>
          <w:sz w:val="20"/>
          <w:szCs w:val="20"/>
          <w:color w:val="auto"/>
        </w:rPr>
      </w:pPr>
    </w:p>
    <w:p>
      <w:pPr>
        <w:ind w:right="480"/>
        <w:spacing w:after="0" w:line="247" w:lineRule="auto"/>
        <w:rPr>
          <w:sz w:val="20"/>
          <w:szCs w:val="20"/>
          <w:color w:val="auto"/>
        </w:rPr>
      </w:pPr>
      <w:r>
        <w:rPr>
          <w:rFonts w:ascii="Calibri" w:cs="Calibri" w:eastAsia="Calibri" w:hAnsi="Calibri"/>
          <w:sz w:val="20"/>
          <w:szCs w:val="20"/>
          <w:color w:val="auto"/>
        </w:rPr>
        <w:t>A Covered Person may not carry out transactons or purchase or sales orders which he or she knows or must know gives false or misleading signals regarding the supply of, demand for or market price of Relevant Securites. Such a signal is deemed to exist if it is capable of infuencing the market behavior of a reasonable market partcipant.</w:t>
      </w:r>
    </w:p>
    <w:p>
      <w:pPr>
        <w:spacing w:after="0" w:line="133" w:lineRule="exact"/>
        <w:rPr>
          <w:sz w:val="20"/>
          <w:szCs w:val="20"/>
          <w:color w:val="auto"/>
        </w:rPr>
      </w:pPr>
    </w:p>
    <w:p>
      <w:pPr>
        <w:ind w:right="580"/>
        <w:spacing w:after="0" w:line="246" w:lineRule="auto"/>
        <w:rPr>
          <w:sz w:val="20"/>
          <w:szCs w:val="20"/>
          <w:color w:val="auto"/>
        </w:rPr>
      </w:pPr>
      <w:r>
        <w:rPr>
          <w:rFonts w:ascii="Calibri" w:cs="Calibri" w:eastAsia="Calibri" w:hAnsi="Calibri"/>
          <w:sz w:val="20"/>
          <w:szCs w:val="20"/>
          <w:color w:val="auto"/>
        </w:rPr>
        <w:t>The principles set forth in Artcles 143 and 155 of the Swiss Federal Act on Financial Market Infrastructures and Market Conduct in Securites and Derivatves Trading and notes 16 through 40 of the FINMA-Circular 13/8 “Market conduct rules” apply.</w:t>
      </w:r>
    </w:p>
    <w:p>
      <w:pPr>
        <w:spacing w:after="0" w:line="181" w:lineRule="exact"/>
        <w:rPr>
          <w:sz w:val="20"/>
          <w:szCs w:val="20"/>
          <w:color w:val="auto"/>
        </w:rPr>
      </w:pPr>
    </w:p>
    <w:p>
      <w:pPr>
        <w:spacing w:after="0"/>
        <w:tabs>
          <w:tab w:leader="none" w:pos="580" w:val="left"/>
        </w:tabs>
        <w:rPr>
          <w:sz w:val="20"/>
          <w:szCs w:val="20"/>
          <w:color w:val="auto"/>
        </w:rPr>
      </w:pPr>
      <w:r>
        <w:rPr>
          <w:rFonts w:ascii="Calibri" w:cs="Calibri" w:eastAsia="Calibri" w:hAnsi="Calibri"/>
          <w:sz w:val="20"/>
          <w:szCs w:val="20"/>
          <w:b w:val="1"/>
          <w:bCs w:val="1"/>
          <w:color w:val="auto"/>
        </w:rPr>
        <w:t>5.6</w:t>
      </w:r>
      <w:r>
        <w:rPr>
          <w:sz w:val="20"/>
          <w:szCs w:val="20"/>
          <w:color w:val="auto"/>
        </w:rPr>
        <w:tab/>
      </w:r>
      <w:r>
        <w:rPr>
          <w:rFonts w:ascii="Calibri" w:cs="Calibri" w:eastAsia="Calibri" w:hAnsi="Calibri"/>
          <w:sz w:val="20"/>
          <w:szCs w:val="20"/>
          <w:b w:val="1"/>
          <w:bCs w:val="1"/>
          <w:color w:val="auto"/>
        </w:rPr>
        <w:t>Sanctons in Case of Violaton</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Compliance with this POL is of utmost importance to any Covered Person and the Company.</w:t>
      </w:r>
    </w:p>
    <w:p>
      <w:pPr>
        <w:spacing w:after="0" w:line="151" w:lineRule="exact"/>
        <w:rPr>
          <w:sz w:val="20"/>
          <w:szCs w:val="20"/>
          <w:color w:val="auto"/>
        </w:rPr>
      </w:pPr>
    </w:p>
    <w:p>
      <w:pPr>
        <w:spacing w:after="0" w:line="248" w:lineRule="auto"/>
        <w:rPr>
          <w:sz w:val="20"/>
          <w:szCs w:val="20"/>
          <w:color w:val="auto"/>
        </w:rPr>
      </w:pPr>
      <w:r>
        <w:rPr>
          <w:rFonts w:ascii="Calibri" w:cs="Calibri" w:eastAsia="Calibri" w:hAnsi="Calibri"/>
          <w:sz w:val="20"/>
          <w:szCs w:val="20"/>
          <w:color w:val="auto"/>
        </w:rPr>
        <w:t>Any violaton of the rules set forth in this POL will be regarded as a serious disciplinary ofense, which enttles the Company to impose sanctons pursuant to the law and/or the relevant (employment) contract on the Covered Person concerned, including terminaton of the (employment) contract for cause. In additon, violaton of these rules, in partcular those on insider trading, may be subject to civil liability or criminal sanctons (fnes and/or imprisonment) under Swiss or U.S. law or applicable other legislaton.</w:t>
      </w:r>
    </w:p>
    <w:p>
      <w:pPr>
        <w:spacing w:after="0" w:line="143" w:lineRule="exact"/>
        <w:rPr>
          <w:sz w:val="20"/>
          <w:szCs w:val="20"/>
          <w:color w:val="auto"/>
        </w:rPr>
      </w:pPr>
    </w:p>
    <w:p>
      <w:pPr>
        <w:ind w:right="520"/>
        <w:spacing w:after="0" w:line="246" w:lineRule="auto"/>
        <w:rPr>
          <w:sz w:val="20"/>
          <w:szCs w:val="20"/>
          <w:color w:val="auto"/>
        </w:rPr>
      </w:pPr>
      <w:r>
        <w:rPr>
          <w:rFonts w:ascii="Calibri" w:cs="Calibri" w:eastAsia="Calibri" w:hAnsi="Calibri"/>
          <w:sz w:val="20"/>
          <w:szCs w:val="20"/>
          <w:color w:val="auto"/>
        </w:rPr>
        <w:t>It is each Covered Person's responsibility to ensure compliance with the rules set forth herein. In case of doubt, the CFO or General Counsel shall be consulted.</w:t>
      </w:r>
    </w:p>
    <w:p>
      <w:pPr>
        <w:spacing w:after="0" w:line="181" w:lineRule="exact"/>
        <w:rPr>
          <w:sz w:val="20"/>
          <w:szCs w:val="20"/>
          <w:color w:val="auto"/>
        </w:rPr>
      </w:pPr>
    </w:p>
    <w:p>
      <w:pPr>
        <w:ind w:left="600" w:hanging="599"/>
        <w:spacing w:after="0"/>
        <w:tabs>
          <w:tab w:leader="none" w:pos="600" w:val="left"/>
        </w:tabs>
        <w:numPr>
          <w:ilvl w:val="0"/>
          <w:numId w:val="30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DOCUMENTATION</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The present Policy and underlying appendices are archived according to SOP MP-DOC-00211.</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Pr>
          <w:p>
            <w:pPr>
              <w:jc w:val="right"/>
              <w:ind w:right="159"/>
              <w:spacing w:after="0"/>
              <w:rPr>
                <w:sz w:val="20"/>
                <w:szCs w:val="20"/>
                <w:color w:val="auto"/>
              </w:rPr>
            </w:pPr>
            <w:r>
              <w:rPr>
                <w:rFonts w:ascii="Calibri" w:cs="Calibri" w:eastAsia="Calibri" w:hAnsi="Calibri"/>
                <w:sz w:val="20"/>
                <w:szCs w:val="20"/>
                <w:b w:val="1"/>
                <w:bCs w:val="1"/>
                <w:color w:val="auto"/>
                <w:w w:val="78"/>
              </w:rPr>
              <w:t>7</w:t>
            </w:r>
          </w:p>
        </w:tc>
        <w:tc>
          <w:tcPr>
            <w:tcW w:w="2480" w:type="dxa"/>
            <w:vAlign w:val="bottom"/>
          </w:tcPr>
          <w:p>
            <w:pPr>
              <w:ind w:left="240"/>
              <w:spacing w:after="0"/>
              <w:rPr>
                <w:sz w:val="20"/>
                <w:szCs w:val="20"/>
                <w:color w:val="auto"/>
              </w:rPr>
            </w:pPr>
            <w:r>
              <w:rPr>
                <w:rFonts w:ascii="Calibri" w:cs="Calibri" w:eastAsia="Calibri" w:hAnsi="Calibri"/>
                <w:sz w:val="20"/>
                <w:szCs w:val="20"/>
                <w:b w:val="1"/>
                <w:bCs w:val="1"/>
                <w:color w:val="auto"/>
              </w:rPr>
              <w:t>APPENDICES</w:t>
            </w:r>
          </w:p>
        </w:tc>
        <w:tc>
          <w:tcPr>
            <w:tcW w:w="8320" w:type="dxa"/>
            <w:vAlign w:val="bottom"/>
          </w:tcPr>
          <w:p>
            <w:pPr>
              <w:spacing w:after="0"/>
              <w:rPr>
                <w:sz w:val="21"/>
                <w:szCs w:val="21"/>
                <w:color w:val="auto"/>
              </w:rPr>
            </w:pPr>
          </w:p>
        </w:tc>
      </w:tr>
      <w:tr>
        <w:trPr>
          <w:trHeight w:val="77"/>
        </w:trPr>
        <w:tc>
          <w:tcPr>
            <w:tcW w:w="2840" w:type="dxa"/>
            <w:vAlign w:val="bottom"/>
            <w:tcBorders>
              <w:bottom w:val="single" w:sz="8" w:color="auto"/>
            </w:tcBorders>
            <w:gridSpan w:val="2"/>
          </w:tcPr>
          <w:p>
            <w:pPr>
              <w:spacing w:after="0"/>
              <w:rPr>
                <w:sz w:val="6"/>
                <w:szCs w:val="6"/>
                <w:color w:val="auto"/>
              </w:rPr>
            </w:pPr>
          </w:p>
        </w:tc>
        <w:tc>
          <w:tcPr>
            <w:tcW w:w="8320" w:type="dxa"/>
            <w:vAlign w:val="bottom"/>
            <w:tcBorders>
              <w:bottom w:val="single" w:sz="8" w:color="auto"/>
            </w:tcBorders>
          </w:tcPr>
          <w:p>
            <w:pPr>
              <w:spacing w:after="0"/>
              <w:rPr>
                <w:sz w:val="6"/>
                <w:szCs w:val="6"/>
                <w:color w:val="auto"/>
              </w:rPr>
            </w:pPr>
          </w:p>
        </w:tc>
      </w:tr>
      <w:tr>
        <w:trPr>
          <w:trHeight w:val="245"/>
        </w:trPr>
        <w:tc>
          <w:tcPr>
            <w:tcW w:w="2840" w:type="dxa"/>
            <w:vAlign w:val="bottom"/>
            <w:tcBorders>
              <w:left w:val="single" w:sz="8" w:color="auto"/>
              <w:right w:val="single" w:sz="8" w:color="auto"/>
            </w:tcBorders>
            <w:gridSpan w:val="2"/>
          </w:tcPr>
          <w:p>
            <w:pPr>
              <w:ind w:left="80"/>
              <w:spacing w:after="0"/>
              <w:rPr>
                <w:sz w:val="20"/>
                <w:szCs w:val="20"/>
                <w:color w:val="auto"/>
              </w:rPr>
            </w:pPr>
            <w:r>
              <w:rPr>
                <w:rFonts w:ascii="Calibri" w:cs="Calibri" w:eastAsia="Calibri" w:hAnsi="Calibri"/>
                <w:sz w:val="20"/>
                <w:szCs w:val="20"/>
                <w:b w:val="1"/>
                <w:bCs w:val="1"/>
                <w:color w:val="auto"/>
              </w:rPr>
              <w:t>Document Number</w:t>
            </w:r>
          </w:p>
        </w:tc>
        <w:tc>
          <w:tcPr>
            <w:tcW w:w="8320" w:type="dxa"/>
            <w:vAlign w:val="bottom"/>
            <w:tcBorders>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Document Name</w:t>
            </w:r>
          </w:p>
        </w:tc>
      </w:tr>
      <w:tr>
        <w:trPr>
          <w:trHeight w:val="51"/>
        </w:trPr>
        <w:tc>
          <w:tcPr>
            <w:tcW w:w="2840" w:type="dxa"/>
            <w:vAlign w:val="bottom"/>
            <w:tcBorders>
              <w:left w:val="single" w:sz="8" w:color="auto"/>
              <w:bottom w:val="single" w:sz="8" w:color="auto"/>
              <w:right w:val="single" w:sz="8" w:color="auto"/>
            </w:tcBorders>
            <w:gridSpan w:val="2"/>
          </w:tcPr>
          <w:p>
            <w:pPr>
              <w:spacing w:after="0"/>
              <w:rPr>
                <w:sz w:val="4"/>
                <w:szCs w:val="4"/>
                <w:color w:val="auto"/>
              </w:rPr>
            </w:pPr>
          </w:p>
        </w:tc>
        <w:tc>
          <w:tcPr>
            <w:tcW w:w="8320" w:type="dxa"/>
            <w:vAlign w:val="bottom"/>
            <w:tcBorders>
              <w:bottom w:val="single" w:sz="8" w:color="auto"/>
              <w:right w:val="single" w:sz="8" w:color="auto"/>
            </w:tcBorders>
          </w:tcPr>
          <w:p>
            <w:pPr>
              <w:spacing w:after="0"/>
              <w:rPr>
                <w:sz w:val="4"/>
                <w:szCs w:val="4"/>
                <w:color w:val="auto"/>
              </w:rPr>
            </w:pPr>
          </w:p>
        </w:tc>
      </w:tr>
      <w:tr>
        <w:trPr>
          <w:trHeight w:val="245"/>
        </w:trPr>
        <w:tc>
          <w:tcPr>
            <w:tcW w:w="2840" w:type="dxa"/>
            <w:vAlign w:val="bottom"/>
            <w:tcBorders>
              <w:left w:val="single" w:sz="8" w:color="auto"/>
              <w:right w:val="single" w:sz="8" w:color="auto"/>
            </w:tcBorders>
            <w:gridSpan w:val="2"/>
          </w:tcPr>
          <w:p>
            <w:pPr>
              <w:ind w:left="80"/>
              <w:spacing w:after="0"/>
              <w:rPr>
                <w:sz w:val="20"/>
                <w:szCs w:val="20"/>
                <w:color w:val="auto"/>
              </w:rPr>
            </w:pPr>
            <w:r>
              <w:rPr>
                <w:rFonts w:ascii="Calibri" w:cs="Calibri" w:eastAsia="Calibri" w:hAnsi="Calibri"/>
                <w:sz w:val="20"/>
                <w:szCs w:val="20"/>
                <w:color w:val="auto"/>
              </w:rPr>
              <w:t>MP-DOC-00515</w:t>
            </w:r>
          </w:p>
        </w:tc>
        <w:tc>
          <w:tcPr>
            <w:tcW w:w="8320" w:type="dxa"/>
            <w:vAlign w:val="bottom"/>
            <w:tcBorders>
              <w:right w:val="single" w:sz="8" w:color="auto"/>
            </w:tcBorders>
          </w:tcPr>
          <w:p>
            <w:pPr>
              <w:ind w:left="60"/>
              <w:spacing w:after="0"/>
              <w:rPr>
                <w:sz w:val="20"/>
                <w:szCs w:val="20"/>
                <w:color w:val="auto"/>
              </w:rPr>
            </w:pPr>
            <w:r>
              <w:rPr>
                <w:rFonts w:ascii="Calibri" w:cs="Calibri" w:eastAsia="Calibri" w:hAnsi="Calibri"/>
                <w:sz w:val="20"/>
                <w:szCs w:val="20"/>
                <w:color w:val="auto"/>
              </w:rPr>
              <w:t>Examples of Price-Sensitve Informaton</w:t>
            </w:r>
          </w:p>
        </w:tc>
      </w:tr>
      <w:tr>
        <w:trPr>
          <w:trHeight w:val="51"/>
        </w:trPr>
        <w:tc>
          <w:tcPr>
            <w:tcW w:w="360" w:type="dxa"/>
            <w:vAlign w:val="bottom"/>
            <w:tcBorders>
              <w:left w:val="single" w:sz="8" w:color="auto"/>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right w:val="single" w:sz="8" w:color="auto"/>
            </w:tcBorders>
          </w:tcPr>
          <w:p>
            <w:pPr>
              <w:spacing w:after="0"/>
              <w:rPr>
                <w:sz w:val="4"/>
                <w:szCs w:val="4"/>
                <w:color w:val="auto"/>
              </w:rPr>
            </w:pPr>
          </w:p>
        </w:tc>
      </w:tr>
    </w:tbl>
    <w:p>
      <w:pPr>
        <w:spacing w:after="0" w:line="236" w:lineRule="exact"/>
        <w:rPr>
          <w:sz w:val="20"/>
          <w:szCs w:val="20"/>
          <w:color w:val="auto"/>
        </w:rPr>
      </w:pPr>
    </w:p>
    <w:p>
      <w:pPr>
        <w:ind w:left="600" w:hanging="599"/>
        <w:spacing w:after="0"/>
        <w:tabs>
          <w:tab w:leader="none" w:pos="600" w:val="left"/>
        </w:tabs>
        <w:numPr>
          <w:ilvl w:val="0"/>
          <w:numId w:val="3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7076440" cy="6997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076440" cy="699770"/>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Version</w:t>
      </w:r>
    </w:p>
    <w:p>
      <w:pPr>
        <w:ind w:left="1460"/>
        <w:spacing w:after="0" w:line="191" w:lineRule="auto"/>
        <w:rPr>
          <w:sz w:val="20"/>
          <w:szCs w:val="20"/>
          <w:color w:val="auto"/>
        </w:rPr>
      </w:pPr>
      <w:r>
        <w:rPr>
          <w:rFonts w:ascii="Calibri" w:cs="Calibri" w:eastAsia="Calibri" w:hAnsi="Calibri"/>
          <w:sz w:val="13"/>
          <w:szCs w:val="13"/>
          <w:b w:val="1"/>
          <w:bCs w:val="1"/>
          <w:color w:val="auto"/>
        </w:rPr>
        <w:t>Change descripton / justfcaton</w:t>
      </w:r>
    </w:p>
    <w:p>
      <w:pPr>
        <w:ind w:left="80"/>
        <w:spacing w:after="0" w:line="198" w:lineRule="auto"/>
        <w:rPr>
          <w:sz w:val="20"/>
          <w:szCs w:val="20"/>
          <w:color w:val="auto"/>
        </w:rPr>
      </w:pPr>
      <w:r>
        <w:rPr>
          <w:rFonts w:ascii="Calibri" w:cs="Calibri" w:eastAsia="Calibri" w:hAnsi="Calibri"/>
          <w:sz w:val="20"/>
          <w:szCs w:val="20"/>
          <w:b w:val="1"/>
          <w:bCs w:val="1"/>
          <w:color w:val="auto"/>
        </w:rPr>
        <w:t>Number</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820" w:type="dxa"/>
            <w:vAlign w:val="bottom"/>
          </w:tcPr>
          <w:p>
            <w:pPr>
              <w:jc w:val="right"/>
              <w:ind w:right="459"/>
              <w:spacing w:after="0"/>
              <w:rPr>
                <w:sz w:val="20"/>
                <w:szCs w:val="20"/>
                <w:color w:val="auto"/>
              </w:rPr>
            </w:pPr>
            <w:r>
              <w:rPr>
                <w:rFonts w:ascii="Calibri" w:cs="Calibri" w:eastAsia="Calibri" w:hAnsi="Calibri"/>
                <w:sz w:val="20"/>
                <w:szCs w:val="20"/>
                <w:color w:val="auto"/>
                <w:w w:val="94"/>
              </w:rPr>
              <w:t>1.0</w:t>
            </w:r>
          </w:p>
        </w:tc>
        <w:tc>
          <w:tcPr>
            <w:tcW w:w="1720" w:type="dxa"/>
            <w:vAlign w:val="bottom"/>
          </w:tcPr>
          <w:p>
            <w:pPr>
              <w:ind w:left="560"/>
              <w:spacing w:after="0"/>
              <w:rPr>
                <w:sz w:val="20"/>
                <w:szCs w:val="20"/>
                <w:color w:val="auto"/>
              </w:rPr>
            </w:pPr>
            <w:r>
              <w:rPr>
                <w:rFonts w:ascii="Calibri" w:cs="Calibri" w:eastAsia="Calibri" w:hAnsi="Calibri"/>
                <w:sz w:val="20"/>
                <w:szCs w:val="20"/>
                <w:color w:val="auto"/>
              </w:rPr>
              <w:t>Inital version.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3"/>
          <w:szCs w:val="13"/>
          <w:color w:val="auto"/>
        </w:rPr>
        <w:t>Template: MP-DOC-00035, version 2.0</w:t>
      </w:r>
    </w:p>
    <w:p>
      <w:pPr>
        <w:sectPr>
          <w:pgSz w:w="11900" w:h="16838" w:orient="portrait"/>
          <w:cols w:equalWidth="0" w:num="1">
            <w:col w:w="11240"/>
          </w:cols>
          <w:pgMar w:left="320" w:top="1440" w:right="339" w:bottom="1440" w:gutter="0" w:footer="0" w:header="0"/>
        </w:sectPr>
      </w:pPr>
    </w:p>
    <w:bookmarkStart w:id="356" w:name="page357"/>
    <w:bookmarkEnd w:id="356"/>
    <w:p>
      <w:pPr>
        <w:jc w:val="right"/>
        <w:spacing w:after="0"/>
        <w:rPr>
          <w:sz w:val="20"/>
          <w:szCs w:val="20"/>
          <w:color w:val="auto"/>
        </w:rPr>
      </w:pPr>
      <w:r>
        <w:rPr>
          <w:rFonts w:ascii="Calibri" w:cs="Calibri" w:eastAsia="Calibri" w:hAnsi="Calibri"/>
          <w:sz w:val="17"/>
          <w:szCs w:val="17"/>
          <w:b w:val="1"/>
          <w:bCs w:val="1"/>
          <w:color w:val="auto"/>
        </w:rPr>
        <w:t>Exhibit 12.1</w:t>
      </w:r>
    </w:p>
    <w:p>
      <w:pPr>
        <w:spacing w:after="0" w:line="8"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u w:val="single" w:color="auto"/>
          <w:color w:val="auto"/>
        </w:rPr>
        <w:t>CERTIFICATION</w:t>
      </w:r>
    </w:p>
    <w:p>
      <w:pPr>
        <w:spacing w:after="0" w:line="299" w:lineRule="exact"/>
        <w:rPr>
          <w:sz w:val="20"/>
          <w:szCs w:val="20"/>
          <w:color w:val="auto"/>
        </w:rPr>
      </w:pPr>
    </w:p>
    <w:p>
      <w:pPr>
        <w:spacing w:after="0"/>
        <w:rPr>
          <w:sz w:val="20"/>
          <w:szCs w:val="20"/>
          <w:color w:val="auto"/>
        </w:rPr>
      </w:pPr>
      <w:r>
        <w:rPr>
          <w:rFonts w:ascii="Calibri" w:cs="Calibri" w:eastAsia="Calibri" w:hAnsi="Calibri"/>
          <w:sz w:val="17"/>
          <w:szCs w:val="17"/>
          <w:color w:val="auto"/>
        </w:rPr>
        <w:t>I, Patrick Amstutz, certfy that:</w:t>
      </w:r>
    </w:p>
    <w:p>
      <w:pPr>
        <w:spacing w:after="0" w:line="236" w:lineRule="exact"/>
        <w:rPr>
          <w:sz w:val="20"/>
          <w:szCs w:val="20"/>
          <w:color w:val="auto"/>
        </w:rPr>
      </w:pPr>
    </w:p>
    <w:p>
      <w:pPr>
        <w:ind w:left="280" w:hanging="279"/>
        <w:spacing w:after="0"/>
        <w:tabs>
          <w:tab w:leader="none" w:pos="280" w:val="left"/>
        </w:tabs>
        <w:numPr>
          <w:ilvl w:val="0"/>
          <w:numId w:val="311"/>
        </w:numPr>
        <w:rPr>
          <w:rFonts w:ascii="Calibri" w:cs="Calibri" w:eastAsia="Calibri" w:hAnsi="Calibri"/>
          <w:sz w:val="17"/>
          <w:szCs w:val="17"/>
          <w:color w:val="auto"/>
        </w:rPr>
      </w:pPr>
      <w:r>
        <w:rPr>
          <w:rFonts w:ascii="Calibri" w:cs="Calibri" w:eastAsia="Calibri" w:hAnsi="Calibri"/>
          <w:sz w:val="17"/>
          <w:szCs w:val="17"/>
          <w:color w:val="auto"/>
        </w:rPr>
        <w:t>I have reviewed this annual report on Form 20-F of Molecular Partners AG (the "company");</w:t>
      </w:r>
    </w:p>
    <w:p>
      <w:pPr>
        <w:spacing w:after="0" w:line="12" w:lineRule="exact"/>
        <w:rPr>
          <w:rFonts w:ascii="Calibri" w:cs="Calibri" w:eastAsia="Calibri" w:hAnsi="Calibri"/>
          <w:sz w:val="17"/>
          <w:szCs w:val="17"/>
          <w:color w:val="auto"/>
        </w:rPr>
      </w:pPr>
    </w:p>
    <w:p>
      <w:pPr>
        <w:ind w:left="600" w:hanging="599"/>
        <w:spacing w:after="0" w:line="233" w:lineRule="auto"/>
        <w:tabs>
          <w:tab w:leader="none" w:pos="313" w:val="left"/>
        </w:tabs>
        <w:numPr>
          <w:ilvl w:val="0"/>
          <w:numId w:val="311"/>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Calibri" w:cs="Calibri" w:eastAsia="Calibri" w:hAnsi="Calibri"/>
          <w:sz w:val="16"/>
          <w:szCs w:val="16"/>
          <w:color w:val="auto"/>
        </w:rPr>
      </w:pPr>
    </w:p>
    <w:p>
      <w:pPr>
        <w:ind w:left="600" w:hanging="599"/>
        <w:spacing w:after="0" w:line="212" w:lineRule="auto"/>
        <w:tabs>
          <w:tab w:leader="none" w:pos="361" w:val="left"/>
        </w:tabs>
        <w:numPr>
          <w:ilvl w:val="0"/>
          <w:numId w:val="311"/>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company as of, and for, the periods presented in this report;</w:t>
      </w:r>
    </w:p>
    <w:p>
      <w:pPr>
        <w:spacing w:after="0" w:line="25" w:lineRule="exact"/>
        <w:rPr>
          <w:rFonts w:ascii="Calibri" w:cs="Calibri" w:eastAsia="Calibri" w:hAnsi="Calibri"/>
          <w:sz w:val="17"/>
          <w:szCs w:val="17"/>
          <w:color w:val="auto"/>
        </w:rPr>
      </w:pPr>
    </w:p>
    <w:p>
      <w:pPr>
        <w:ind w:left="280" w:hanging="279"/>
        <w:spacing w:after="0"/>
        <w:tabs>
          <w:tab w:leader="none" w:pos="280" w:val="left"/>
        </w:tabs>
        <w:numPr>
          <w:ilvl w:val="0"/>
          <w:numId w:val="311"/>
        </w:numPr>
        <w:rPr>
          <w:rFonts w:ascii="Calibri" w:cs="Calibri" w:eastAsia="Calibri" w:hAnsi="Calibri"/>
          <w:sz w:val="16"/>
          <w:szCs w:val="16"/>
          <w:color w:val="auto"/>
        </w:rPr>
      </w:pPr>
      <w:r>
        <w:rPr>
          <w:rFonts w:ascii="Calibri" w:cs="Calibri" w:eastAsia="Calibri" w:hAnsi="Calibri"/>
          <w:sz w:val="16"/>
          <w:szCs w:val="16"/>
          <w:color w:val="auto"/>
        </w:rPr>
        <w:t>The company’s other certfying ofcer(s) and I are responsible for establishing and maintaining disclosure controls and procedures (as defned in Exchange Act Rules</w:t>
      </w:r>
    </w:p>
    <w:p>
      <w:pPr>
        <w:spacing w:after="0" w:line="3" w:lineRule="exact"/>
        <w:rPr>
          <w:rFonts w:ascii="Calibri" w:cs="Calibri" w:eastAsia="Calibri" w:hAnsi="Calibri"/>
          <w:sz w:val="16"/>
          <w:szCs w:val="16"/>
          <w:color w:val="auto"/>
        </w:rPr>
      </w:pPr>
    </w:p>
    <w:p>
      <w:pPr>
        <w:ind w:left="600"/>
        <w:spacing w:after="0" w:line="194" w:lineRule="auto"/>
        <w:rPr>
          <w:rFonts w:ascii="Calibri" w:cs="Calibri" w:eastAsia="Calibri" w:hAnsi="Calibri"/>
          <w:sz w:val="16"/>
          <w:szCs w:val="16"/>
          <w:color w:val="auto"/>
        </w:rPr>
      </w:pPr>
      <w:r>
        <w:rPr>
          <w:rFonts w:ascii="Calibri" w:cs="Calibri" w:eastAsia="Calibri" w:hAnsi="Calibri"/>
          <w:sz w:val="17"/>
          <w:szCs w:val="17"/>
          <w:color w:val="auto"/>
        </w:rPr>
        <w:t>13a-15(e) and 15d-15(e)) and internal control over fnancial reportng (as defned in Exchange Act Rules 13a-15(f) and 15d-15(f)) for the company and have:</w:t>
      </w:r>
    </w:p>
    <w:p>
      <w:pPr>
        <w:spacing w:after="0" w:line="13" w:lineRule="exact"/>
        <w:rPr>
          <w:rFonts w:ascii="Calibri" w:cs="Calibri" w:eastAsia="Calibri" w:hAnsi="Calibri"/>
          <w:sz w:val="16"/>
          <w:szCs w:val="16"/>
          <w:color w:val="auto"/>
        </w:rPr>
      </w:pPr>
    </w:p>
    <w:p>
      <w:pPr>
        <w:ind w:left="1220" w:hanging="611"/>
        <w:spacing w:after="0" w:line="209" w:lineRule="auto"/>
        <w:tabs>
          <w:tab w:leader="none" w:pos="990" w:val="left"/>
        </w:tabs>
        <w:numPr>
          <w:ilvl w:val="1"/>
          <w:numId w:val="311"/>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company, including its consolidated subsidiaries, is made known to us by others within those enttes, partcularly during the period in which this report is being prepared;</w:t>
      </w:r>
    </w:p>
    <w:p>
      <w:pPr>
        <w:spacing w:after="0" w:line="15" w:lineRule="exact"/>
        <w:rPr>
          <w:rFonts w:ascii="Calibri" w:cs="Calibri" w:eastAsia="Calibri" w:hAnsi="Calibri"/>
          <w:sz w:val="17"/>
          <w:szCs w:val="17"/>
          <w:color w:val="auto"/>
        </w:rPr>
      </w:pPr>
    </w:p>
    <w:p>
      <w:pPr>
        <w:ind w:left="1220" w:hanging="611"/>
        <w:spacing w:after="0" w:line="208" w:lineRule="auto"/>
        <w:tabs>
          <w:tab w:leader="none" w:pos="978" w:val="left"/>
        </w:tabs>
        <w:numPr>
          <w:ilvl w:val="1"/>
          <w:numId w:val="311"/>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ind w:left="1220" w:hanging="611"/>
        <w:spacing w:after="0" w:line="200" w:lineRule="auto"/>
        <w:tabs>
          <w:tab w:leader="none" w:pos="998" w:val="left"/>
        </w:tabs>
        <w:numPr>
          <w:ilvl w:val="1"/>
          <w:numId w:val="311"/>
        </w:numPr>
        <w:rPr>
          <w:rFonts w:ascii="Calibri" w:cs="Calibri" w:eastAsia="Calibri" w:hAnsi="Calibri"/>
          <w:sz w:val="17"/>
          <w:szCs w:val="17"/>
          <w:color w:val="auto"/>
        </w:rPr>
      </w:pPr>
      <w:r>
        <w:rPr>
          <w:rFonts w:ascii="Calibri" w:cs="Calibri" w:eastAsia="Calibri" w:hAnsi="Calibri"/>
          <w:sz w:val="17"/>
          <w:szCs w:val="17"/>
          <w:color w:val="auto"/>
        </w:rPr>
        <w:t>Evaluated the efectveness of the company’s disclosure controls and procedures and presented in this report our conclusions about the efectveness of the disclosure controls and procedures, as of the end of the period covered by this report based on such evaluaton; and</w:t>
      </w:r>
    </w:p>
    <w:p>
      <w:pPr>
        <w:spacing w:after="0" w:line="12" w:lineRule="exact"/>
        <w:rPr>
          <w:rFonts w:ascii="Calibri" w:cs="Calibri" w:eastAsia="Calibri" w:hAnsi="Calibri"/>
          <w:sz w:val="17"/>
          <w:szCs w:val="17"/>
          <w:color w:val="auto"/>
        </w:rPr>
      </w:pPr>
    </w:p>
    <w:p>
      <w:pPr>
        <w:ind w:left="1220" w:hanging="611"/>
        <w:spacing w:after="0" w:line="212" w:lineRule="auto"/>
        <w:tabs>
          <w:tab w:leader="none" w:pos="949" w:val="left"/>
        </w:tabs>
        <w:numPr>
          <w:ilvl w:val="1"/>
          <w:numId w:val="311"/>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company’s internal control over fnancial reportng that occurred during the period covered by the annual report that has materially afected, or is reasonably likely to materially afect, the company’s internal control over fnancial reportng; and</w:t>
      </w:r>
    </w:p>
    <w:p>
      <w:pPr>
        <w:spacing w:after="0" w:line="25" w:lineRule="exact"/>
        <w:rPr>
          <w:rFonts w:ascii="Calibri" w:cs="Calibri" w:eastAsia="Calibri" w:hAnsi="Calibri"/>
          <w:sz w:val="17"/>
          <w:szCs w:val="17"/>
          <w:color w:val="auto"/>
        </w:rPr>
      </w:pPr>
    </w:p>
    <w:p>
      <w:pPr>
        <w:ind w:left="600" w:hanging="599"/>
        <w:spacing w:after="0" w:line="212" w:lineRule="auto"/>
        <w:tabs>
          <w:tab w:leader="none" w:pos="311" w:val="left"/>
        </w:tabs>
        <w:numPr>
          <w:ilvl w:val="0"/>
          <w:numId w:val="311"/>
        </w:numPr>
        <w:rPr>
          <w:rFonts w:ascii="Calibri" w:cs="Calibri" w:eastAsia="Calibri" w:hAnsi="Calibri"/>
          <w:sz w:val="17"/>
          <w:szCs w:val="17"/>
          <w:color w:val="auto"/>
        </w:rPr>
      </w:pPr>
      <w:r>
        <w:rPr>
          <w:rFonts w:ascii="Calibri" w:cs="Calibri" w:eastAsia="Calibri" w:hAnsi="Calibri"/>
          <w:sz w:val="17"/>
          <w:szCs w:val="17"/>
          <w:color w:val="auto"/>
        </w:rPr>
        <w:t>The company’s other certfying ofcer(s) and I have disclosed, based on our most recent evaluaton of internal control over fnancial reportng, to the company’s auditors and the audit commitee of the company’s board of directors (or persons performing the equivalent functons):</w:t>
      </w:r>
    </w:p>
    <w:p>
      <w:pPr>
        <w:spacing w:after="0" w:line="13" w:lineRule="exact"/>
        <w:rPr>
          <w:rFonts w:ascii="Calibri" w:cs="Calibri" w:eastAsia="Calibri" w:hAnsi="Calibri"/>
          <w:sz w:val="17"/>
          <w:szCs w:val="17"/>
          <w:color w:val="auto"/>
        </w:rPr>
      </w:pPr>
    </w:p>
    <w:p>
      <w:pPr>
        <w:ind w:left="1220" w:hanging="611"/>
        <w:spacing w:after="0" w:line="219" w:lineRule="auto"/>
        <w:tabs>
          <w:tab w:leader="none" w:pos="982" w:val="left"/>
        </w:tabs>
        <w:numPr>
          <w:ilvl w:val="1"/>
          <w:numId w:val="311"/>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company’s ability to record, process, summarize and report fnancial informaton; and</w:t>
      </w:r>
    </w:p>
    <w:p>
      <w:pPr>
        <w:spacing w:after="0" w:line="13" w:lineRule="exact"/>
        <w:rPr>
          <w:rFonts w:ascii="Calibri" w:cs="Calibri" w:eastAsia="Calibri" w:hAnsi="Calibri"/>
          <w:sz w:val="17"/>
          <w:szCs w:val="17"/>
          <w:color w:val="auto"/>
        </w:rPr>
      </w:pPr>
    </w:p>
    <w:p>
      <w:pPr>
        <w:ind w:left="1220" w:hanging="587"/>
        <w:spacing w:after="0" w:line="212" w:lineRule="auto"/>
        <w:tabs>
          <w:tab w:leader="none" w:pos="1026" w:val="left"/>
        </w:tabs>
        <w:numPr>
          <w:ilvl w:val="2"/>
          <w:numId w:val="311"/>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company’s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7"/>
          <w:szCs w:val="17"/>
          <w:color w:val="auto"/>
        </w:rPr>
        <w:t>Date: March 6, 2025</w:t>
      </w:r>
    </w:p>
    <w:p>
      <w:pPr>
        <w:spacing w:after="0" w:line="71" w:lineRule="exact"/>
        <w:rPr>
          <w:sz w:val="20"/>
          <w:szCs w:val="20"/>
          <w:color w:val="auto"/>
        </w:rPr>
      </w:pPr>
    </w:p>
    <w:p>
      <w:pPr>
        <w:ind w:left="8980"/>
        <w:spacing w:after="0"/>
        <w:rPr>
          <w:sz w:val="20"/>
          <w:szCs w:val="20"/>
          <w:color w:val="auto"/>
        </w:rPr>
      </w:pPr>
      <w:r>
        <w:rPr>
          <w:rFonts w:ascii="Calibri" w:cs="Calibri" w:eastAsia="Calibri" w:hAnsi="Calibri"/>
          <w:sz w:val="17"/>
          <w:szCs w:val="17"/>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5694045</wp:posOffset>
            </wp:positionH>
            <wp:positionV relativeFrom="paragraph">
              <wp:posOffset>29845</wp:posOffset>
            </wp:positionV>
            <wp:extent cx="1447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8" w:lineRule="exact"/>
        <w:rPr>
          <w:sz w:val="20"/>
          <w:szCs w:val="20"/>
          <w:color w:val="auto"/>
        </w:rPr>
      </w:pPr>
    </w:p>
    <w:p>
      <w:pPr>
        <w:ind w:left="8980"/>
        <w:spacing w:after="0"/>
        <w:rPr>
          <w:sz w:val="20"/>
          <w:szCs w:val="20"/>
          <w:color w:val="auto"/>
        </w:rPr>
      </w:pPr>
      <w:r>
        <w:rPr>
          <w:rFonts w:ascii="Calibri" w:cs="Calibri" w:eastAsia="Calibri" w:hAnsi="Calibri"/>
          <w:sz w:val="17"/>
          <w:szCs w:val="17"/>
          <w:color w:val="auto"/>
        </w:rPr>
        <w:t>Chief Executve Ofcer</w:t>
      </w:r>
    </w:p>
    <w:p>
      <w:pPr>
        <w:ind w:left="8980"/>
        <w:spacing w:after="0" w:line="234" w:lineRule="auto"/>
        <w:rPr>
          <w:sz w:val="20"/>
          <w:szCs w:val="20"/>
          <w:color w:val="auto"/>
        </w:rPr>
      </w:pPr>
      <w:r>
        <w:rPr>
          <w:rFonts w:ascii="Calibri" w:cs="Calibri" w:eastAsia="Calibri" w:hAnsi="Calibri"/>
          <w:sz w:val="17"/>
          <w:szCs w:val="17"/>
          <w:i w:val="1"/>
          <w:iCs w:val="1"/>
          <w:color w:val="auto"/>
        </w:rPr>
        <w:t>(Principal Executve Ofcer)</w:t>
      </w:r>
    </w:p>
    <w:p>
      <w:pPr>
        <w:sectPr>
          <w:pgSz w:w="11900" w:h="16838" w:orient="portrait"/>
          <w:cols w:equalWidth="0" w:num="1">
            <w:col w:w="11240"/>
          </w:cols>
          <w:pgMar w:left="320" w:top="1367" w:right="339" w:bottom="1440" w:gutter="0" w:footer="0" w:header="0"/>
        </w:sectPr>
      </w:pPr>
    </w:p>
    <w:bookmarkStart w:id="357" w:name="page358"/>
    <w:bookmarkEnd w:id="357"/>
    <w:p>
      <w:pPr>
        <w:jc w:val="right"/>
        <w:spacing w:after="0"/>
        <w:rPr>
          <w:sz w:val="20"/>
          <w:szCs w:val="20"/>
          <w:color w:val="auto"/>
        </w:rPr>
      </w:pPr>
      <w:r>
        <w:rPr>
          <w:rFonts w:ascii="Calibri" w:cs="Calibri" w:eastAsia="Calibri" w:hAnsi="Calibri"/>
          <w:sz w:val="17"/>
          <w:szCs w:val="17"/>
          <w:b w:val="1"/>
          <w:bCs w:val="1"/>
          <w:color w:val="auto"/>
        </w:rPr>
        <w:t>Exhibit 12.2</w:t>
      </w:r>
    </w:p>
    <w:p>
      <w:pPr>
        <w:spacing w:after="0" w:line="8"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u w:val="single" w:color="auto"/>
          <w:color w:val="auto"/>
        </w:rPr>
        <w:t>CERTIFICATION</w:t>
      </w:r>
    </w:p>
    <w:p>
      <w:pPr>
        <w:spacing w:after="0" w:line="299" w:lineRule="exact"/>
        <w:rPr>
          <w:sz w:val="20"/>
          <w:szCs w:val="20"/>
          <w:color w:val="auto"/>
        </w:rPr>
      </w:pPr>
    </w:p>
    <w:p>
      <w:pPr>
        <w:spacing w:after="0"/>
        <w:rPr>
          <w:sz w:val="20"/>
          <w:szCs w:val="20"/>
          <w:color w:val="auto"/>
        </w:rPr>
      </w:pPr>
      <w:r>
        <w:rPr>
          <w:rFonts w:ascii="Calibri" w:cs="Calibri" w:eastAsia="Calibri" w:hAnsi="Calibri"/>
          <w:sz w:val="17"/>
          <w:szCs w:val="17"/>
          <w:color w:val="auto"/>
        </w:rPr>
        <w:t>I, Robert Hendriks, certfy that:</w:t>
      </w:r>
    </w:p>
    <w:p>
      <w:pPr>
        <w:spacing w:after="0" w:line="236" w:lineRule="exact"/>
        <w:rPr>
          <w:sz w:val="20"/>
          <w:szCs w:val="20"/>
          <w:color w:val="auto"/>
        </w:rPr>
      </w:pPr>
    </w:p>
    <w:p>
      <w:pPr>
        <w:ind w:left="280" w:hanging="279"/>
        <w:spacing w:after="0"/>
        <w:tabs>
          <w:tab w:leader="none" w:pos="280" w:val="left"/>
        </w:tabs>
        <w:numPr>
          <w:ilvl w:val="0"/>
          <w:numId w:val="312"/>
        </w:numPr>
        <w:rPr>
          <w:rFonts w:ascii="Calibri" w:cs="Calibri" w:eastAsia="Calibri" w:hAnsi="Calibri"/>
          <w:sz w:val="17"/>
          <w:szCs w:val="17"/>
          <w:color w:val="auto"/>
        </w:rPr>
      </w:pPr>
      <w:r>
        <w:rPr>
          <w:rFonts w:ascii="Calibri" w:cs="Calibri" w:eastAsia="Calibri" w:hAnsi="Calibri"/>
          <w:sz w:val="17"/>
          <w:szCs w:val="17"/>
          <w:color w:val="auto"/>
        </w:rPr>
        <w:t>I have reviewed this annual report on Form 20-F of Molecular Partners AG (the "company");</w:t>
      </w:r>
    </w:p>
    <w:p>
      <w:pPr>
        <w:spacing w:after="0" w:line="12" w:lineRule="exact"/>
        <w:rPr>
          <w:rFonts w:ascii="Calibri" w:cs="Calibri" w:eastAsia="Calibri" w:hAnsi="Calibri"/>
          <w:sz w:val="17"/>
          <w:szCs w:val="17"/>
          <w:color w:val="auto"/>
        </w:rPr>
      </w:pPr>
    </w:p>
    <w:p>
      <w:pPr>
        <w:ind w:left="600" w:hanging="599"/>
        <w:spacing w:after="0" w:line="233" w:lineRule="auto"/>
        <w:tabs>
          <w:tab w:leader="none" w:pos="313" w:val="left"/>
        </w:tabs>
        <w:numPr>
          <w:ilvl w:val="0"/>
          <w:numId w:val="312"/>
        </w:numPr>
        <w:rPr>
          <w:rFonts w:ascii="Calibri" w:cs="Calibri" w:eastAsia="Calibri" w:hAnsi="Calibri"/>
          <w:sz w:val="16"/>
          <w:szCs w:val="16"/>
          <w:color w:val="auto"/>
        </w:rPr>
      </w:pPr>
      <w:r>
        <w:rPr>
          <w:rFonts w:ascii="Calibri" w:cs="Calibri" w:eastAsia="Calibri" w:hAnsi="Calibri"/>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Calibri" w:cs="Calibri" w:eastAsia="Calibri" w:hAnsi="Calibri"/>
          <w:sz w:val="16"/>
          <w:szCs w:val="16"/>
          <w:color w:val="auto"/>
        </w:rPr>
      </w:pPr>
    </w:p>
    <w:p>
      <w:pPr>
        <w:ind w:left="600" w:hanging="599"/>
        <w:spacing w:after="0" w:line="212" w:lineRule="auto"/>
        <w:tabs>
          <w:tab w:leader="none" w:pos="361" w:val="left"/>
        </w:tabs>
        <w:numPr>
          <w:ilvl w:val="0"/>
          <w:numId w:val="312"/>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company as of, and for, the periods presented in this report;</w:t>
      </w:r>
    </w:p>
    <w:p>
      <w:pPr>
        <w:spacing w:after="0" w:line="25" w:lineRule="exact"/>
        <w:rPr>
          <w:rFonts w:ascii="Calibri" w:cs="Calibri" w:eastAsia="Calibri" w:hAnsi="Calibri"/>
          <w:sz w:val="17"/>
          <w:szCs w:val="17"/>
          <w:color w:val="auto"/>
        </w:rPr>
      </w:pPr>
    </w:p>
    <w:p>
      <w:pPr>
        <w:ind w:left="280" w:hanging="279"/>
        <w:spacing w:after="0"/>
        <w:tabs>
          <w:tab w:leader="none" w:pos="280" w:val="left"/>
        </w:tabs>
        <w:numPr>
          <w:ilvl w:val="0"/>
          <w:numId w:val="312"/>
        </w:numPr>
        <w:rPr>
          <w:rFonts w:ascii="Calibri" w:cs="Calibri" w:eastAsia="Calibri" w:hAnsi="Calibri"/>
          <w:sz w:val="16"/>
          <w:szCs w:val="16"/>
          <w:color w:val="auto"/>
        </w:rPr>
      </w:pPr>
      <w:r>
        <w:rPr>
          <w:rFonts w:ascii="Calibri" w:cs="Calibri" w:eastAsia="Calibri" w:hAnsi="Calibri"/>
          <w:sz w:val="16"/>
          <w:szCs w:val="16"/>
          <w:color w:val="auto"/>
        </w:rPr>
        <w:t>The company’s other certfying ofcer(s) and I are responsible for establishing and maintaining disclosure controls and procedures (as defned in Exchange Act Rules</w:t>
      </w:r>
    </w:p>
    <w:p>
      <w:pPr>
        <w:spacing w:after="0" w:line="3" w:lineRule="exact"/>
        <w:rPr>
          <w:rFonts w:ascii="Calibri" w:cs="Calibri" w:eastAsia="Calibri" w:hAnsi="Calibri"/>
          <w:sz w:val="16"/>
          <w:szCs w:val="16"/>
          <w:color w:val="auto"/>
        </w:rPr>
      </w:pPr>
    </w:p>
    <w:p>
      <w:pPr>
        <w:ind w:left="600"/>
        <w:spacing w:after="0" w:line="194" w:lineRule="auto"/>
        <w:rPr>
          <w:rFonts w:ascii="Calibri" w:cs="Calibri" w:eastAsia="Calibri" w:hAnsi="Calibri"/>
          <w:sz w:val="16"/>
          <w:szCs w:val="16"/>
          <w:color w:val="auto"/>
        </w:rPr>
      </w:pPr>
      <w:r>
        <w:rPr>
          <w:rFonts w:ascii="Calibri" w:cs="Calibri" w:eastAsia="Calibri" w:hAnsi="Calibri"/>
          <w:sz w:val="17"/>
          <w:szCs w:val="17"/>
          <w:color w:val="auto"/>
        </w:rPr>
        <w:t>13a-15(e) and 15d-15(e)) and internal control over fnancial reportng (as defned in Exchange Act Rules 13a-15(f) and 15d-15(f)) for the company and have:</w:t>
      </w:r>
    </w:p>
    <w:p>
      <w:pPr>
        <w:spacing w:after="0" w:line="13" w:lineRule="exact"/>
        <w:rPr>
          <w:rFonts w:ascii="Calibri" w:cs="Calibri" w:eastAsia="Calibri" w:hAnsi="Calibri"/>
          <w:sz w:val="16"/>
          <w:szCs w:val="16"/>
          <w:color w:val="auto"/>
        </w:rPr>
      </w:pPr>
    </w:p>
    <w:p>
      <w:pPr>
        <w:ind w:left="1220" w:hanging="611"/>
        <w:spacing w:after="0" w:line="209" w:lineRule="auto"/>
        <w:tabs>
          <w:tab w:leader="none" w:pos="990" w:val="left"/>
        </w:tabs>
        <w:numPr>
          <w:ilvl w:val="1"/>
          <w:numId w:val="312"/>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company, including its consolidated subsidiaries, is made known to us by others within those enttes, partcularly during the period in which this report is being prepared;</w:t>
      </w:r>
    </w:p>
    <w:p>
      <w:pPr>
        <w:spacing w:after="0" w:line="15" w:lineRule="exact"/>
        <w:rPr>
          <w:rFonts w:ascii="Calibri" w:cs="Calibri" w:eastAsia="Calibri" w:hAnsi="Calibri"/>
          <w:sz w:val="17"/>
          <w:szCs w:val="17"/>
          <w:color w:val="auto"/>
        </w:rPr>
      </w:pPr>
    </w:p>
    <w:p>
      <w:pPr>
        <w:ind w:left="1220" w:hanging="611"/>
        <w:spacing w:after="0" w:line="208" w:lineRule="auto"/>
        <w:tabs>
          <w:tab w:leader="none" w:pos="978" w:val="left"/>
        </w:tabs>
        <w:numPr>
          <w:ilvl w:val="1"/>
          <w:numId w:val="312"/>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ind w:left="1220" w:hanging="611"/>
        <w:spacing w:after="0" w:line="200" w:lineRule="auto"/>
        <w:tabs>
          <w:tab w:leader="none" w:pos="998" w:val="left"/>
        </w:tabs>
        <w:numPr>
          <w:ilvl w:val="1"/>
          <w:numId w:val="312"/>
        </w:numPr>
        <w:rPr>
          <w:rFonts w:ascii="Calibri" w:cs="Calibri" w:eastAsia="Calibri" w:hAnsi="Calibri"/>
          <w:sz w:val="17"/>
          <w:szCs w:val="17"/>
          <w:color w:val="auto"/>
        </w:rPr>
      </w:pPr>
      <w:r>
        <w:rPr>
          <w:rFonts w:ascii="Calibri" w:cs="Calibri" w:eastAsia="Calibri" w:hAnsi="Calibri"/>
          <w:sz w:val="17"/>
          <w:szCs w:val="17"/>
          <w:color w:val="auto"/>
        </w:rPr>
        <w:t>Evaluated the efectveness of the company’s disclosure controls and procedures and presented in this report our conclusions about the efectveness of the disclosure controls and procedures, as of the end of the period covered by this report based on such evaluaton; and</w:t>
      </w:r>
    </w:p>
    <w:p>
      <w:pPr>
        <w:spacing w:after="0" w:line="12" w:lineRule="exact"/>
        <w:rPr>
          <w:rFonts w:ascii="Calibri" w:cs="Calibri" w:eastAsia="Calibri" w:hAnsi="Calibri"/>
          <w:sz w:val="17"/>
          <w:szCs w:val="17"/>
          <w:color w:val="auto"/>
        </w:rPr>
      </w:pPr>
    </w:p>
    <w:p>
      <w:pPr>
        <w:ind w:left="1220" w:hanging="611"/>
        <w:spacing w:after="0" w:line="212" w:lineRule="auto"/>
        <w:tabs>
          <w:tab w:leader="none" w:pos="949" w:val="left"/>
        </w:tabs>
        <w:numPr>
          <w:ilvl w:val="1"/>
          <w:numId w:val="312"/>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company’s internal control over fnancial reportng that occurred during the period covered by the annual report that has materially afected, or is reasonably likely to materially afect, the company’s internal control over fnancial reportng; and</w:t>
      </w:r>
    </w:p>
    <w:p>
      <w:pPr>
        <w:spacing w:after="0" w:line="25" w:lineRule="exact"/>
        <w:rPr>
          <w:rFonts w:ascii="Calibri" w:cs="Calibri" w:eastAsia="Calibri" w:hAnsi="Calibri"/>
          <w:sz w:val="17"/>
          <w:szCs w:val="17"/>
          <w:color w:val="auto"/>
        </w:rPr>
      </w:pPr>
    </w:p>
    <w:p>
      <w:pPr>
        <w:ind w:left="600" w:hanging="599"/>
        <w:spacing w:after="0" w:line="212" w:lineRule="auto"/>
        <w:tabs>
          <w:tab w:leader="none" w:pos="311" w:val="left"/>
        </w:tabs>
        <w:numPr>
          <w:ilvl w:val="0"/>
          <w:numId w:val="312"/>
        </w:numPr>
        <w:rPr>
          <w:rFonts w:ascii="Calibri" w:cs="Calibri" w:eastAsia="Calibri" w:hAnsi="Calibri"/>
          <w:sz w:val="17"/>
          <w:szCs w:val="17"/>
          <w:color w:val="auto"/>
        </w:rPr>
      </w:pPr>
      <w:r>
        <w:rPr>
          <w:rFonts w:ascii="Calibri" w:cs="Calibri" w:eastAsia="Calibri" w:hAnsi="Calibri"/>
          <w:sz w:val="17"/>
          <w:szCs w:val="17"/>
          <w:color w:val="auto"/>
        </w:rPr>
        <w:t>The company’s other certfying ofcer(s) and I have disclosed, based on our most recent evaluaton of internal control over fnancial reportng, to the company’s auditors and the audit commitee of the company’s board of directors (or persons performing the equivalent functons):</w:t>
      </w:r>
    </w:p>
    <w:p>
      <w:pPr>
        <w:spacing w:after="0" w:line="13" w:lineRule="exact"/>
        <w:rPr>
          <w:rFonts w:ascii="Calibri" w:cs="Calibri" w:eastAsia="Calibri" w:hAnsi="Calibri"/>
          <w:sz w:val="17"/>
          <w:szCs w:val="17"/>
          <w:color w:val="auto"/>
        </w:rPr>
      </w:pPr>
    </w:p>
    <w:p>
      <w:pPr>
        <w:ind w:left="1220" w:hanging="611"/>
        <w:spacing w:after="0" w:line="219" w:lineRule="auto"/>
        <w:tabs>
          <w:tab w:leader="none" w:pos="982" w:val="left"/>
        </w:tabs>
        <w:numPr>
          <w:ilvl w:val="1"/>
          <w:numId w:val="312"/>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company’s ability to record, process, summarize and report fnancial informaton; and</w:t>
      </w:r>
    </w:p>
    <w:p>
      <w:pPr>
        <w:spacing w:after="0" w:line="13" w:lineRule="exact"/>
        <w:rPr>
          <w:rFonts w:ascii="Calibri" w:cs="Calibri" w:eastAsia="Calibri" w:hAnsi="Calibri"/>
          <w:sz w:val="17"/>
          <w:szCs w:val="17"/>
          <w:color w:val="auto"/>
        </w:rPr>
      </w:pPr>
    </w:p>
    <w:p>
      <w:pPr>
        <w:ind w:left="1220" w:hanging="587"/>
        <w:spacing w:after="0" w:line="212" w:lineRule="auto"/>
        <w:tabs>
          <w:tab w:leader="none" w:pos="1026" w:val="left"/>
        </w:tabs>
        <w:numPr>
          <w:ilvl w:val="2"/>
          <w:numId w:val="312"/>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company’s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7"/>
          <w:szCs w:val="17"/>
          <w:color w:val="auto"/>
        </w:rPr>
        <w:t>Date: March 6, 2025</w:t>
      </w:r>
    </w:p>
    <w:p>
      <w:pPr>
        <w:spacing w:after="0" w:line="71" w:lineRule="exact"/>
        <w:rPr>
          <w:sz w:val="20"/>
          <w:szCs w:val="20"/>
          <w:color w:val="auto"/>
        </w:rPr>
      </w:pPr>
    </w:p>
    <w:p>
      <w:pPr>
        <w:ind w:left="9780"/>
        <w:spacing w:after="0"/>
        <w:rPr>
          <w:sz w:val="20"/>
          <w:szCs w:val="20"/>
          <w:color w:val="auto"/>
        </w:rPr>
      </w:pPr>
      <w:r>
        <w:rPr>
          <w:rFonts w:ascii="Calibri" w:cs="Calibri" w:eastAsia="Calibri" w:hAnsi="Calibri"/>
          <w:sz w:val="17"/>
          <w:szCs w:val="17"/>
          <w:color w:val="auto"/>
        </w:rPr>
        <w:t>/s/ Robert Hendriks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29845</wp:posOffset>
            </wp:positionV>
            <wp:extent cx="12306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8" w:lineRule="exact"/>
        <w:rPr>
          <w:sz w:val="20"/>
          <w:szCs w:val="20"/>
          <w:color w:val="auto"/>
        </w:rPr>
      </w:pPr>
    </w:p>
    <w:p>
      <w:pPr>
        <w:ind w:left="9780"/>
        <w:spacing w:after="0"/>
        <w:rPr>
          <w:sz w:val="20"/>
          <w:szCs w:val="20"/>
          <w:color w:val="auto"/>
        </w:rPr>
      </w:pPr>
      <w:r>
        <w:rPr>
          <w:rFonts w:ascii="Calibri" w:cs="Calibri" w:eastAsia="Calibri" w:hAnsi="Calibri"/>
          <w:sz w:val="17"/>
          <w:szCs w:val="17"/>
          <w:color w:val="auto"/>
        </w:rPr>
        <w:t>SVP Finance</w:t>
      </w:r>
    </w:p>
    <w:p>
      <w:pPr>
        <w:ind w:left="9780"/>
        <w:spacing w:after="0" w:line="234" w:lineRule="auto"/>
        <w:rPr>
          <w:sz w:val="20"/>
          <w:szCs w:val="20"/>
          <w:color w:val="auto"/>
        </w:rPr>
      </w:pPr>
      <w:r>
        <w:rPr>
          <w:rFonts w:ascii="Calibri" w:cs="Calibri" w:eastAsia="Calibri" w:hAnsi="Calibri"/>
          <w:sz w:val="17"/>
          <w:szCs w:val="17"/>
          <w:i w:val="1"/>
          <w:iCs w:val="1"/>
          <w:color w:val="auto"/>
        </w:rPr>
        <w:t>(Principal Financial</w:t>
      </w:r>
    </w:p>
    <w:p>
      <w:pPr>
        <w:ind w:left="9320"/>
        <w:spacing w:after="0" w:line="234" w:lineRule="auto"/>
        <w:rPr>
          <w:sz w:val="20"/>
          <w:szCs w:val="20"/>
          <w:color w:val="auto"/>
        </w:rPr>
      </w:pPr>
      <w:r>
        <w:rPr>
          <w:rFonts w:ascii="Calibri" w:cs="Calibri" w:eastAsia="Calibri" w:hAnsi="Calibri"/>
          <w:sz w:val="17"/>
          <w:szCs w:val="17"/>
          <w:i w:val="1"/>
          <w:iCs w:val="1"/>
          <w:color w:val="auto"/>
        </w:rPr>
        <w:t>Ofcer)</w:t>
      </w:r>
    </w:p>
    <w:p>
      <w:pPr>
        <w:sectPr>
          <w:pgSz w:w="11900" w:h="16838" w:orient="portrait"/>
          <w:cols w:equalWidth="0" w:num="1">
            <w:col w:w="11240"/>
          </w:cols>
          <w:pgMar w:left="320" w:top="1367" w:right="339" w:bottom="1440" w:gutter="0" w:footer="0" w:header="0"/>
        </w:sectPr>
      </w:pPr>
    </w:p>
    <w:bookmarkStart w:id="358" w:name="page359"/>
    <w:bookmarkEnd w:id="358"/>
    <w:p>
      <w:pPr>
        <w:jc w:val="right"/>
        <w:spacing w:after="0"/>
        <w:rPr>
          <w:sz w:val="20"/>
          <w:szCs w:val="20"/>
          <w:color w:val="auto"/>
        </w:rPr>
      </w:pPr>
      <w:r>
        <w:rPr>
          <w:rFonts w:ascii="Calibri" w:cs="Calibri" w:eastAsia="Calibri" w:hAnsi="Calibri"/>
          <w:sz w:val="17"/>
          <w:szCs w:val="17"/>
          <w:b w:val="1"/>
          <w:bCs w:val="1"/>
          <w:color w:val="auto"/>
        </w:rPr>
        <w:t>Exhibit 13.1</w:t>
      </w:r>
    </w:p>
    <w:p>
      <w:pPr>
        <w:spacing w:after="0" w:line="8"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w:t>
      </w:r>
    </w:p>
    <w:p>
      <w:pPr>
        <w:spacing w:after="0" w:line="304" w:lineRule="exact"/>
        <w:rPr>
          <w:sz w:val="20"/>
          <w:szCs w:val="20"/>
          <w:color w:val="auto"/>
        </w:rPr>
      </w:pPr>
    </w:p>
    <w:p>
      <w:pPr>
        <w:jc w:val="both"/>
        <w:spacing w:after="0" w:line="205" w:lineRule="auto"/>
        <w:rPr>
          <w:sz w:val="20"/>
          <w:szCs w:val="20"/>
          <w:color w:val="auto"/>
        </w:rPr>
      </w:pPr>
      <w:r>
        <w:rPr>
          <w:rFonts w:ascii="Calibri" w:cs="Calibri" w:eastAsia="Calibri" w:hAnsi="Calibri"/>
          <w:sz w:val="17"/>
          <w:szCs w:val="17"/>
          <w:color w:val="auto"/>
        </w:rPr>
        <w:t xml:space="preserve">Pursuant to the requirement set forth in Rule 13a-14(b) of the Securites Exchange Act of 1934, as amended, (the “Exchange Act”) and Secton 1350 of Chapter 63 of Title 18 of the United States Code (18 U.S.C. §1350), </w:t>
      </w:r>
      <w:r>
        <w:rPr>
          <w:rFonts w:ascii="Calibri" w:cs="Calibri" w:eastAsia="Calibri" w:hAnsi="Calibri"/>
          <w:sz w:val="17"/>
          <w:szCs w:val="17"/>
          <w:b w:val="1"/>
          <w:bCs w:val="1"/>
          <w:color w:val="auto"/>
        </w:rPr>
        <w:t>Patrick Amstutz</w:t>
      </w:r>
      <w:r>
        <w:rPr>
          <w:rFonts w:ascii="Calibri" w:cs="Calibri" w:eastAsia="Calibri" w:hAnsi="Calibri"/>
          <w:sz w:val="17"/>
          <w:szCs w:val="17"/>
          <w:color w:val="auto"/>
        </w:rPr>
        <w:t xml:space="preserve">, Chief Executve Ofcer of Molecular Partners AG (the “Company”), and </w:t>
      </w:r>
      <w:r>
        <w:rPr>
          <w:rFonts w:ascii="Calibri" w:cs="Calibri" w:eastAsia="Calibri" w:hAnsi="Calibri"/>
          <w:sz w:val="17"/>
          <w:szCs w:val="17"/>
          <w:b w:val="1"/>
          <w:bCs w:val="1"/>
          <w:color w:val="auto"/>
        </w:rPr>
        <w:t>Robert Hendriks</w:t>
      </w:r>
      <w:r>
        <w:rPr>
          <w:rFonts w:ascii="Calibri" w:cs="Calibri" w:eastAsia="Calibri" w:hAnsi="Calibri"/>
          <w:sz w:val="17"/>
          <w:szCs w:val="17"/>
          <w:color w:val="auto"/>
        </w:rPr>
        <w:t>, SVP Finance of the Company, each hereby certfes that, to the best of his or her knowledge:</w:t>
      </w:r>
    </w:p>
    <w:p>
      <w:pPr>
        <w:spacing w:after="0" w:line="304" w:lineRule="exact"/>
        <w:rPr>
          <w:sz w:val="20"/>
          <w:szCs w:val="20"/>
          <w:color w:val="auto"/>
        </w:rPr>
      </w:pPr>
    </w:p>
    <w:p>
      <w:pPr>
        <w:ind w:left="600" w:hanging="599"/>
        <w:spacing w:after="0" w:line="212" w:lineRule="auto"/>
        <w:tabs>
          <w:tab w:leader="none" w:pos="588" w:val="left"/>
        </w:tabs>
        <w:numPr>
          <w:ilvl w:val="0"/>
          <w:numId w:val="313"/>
        </w:numPr>
        <w:rPr>
          <w:rFonts w:ascii="Calibri" w:cs="Calibri" w:eastAsia="Calibri" w:hAnsi="Calibri"/>
          <w:sz w:val="17"/>
          <w:szCs w:val="17"/>
          <w:b w:val="1"/>
          <w:bCs w:val="1"/>
          <w:color w:val="auto"/>
        </w:rPr>
      </w:pPr>
      <w:r>
        <w:rPr>
          <w:rFonts w:ascii="Calibri" w:cs="Calibri" w:eastAsia="Calibri" w:hAnsi="Calibri"/>
          <w:sz w:val="17"/>
          <w:szCs w:val="17"/>
          <w:color w:val="auto"/>
        </w:rPr>
        <w:t>The Company’s Annual Report on Form 20-F for the fscal year ended December 31, 2024, to which this Certfcaton is atached as Exhibit 13.1 (the “Annual Report”), fully complies with the requirements of Secton 13(a) or Secton 15(d) of the Exchange Act; and</w:t>
      </w:r>
    </w:p>
    <w:p>
      <w:pPr>
        <w:spacing w:after="0" w:line="8" w:lineRule="exact"/>
        <w:rPr>
          <w:rFonts w:ascii="Calibri" w:cs="Calibri" w:eastAsia="Calibri" w:hAnsi="Calibri"/>
          <w:sz w:val="17"/>
          <w:szCs w:val="17"/>
          <w:b w:val="1"/>
          <w:bCs w:val="1"/>
          <w:color w:val="auto"/>
        </w:rPr>
      </w:pPr>
    </w:p>
    <w:p>
      <w:pPr>
        <w:ind w:left="600" w:hanging="599"/>
        <w:spacing w:after="0"/>
        <w:tabs>
          <w:tab w:leader="none" w:pos="600" w:val="left"/>
        </w:tabs>
        <w:numPr>
          <w:ilvl w:val="0"/>
          <w:numId w:val="313"/>
        </w:numPr>
        <w:rPr>
          <w:rFonts w:ascii="Calibri" w:cs="Calibri" w:eastAsia="Calibri" w:hAnsi="Calibri"/>
          <w:sz w:val="17"/>
          <w:szCs w:val="17"/>
          <w:b w:val="1"/>
          <w:bCs w:val="1"/>
          <w:color w:val="auto"/>
        </w:rPr>
      </w:pPr>
      <w:r>
        <w:rPr>
          <w:rFonts w:ascii="Calibri" w:cs="Calibri" w:eastAsia="Calibri" w:hAnsi="Calibri"/>
          <w:sz w:val="17"/>
          <w:szCs w:val="17"/>
          <w:color w:val="auto"/>
        </w:rPr>
        <w:t>The informaton contained in the Annual Report fairly presents, in all material respects, the fnancial conditon and results of operatons of the Company.</w:t>
      </w:r>
    </w:p>
    <w:p>
      <w:pPr>
        <w:spacing w:after="0" w:line="299" w:lineRule="exact"/>
        <w:rPr>
          <w:sz w:val="20"/>
          <w:szCs w:val="20"/>
          <w:color w:val="auto"/>
        </w:rPr>
      </w:pPr>
    </w:p>
    <w:p>
      <w:pPr>
        <w:spacing w:after="0"/>
        <w:rPr>
          <w:sz w:val="20"/>
          <w:szCs w:val="20"/>
          <w:color w:val="auto"/>
        </w:rPr>
      </w:pPr>
      <w:r>
        <w:rPr>
          <w:rFonts w:ascii="Calibri" w:cs="Calibri" w:eastAsia="Calibri" w:hAnsi="Calibri"/>
          <w:sz w:val="17"/>
          <w:szCs w:val="17"/>
          <w:color w:val="auto"/>
        </w:rPr>
        <w:t>Dated: March 6, 2025</w:t>
      </w:r>
    </w:p>
    <w:p>
      <w:pPr>
        <w:spacing w:after="0" w:line="2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undersigned have set their hands hereto as of the 6th day of March,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Patrick Amstutz</w:t>
            </w: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Robert Hendriks</w:t>
            </w:r>
          </w:p>
        </w:tc>
      </w:tr>
      <w:tr>
        <w:trPr>
          <w:trHeight w:val="140"/>
        </w:trPr>
        <w:tc>
          <w:tcPr>
            <w:tcW w:w="4260" w:type="dxa"/>
            <w:vAlign w:val="bottom"/>
            <w:tcBorders>
              <w:bottom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r>
      <w:tr>
        <w:trPr>
          <w:trHeight w:val="204"/>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Patrick Amstutz</w:t>
            </w:r>
          </w:p>
        </w:tc>
        <w:tc>
          <w:tcPr>
            <w:tcW w:w="222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Hendriks</w:t>
            </w:r>
          </w:p>
        </w:tc>
      </w:tr>
      <w:tr>
        <w:trPr>
          <w:trHeight w:val="21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SVP Finance</w:t>
            </w:r>
          </w:p>
        </w:tc>
      </w:tr>
    </w:tbl>
    <w:p>
      <w:pPr>
        <w:spacing w:after="0" w:line="372" w:lineRule="exact"/>
        <w:rPr>
          <w:sz w:val="20"/>
          <w:szCs w:val="20"/>
          <w:color w:val="auto"/>
        </w:rPr>
      </w:pPr>
    </w:p>
    <w:p>
      <w:pPr>
        <w:jc w:val="both"/>
        <w:spacing w:after="0" w:line="209" w:lineRule="auto"/>
        <w:rPr>
          <w:sz w:val="20"/>
          <w:szCs w:val="20"/>
          <w:color w:val="auto"/>
        </w:rPr>
      </w:pPr>
      <w:r>
        <w:rPr>
          <w:rFonts w:ascii="Calibri" w:cs="Calibri" w:eastAsia="Calibri" w:hAnsi="Calibri"/>
          <w:sz w:val="17"/>
          <w:szCs w:val="17"/>
          <w:color w:val="auto"/>
        </w:rPr>
        <w:t>“This certfcaton accompanies the Form 20-F to which it relates, is not deemed fled with the Securites and Exchange Commission and is not to be incorporated by reference into any fling of Molecular Partners AG under the Securites Act of 1933, as amended, or the Exchange Act (whether made before or afer the date of the Form 20-F), irrespectve of any general incorporaton language contained in such fling.”</w:t>
      </w:r>
    </w:p>
    <w:p>
      <w:pPr>
        <w:sectPr>
          <w:pgSz w:w="11900" w:h="16838" w:orient="portrait"/>
          <w:cols w:equalWidth="0" w:num="1">
            <w:col w:w="11240"/>
          </w:cols>
          <w:pgMar w:left="320" w:top="1367" w:right="339" w:bottom="1440" w:gutter="0" w:footer="0" w:header="0"/>
        </w:sectPr>
      </w:pPr>
    </w:p>
    <w:bookmarkStart w:id="359" w:name="page360"/>
    <w:bookmarkEnd w:id="3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72" w:lineRule="exact"/>
        <w:rPr>
          <w:sz w:val="20"/>
          <w:szCs w:val="20"/>
          <w:color w:val="auto"/>
        </w:rPr>
      </w:pPr>
    </w:p>
    <w:p>
      <w:pPr>
        <w:spacing w:after="0" w:line="328" w:lineRule="auto"/>
        <w:rPr>
          <w:sz w:val="20"/>
          <w:szCs w:val="20"/>
          <w:color w:val="auto"/>
        </w:rPr>
      </w:pPr>
      <w:r>
        <w:rPr>
          <w:rFonts w:ascii="Arial" w:cs="Arial" w:eastAsia="Arial" w:hAnsi="Arial"/>
          <w:sz w:val="17"/>
          <w:szCs w:val="17"/>
          <w:color w:val="auto"/>
        </w:rPr>
        <w:t>We consent to the incorporation by reference in the registration statement (No. 333-265960) on Form F-3 of our report dated March 6, 2025, with respect to the consolidated financial statements of Molecular Partners AG.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KPMG AG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Zurich, Switzerland</w:t>
      </w:r>
    </w:p>
    <w:p>
      <w:pPr>
        <w:spacing w:after="0"/>
        <w:rPr>
          <w:sz w:val="20"/>
          <w:szCs w:val="20"/>
          <w:color w:val="auto"/>
        </w:rPr>
      </w:pPr>
      <w:r>
        <w:rPr>
          <w:rFonts w:ascii="Arial" w:cs="Arial" w:eastAsia="Arial" w:hAnsi="Arial"/>
          <w:sz w:val="17"/>
          <w:szCs w:val="17"/>
          <w:color w:val="auto"/>
        </w:rPr>
        <w:t>March 6,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1."/>
      <w:numFmt w:val="upperLetter"/>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1."/>
      <w:numFmt w:val="lowerLetter"/>
      <w:start w:val="1"/>
    </w:lvl>
  </w:abstractNum>
  <w:abstractNum w:abstractNumId="46">
    <w:nsid w:val="1A9A9E69"/>
    <w:multiLevelType w:val="hybridMultilevel"/>
    <w:lvl w:ilvl="0">
      <w:lvlJc w:val="left"/>
      <w:lvlText w:val="%1."/>
      <w:numFmt w:val="lowerLetter"/>
      <w:start w:val="4"/>
    </w:lvl>
    <w:lvl w:ilvl="1">
      <w:lvlJc w:val="left"/>
      <w:lvlText w:val="%2."/>
      <w:numFmt w:val="lowerRoman"/>
      <w:start w:val="1"/>
    </w:lvl>
  </w:abstractNum>
  <w:abstractNum w:abstractNumId="47">
    <w:nsid w:val="475E256A"/>
    <w:multiLevelType w:val="hybridMultilevel"/>
    <w:lvl w:ilvl="0">
      <w:lvlJc w:val="left"/>
      <w:lvlText w:val="•"/>
      <w:numFmt w:val="bullet"/>
      <w:start w:val="1"/>
    </w:lvl>
    <w:lvl w:ilvl="1">
      <w:lvlJc w:val="left"/>
      <w:lvlText w:val="•"/>
      <w:numFmt w:val="bullet"/>
      <w:start w:val="1"/>
    </w:lvl>
  </w:abstractNum>
  <w:abstractNum w:abstractNumId="48">
    <w:nsid w:val="368DB37E"/>
    <w:multiLevelType w:val="hybridMultilevel"/>
    <w:lvl w:ilvl="0">
      <w:lvlJc w:val="left"/>
      <w:lvlText w:val="•"/>
      <w:numFmt w:val="bullet"/>
      <w:start w:val="1"/>
    </w:lvl>
    <w:lvl w:ilvl="1">
      <w:lvlJc w:val="left"/>
      <w:lvlText w:val="◦"/>
      <w:numFmt w:val="bullet"/>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
      <w:numFmt w:val="bullet"/>
      <w:start w:val="1"/>
    </w:lvl>
  </w:abstractNum>
  <w:abstractNum w:abstractNumId="55">
    <w:nsid w:val="7E0F6384"/>
    <w:multiLevelType w:val="hybridMultilevel"/>
    <w:lvl w:ilvl="0">
      <w:lvlJc w:val="left"/>
      <w:lvlText w:val="•"/>
      <w:numFmt w:val="bullet"/>
      <w:start w:val="1"/>
    </w:lvl>
  </w:abstractNum>
  <w:abstractNum w:abstractNumId="56">
    <w:nsid w:val="2B4B8B53"/>
    <w:multiLevelType w:val="hybridMultilevel"/>
    <w:lvl w:ilvl="0">
      <w:lvlJc w:val="left"/>
      <w:lvlText w:val="•"/>
      <w:numFmt w:val="bullet"/>
      <w:start w:val="1"/>
    </w:lvl>
  </w:abstractNum>
  <w:abstractNum w:abstractNumId="57">
    <w:nsid w:val="72E3413A"/>
    <w:multiLevelType w:val="hybridMultilevel"/>
    <w:lvl w:ilvl="0">
      <w:lvlJc w:val="left"/>
      <w:lvlText w:val="•"/>
      <w:numFmt w:val="bullet"/>
      <w:start w:val="1"/>
    </w:lvl>
  </w:abstractNum>
  <w:abstractNum w:abstractNumId="58">
    <w:nsid w:val="116AE494"/>
    <w:multiLevelType w:val="hybridMultilevel"/>
    <w:lvl w:ilvl="0">
      <w:lvlJc w:val="left"/>
      <w:lvlText w:val="•"/>
      <w:numFmt w:val="bullet"/>
      <w:start w:val="1"/>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
      <w:numFmt w:val="bullet"/>
      <w:start w:val="1"/>
    </w:lvl>
  </w:abstractNum>
  <w:abstractNum w:abstractNumId="62">
    <w:nsid w:val="631F1690"/>
    <w:multiLevelType w:val="hybridMultilevel"/>
    <w:lvl w:ilvl="0">
      <w:lvlJc w:val="left"/>
      <w:lvlText w:val="•"/>
      <w:numFmt w:val="bullet"/>
      <w:start w:val="1"/>
    </w:lvl>
  </w:abstractNum>
  <w:abstractNum w:abstractNumId="63">
    <w:nsid w:val="25973E32"/>
    <w:multiLevelType w:val="hybridMultilevel"/>
    <w:lvl w:ilvl="0">
      <w:lvlJc w:val="left"/>
      <w:lvlText w:val="•"/>
      <w:numFmt w:val="bullet"/>
      <w:start w:val="1"/>
    </w:lvl>
  </w:abstractNum>
  <w:abstractNum w:abstractNumId="64">
    <w:nsid w:val="EAD6F57"/>
    <w:multiLevelType w:val="hybridMultilevel"/>
    <w:lvl w:ilvl="0">
      <w:lvlJc w:val="left"/>
      <w:lvlText w:val="•"/>
      <w:numFmt w:val="bullet"/>
      <w:start w:val="1"/>
    </w:lvl>
  </w:abstractNum>
  <w:abstractNum w:abstractNumId="65">
    <w:nsid w:val="6EC9D844"/>
    <w:multiLevelType w:val="hybridMultilevel"/>
    <w:lvl w:ilvl="0">
      <w:lvlJc w:val="left"/>
      <w:lvlText w:val="•"/>
      <w:numFmt w:val="bullet"/>
      <w:start w:val="1"/>
    </w:lvl>
  </w:abstractNum>
  <w:abstractNum w:abstractNumId="66">
    <w:nsid w:val="5C49EAEE"/>
    <w:multiLevelType w:val="hybridMultilevel"/>
    <w:lvl w:ilvl="0">
      <w:lvlJc w:val="left"/>
      <w:lvlText w:val="•"/>
      <w:numFmt w:val="bullet"/>
      <w:start w:val="1"/>
    </w:lvl>
  </w:abstractNum>
  <w:abstractNum w:abstractNumId="67">
    <w:nsid w:val="64AF49B"/>
    <w:multiLevelType w:val="hybridMultilevel"/>
    <w:lvl w:ilvl="0">
      <w:lvlJc w:val="left"/>
      <w:lvlText w:val="•"/>
      <w:numFmt w:val="bullet"/>
      <w:start w:val="1"/>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1)"/>
      <w:numFmt w:val="decimal"/>
      <w:start w:val="1"/>
    </w:lvl>
  </w:abstractNum>
  <w:abstractNum w:abstractNumId="70">
    <w:nsid w:val="5A9CC3E5"/>
    <w:multiLevelType w:val="hybridMultilevel"/>
    <w:lvl w:ilvl="0">
      <w:lvlJc w:val="left"/>
      <w:lvlText w:val="•"/>
      <w:numFmt w:val="bullet"/>
      <w:start w:val="1"/>
    </w:lvl>
  </w:abstractNum>
  <w:abstractNum w:abstractNumId="71">
    <w:nsid w:val="1AFE3625"/>
    <w:multiLevelType w:val="hybridMultilevel"/>
    <w:lvl w:ilvl="0">
      <w:lvlJc w:val="left"/>
      <w:lvlText w:val="(%1)"/>
      <w:numFmt w:val="decimal"/>
      <w:start w:val="1"/>
    </w:lvl>
  </w:abstractNum>
  <w:abstractNum w:abstractNumId="72">
    <w:nsid w:val="3CA88ECF"/>
    <w:multiLevelType w:val="hybridMultilevel"/>
    <w:lvl w:ilvl="0">
      <w:lvlJc w:val="left"/>
      <w:lvlText w:val="•"/>
      <w:numFmt w:val="bullet"/>
      <w:start w:val="1"/>
    </w:lvl>
  </w:abstractNum>
  <w:abstractNum w:abstractNumId="73">
    <w:nsid w:val="6EBE4208"/>
    <w:multiLevelType w:val="hybridMultilevel"/>
    <w:lvl w:ilvl="0">
      <w:lvlJc w:val="left"/>
      <w:lvlText w:val="(%1)"/>
      <w:numFmt w:val="decimal"/>
      <w:start w:val="1"/>
    </w:lvl>
  </w:abstractNum>
  <w:abstractNum w:abstractNumId="74">
    <w:nsid w:val="C058DF5"/>
    <w:multiLevelType w:val="hybridMultilevel"/>
    <w:lvl w:ilvl="0">
      <w:lvlJc w:val="left"/>
      <w:lvlText w:val="•"/>
      <w:numFmt w:val="bullet"/>
      <w:start w:val="1"/>
    </w:lvl>
  </w:abstractNum>
  <w:abstractNum w:abstractNumId="75">
    <w:nsid w:val="CBE5BE9"/>
    <w:multiLevelType w:val="hybridMultilevel"/>
    <w:lvl w:ilvl="0">
      <w:lvlJc w:val="left"/>
      <w:lvlText w:val="•"/>
      <w:numFmt w:val="bullet"/>
      <w:start w:val="1"/>
    </w:lvl>
  </w:abstractNum>
  <w:abstractNum w:abstractNumId="76">
    <w:nsid w:val="3102BBE2"/>
    <w:multiLevelType w:val="hybridMultilevel"/>
    <w:lvl w:ilvl="0">
      <w:lvlJc w:val="left"/>
      <w:lvlText w:val="•"/>
      <w:numFmt w:val="bullet"/>
      <w:start w:val="1"/>
    </w:lvl>
  </w:abstractNum>
  <w:abstractNum w:abstractNumId="77">
    <w:nsid w:val="26A02C5E"/>
    <w:multiLevelType w:val="hybridMultilevel"/>
    <w:lvl w:ilvl="0">
      <w:lvlJc w:val="left"/>
      <w:lvlText w:val="•"/>
      <w:numFmt w:val="bullet"/>
      <w:start w:val="1"/>
    </w:lvl>
  </w:abstractNum>
  <w:abstractNum w:abstractNumId="78">
    <w:nsid w:val="541C8153"/>
    <w:multiLevelType w:val="hybridMultilevel"/>
    <w:lvl w:ilvl="0">
      <w:lvlJc w:val="left"/>
      <w:lvlText w:val="(%1)"/>
      <w:numFmt w:val="decimal"/>
      <w:start w:val="1"/>
    </w:lvl>
  </w:abstractNum>
  <w:abstractNum w:abstractNumId="79">
    <w:nsid w:val="67906F60"/>
    <w:multiLevelType w:val="hybridMultilevel"/>
    <w:lvl w:ilvl="0">
      <w:lvlJc w:val="left"/>
      <w:lvlText w:val="(%1)"/>
      <w:numFmt w:val="decimal"/>
      <w:start w:val="4"/>
    </w:lvl>
  </w:abstractNum>
  <w:abstractNum w:abstractNumId="80">
    <w:nsid w:val="10DB9DAA"/>
    <w:multiLevelType w:val="hybridMultilevel"/>
    <w:lvl w:ilvl="0">
      <w:lvlJc w:val="left"/>
      <w:lvlText w:val="•"/>
      <w:numFmt w:val="bullet"/>
      <w:start w:val="1"/>
    </w:lvl>
  </w:abstractNum>
  <w:abstractNum w:abstractNumId="81">
    <w:nsid w:val="697D2D2"/>
    <w:multiLevelType w:val="hybridMultilevel"/>
    <w:lvl w:ilvl="0">
      <w:lvlJc w:val="left"/>
      <w:lvlText w:val="(%1)"/>
      <w:numFmt w:val="decimal"/>
      <w:start w:val="1"/>
    </w:lvl>
  </w:abstractNum>
  <w:abstractNum w:abstractNumId="82">
    <w:nsid w:val="6D68AB2"/>
    <w:multiLevelType w:val="hybridMultilevel"/>
    <w:lvl w:ilvl="0">
      <w:lvlJc w:val="left"/>
      <w:lvlText w:val="•"/>
      <w:numFmt w:val="bullet"/>
      <w:start w:val="1"/>
    </w:lvl>
  </w:abstractNum>
  <w:abstractNum w:abstractNumId="83">
    <w:nsid w:val="3A966CD0"/>
    <w:multiLevelType w:val="hybridMultilevel"/>
    <w:lvl w:ilvl="0">
      <w:lvlJc w:val="left"/>
      <w:lvlText w:val="†"/>
      <w:numFmt w:val="bullet"/>
      <w:start w:val="1"/>
    </w:lvl>
  </w:abstractNum>
  <w:abstractNum w:abstractNumId="84">
    <w:nsid w:val="63F37E85"/>
    <w:multiLevelType w:val="hybridMultilevel"/>
    <w:lvl w:ilvl="0">
      <w:lvlJc w:val="left"/>
      <w:lvlText w:val="#"/>
      <w:numFmt w:val="bullet"/>
      <w:start w:val="1"/>
    </w:lvl>
  </w:abstractNum>
  <w:abstractNum w:abstractNumId="85">
    <w:nsid w:val="5895F5FA"/>
    <w:multiLevelType w:val="hybridMultilevel"/>
    <w:lvl w:ilvl="0">
      <w:lvlJc w:val="left"/>
      <w:lvlText w:val="%1."/>
      <w:numFmt w:val="decimal"/>
      <w:start w:val="1"/>
    </w:lvl>
  </w:abstractNum>
  <w:abstractNum w:abstractNumId="86">
    <w:nsid w:val="38A5D054"/>
    <w:multiLevelType w:val="hybridMultilevel"/>
    <w:lvl w:ilvl="0">
      <w:lvlJc w:val="left"/>
      <w:lvlText w:val="%1."/>
      <w:numFmt w:val="decimal"/>
      <w:start w:val="2"/>
    </w:lvl>
  </w:abstractNum>
  <w:abstractNum w:abstractNumId="87">
    <w:nsid w:val="F3F09D8"/>
    <w:multiLevelType w:val="hybridMultilevel"/>
    <w:lvl w:ilvl="0">
      <w:lvlJc w:val="left"/>
      <w:lvlText w:val="•"/>
      <w:numFmt w:val="bullet"/>
      <w:start w:val="1"/>
    </w:lvl>
  </w:abstractNum>
  <w:abstractNum w:abstractNumId="88">
    <w:nsid w:val="4B793735"/>
    <w:multiLevelType w:val="hybridMultilevel"/>
    <w:lvl w:ilvl="0">
      <w:lvlJc w:val="left"/>
      <w:lvlText w:val="•"/>
      <w:numFmt w:val="bullet"/>
      <w:start w:val="1"/>
    </w:lvl>
  </w:abstractNum>
  <w:abstractNum w:abstractNumId="89">
    <w:nsid w:val="4A10B4E8"/>
    <w:multiLevelType w:val="hybridMultilevel"/>
    <w:lvl w:ilvl="0">
      <w:lvlJc w:val="left"/>
      <w:lvlText w:val="•"/>
      <w:numFmt w:val="bullet"/>
      <w:start w:val="1"/>
    </w:lvl>
  </w:abstractNum>
  <w:abstractNum w:abstractNumId="90">
    <w:nsid w:val="43D3BCD4"/>
    <w:multiLevelType w:val="hybridMultilevel"/>
    <w:lvl w:ilvl="0">
      <w:lvlJc w:val="left"/>
      <w:lvlText w:val="•"/>
      <w:numFmt w:val="bullet"/>
      <w:start w:val="1"/>
    </w:lvl>
  </w:abstractNum>
  <w:abstractNum w:abstractNumId="91">
    <w:nsid w:val="4C2A7166"/>
    <w:multiLevelType w:val="hybridMultilevel"/>
    <w:lvl w:ilvl="0">
      <w:lvlJc w:val="left"/>
      <w:lvlText w:val="•"/>
      <w:numFmt w:val="bullet"/>
      <w:start w:val="1"/>
    </w:lvl>
  </w:abstractNum>
  <w:abstractNum w:abstractNumId="92">
    <w:nsid w:val="2E534A82"/>
    <w:multiLevelType w:val="hybridMultilevel"/>
    <w:lvl w:ilvl="0">
      <w:lvlJc w:val="left"/>
      <w:lvlText w:val="%1."/>
      <w:numFmt w:val="decimal"/>
      <w:start w:val="3"/>
    </w:lvl>
  </w:abstractNum>
  <w:abstractNum w:abstractNumId="93">
    <w:nsid w:val="26F2D364"/>
    <w:multiLevelType w:val="hybridMultilevel"/>
    <w:lvl w:ilvl="0">
      <w:lvlJc w:val="left"/>
      <w:lvlText w:val="(%1)"/>
      <w:numFmt w:val="decimal"/>
      <w:start w:val="1"/>
    </w:lvl>
  </w:abstractNum>
  <w:abstractNum w:abstractNumId="94">
    <w:nsid w:val="71C1AF98"/>
    <w:multiLevelType w:val="hybridMultilevel"/>
    <w:lvl w:ilvl="0">
      <w:lvlJc w:val="left"/>
      <w:lvlText w:val="(%1)"/>
      <w:numFmt w:val="decimal"/>
      <w:start w:val="1"/>
    </w:lvl>
  </w:abstractNum>
  <w:abstractNum w:abstractNumId="95">
    <w:nsid w:val="3D00B9D9"/>
    <w:multiLevelType w:val="hybridMultilevel"/>
    <w:lvl w:ilvl="0">
      <w:lvlJc w:val="left"/>
      <w:lvlText w:val="%1."/>
      <w:numFmt w:val="decimal"/>
      <w:start w:val="1"/>
    </w:lvl>
  </w:abstractNum>
  <w:abstractNum w:abstractNumId="96">
    <w:nsid w:val="15BCABA8"/>
    <w:multiLevelType w:val="hybridMultilevel"/>
    <w:lvl w:ilvl="0">
      <w:lvlJc w:val="left"/>
      <w:lvlText w:val="•"/>
      <w:numFmt w:val="bullet"/>
      <w:start w:val="1"/>
    </w:lvl>
  </w:abstractNum>
  <w:abstractNum w:abstractNumId="97">
    <w:nsid w:val="4E0B9A87"/>
    <w:multiLevelType w:val="hybridMultilevel"/>
    <w:lvl w:ilvl="0">
      <w:lvlJc w:val="left"/>
      <w:lvlText w:val="•"/>
      <w:numFmt w:val="bullet"/>
      <w:start w:val="1"/>
    </w:lvl>
  </w:abstractNum>
  <w:abstractNum w:abstractNumId="98">
    <w:nsid w:val="434BAE75"/>
    <w:multiLevelType w:val="hybridMultilevel"/>
    <w:lvl w:ilvl="0">
      <w:lvlJc w:val="left"/>
      <w:lvlText w:val="(%1)"/>
      <w:numFmt w:val="decimal"/>
      <w:start w:val="1"/>
    </w:lvl>
  </w:abstractNum>
  <w:abstractNum w:abstractNumId="99">
    <w:nsid w:val="4F38F265"/>
    <w:multiLevelType w:val="hybridMultilevel"/>
    <w:lvl w:ilvl="0">
      <w:lvlJc w:val="left"/>
      <w:lvlText w:val="%1."/>
      <w:numFmt w:val="decimal"/>
      <w:start w:val="25"/>
    </w:lvl>
  </w:abstractNum>
  <w:abstractNum w:abstractNumId="100">
    <w:nsid w:val="4C502870"/>
    <w:multiLevelType w:val="hybridMultilevel"/>
    <w:lvl w:ilvl="0">
      <w:lvlJc w:val="left"/>
      <w:lvlText w:val="2"/>
      <w:numFmt w:val="bullet"/>
      <w:start w:val="1"/>
    </w:lvl>
  </w:abstractNum>
  <w:abstractNum w:abstractNumId="101">
    <w:nsid w:val="1DE8725A"/>
    <w:multiLevelType w:val="hybridMultilevel"/>
    <w:lvl w:ilvl="0">
      <w:lvlJc w:val="left"/>
      <w:lvlText w:val="2"/>
      <w:numFmt w:val="bullet"/>
      <w:start w:val="1"/>
    </w:lvl>
  </w:abstractNum>
  <w:abstractNum w:abstractNumId="102">
    <w:nsid w:val="6A37288A"/>
    <w:multiLevelType w:val="hybridMultilevel"/>
    <w:lvl w:ilvl="0">
      <w:lvlJc w:val="left"/>
      <w:lvlText w:val="3"/>
      <w:numFmt w:val="bullet"/>
      <w:start w:val="1"/>
    </w:lvl>
  </w:abstractNum>
  <w:abstractNum w:abstractNumId="103">
    <w:nsid w:val="8F8B73F"/>
    <w:multiLevelType w:val="hybridMultilevel"/>
    <w:lvl w:ilvl="0">
      <w:lvlJc w:val="left"/>
      <w:lvlText w:val="1"/>
      <w:numFmt w:val="bullet"/>
      <w:start w:val="1"/>
    </w:lvl>
  </w:abstractNum>
  <w:abstractNum w:abstractNumId="104">
    <w:nsid w:val="CA6B462"/>
    <w:multiLevelType w:val="hybridMultilevel"/>
    <w:lvl w:ilvl="0">
      <w:lvlJc w:val="left"/>
      <w:lvlText w:val="2"/>
      <w:numFmt w:val="bullet"/>
      <w:start w:val="1"/>
    </w:lvl>
  </w:abstractNum>
  <w:abstractNum w:abstractNumId="105">
    <w:nsid w:val="763CB680"/>
    <w:multiLevelType w:val="hybridMultilevel"/>
    <w:lvl w:ilvl="0">
      <w:lvlJc w:val="left"/>
      <w:lvlText w:val="4"/>
      <w:numFmt w:val="bullet"/>
      <w:start w:val="1"/>
    </w:lvl>
  </w:abstractNum>
  <w:abstractNum w:abstractNumId="106">
    <w:nsid w:val="15B71329"/>
    <w:multiLevelType w:val="hybridMultilevel"/>
    <w:lvl w:ilvl="0">
      <w:lvlJc w:val="left"/>
      <w:lvlText w:val="4"/>
      <w:numFmt w:val="bullet"/>
      <w:start w:val="1"/>
    </w:lvl>
  </w:abstractNum>
  <w:abstractNum w:abstractNumId="107">
    <w:nsid w:val="3DA97044"/>
    <w:multiLevelType w:val="hybridMultilevel"/>
    <w:lvl w:ilvl="0">
      <w:lvlJc w:val="left"/>
      <w:lvlText w:val="2"/>
      <w:numFmt w:val="bullet"/>
      <w:start w:val="1"/>
    </w:lvl>
  </w:abstractNum>
  <w:abstractNum w:abstractNumId="108">
    <w:nsid w:val="1CDCE2DE"/>
    <w:multiLevelType w:val="hybridMultilevel"/>
    <w:lvl w:ilvl="0">
      <w:lvlJc w:val="left"/>
      <w:lvlText w:val="3"/>
      <w:numFmt w:val="bullet"/>
      <w:start w:val="1"/>
    </w:lvl>
  </w:abstractNum>
  <w:abstractNum w:abstractNumId="109">
    <w:nsid w:val="69D3947C"/>
    <w:multiLevelType w:val="hybridMultilevel"/>
    <w:lvl w:ilvl="0">
      <w:lvlJc w:val="left"/>
      <w:lvlText w:val="4"/>
      <w:numFmt w:val="bullet"/>
      <w:start w:val="1"/>
    </w:lvl>
    <w:lvl w:ilvl="1">
      <w:lvlJc w:val="left"/>
      <w:lvlText w:val="(%2)"/>
      <w:numFmt w:val="lowerLetter"/>
      <w:start w:val="1"/>
    </w:lvl>
  </w:abstractNum>
  <w:abstractNum w:abstractNumId="110">
    <w:nsid w:val="2539DFA5"/>
    <w:multiLevelType w:val="hybridMultilevel"/>
    <w:lvl w:ilvl="0">
      <w:lvlJc w:val="left"/>
      <w:lvlText w:val="3"/>
      <w:numFmt w:val="bullet"/>
      <w:start w:val="1"/>
    </w:lvl>
  </w:abstractNum>
  <w:abstractNum w:abstractNumId="111">
    <w:nsid w:val="2DB88089"/>
    <w:multiLevelType w:val="hybridMultilevel"/>
    <w:lvl w:ilvl="0">
      <w:lvlJc w:val="left"/>
      <w:lvlText w:val="4"/>
      <w:numFmt w:val="bullet"/>
      <w:start w:val="1"/>
    </w:lvl>
    <w:lvl w:ilvl="1">
      <w:lvlJc w:val="left"/>
      <w:lvlText w:val="(%2)"/>
      <w:numFmt w:val="lowerLetter"/>
      <w:start w:val="1"/>
    </w:lvl>
  </w:abstractNum>
  <w:abstractNum w:abstractNumId="112">
    <w:nsid w:val="706B674E"/>
    <w:multiLevelType w:val="hybridMultilevel"/>
    <w:lvl w:ilvl="0">
      <w:lvlJc w:val="left"/>
      <w:lvlText w:val="(%1)"/>
      <w:numFmt w:val="lowerLetter"/>
      <w:start w:val="7"/>
    </w:lvl>
  </w:abstractNum>
  <w:abstractNum w:abstractNumId="113">
    <w:nsid w:val="2C106A57"/>
    <w:multiLevelType w:val="hybridMultilevel"/>
    <w:lvl w:ilvl="0">
      <w:lvlJc w:val="left"/>
      <w:lvlText w:val="(%1)"/>
      <w:numFmt w:val="lowerLetter"/>
      <w:start w:val="7"/>
    </w:lvl>
  </w:abstractNum>
  <w:abstractNum w:abstractNumId="114">
    <w:nsid w:val="684EED59"/>
    <w:multiLevelType w:val="hybridMultilevel"/>
    <w:lvl w:ilvl="0">
      <w:lvlJc w:val="left"/>
      <w:lvlText w:val="5"/>
      <w:numFmt w:val="bullet"/>
      <w:start w:val="1"/>
    </w:lvl>
  </w:abstractNum>
  <w:abstractNum w:abstractNumId="115">
    <w:nsid w:val="545EE5D3"/>
    <w:multiLevelType w:val="hybridMultilevel"/>
    <w:lvl w:ilvl="0">
      <w:lvlJc w:val="left"/>
      <w:lvlText w:val="5"/>
      <w:numFmt w:val="bullet"/>
      <w:start w:val="1"/>
    </w:lvl>
  </w:abstractNum>
  <w:abstractNum w:abstractNumId="116">
    <w:nsid w:val="4A66051"/>
    <w:multiLevelType w:val="hybridMultilevel"/>
    <w:lvl w:ilvl="0">
      <w:lvlJc w:val="left"/>
      <w:lvlText w:val="6"/>
      <w:numFmt w:val="bullet"/>
      <w:start w:val="1"/>
    </w:lvl>
  </w:abstractNum>
  <w:abstractNum w:abstractNumId="117">
    <w:nsid w:val="20F4BDAD"/>
    <w:multiLevelType w:val="hybridMultilevel"/>
    <w:lvl w:ilvl="0">
      <w:lvlJc w:val="left"/>
      <w:lvlText w:val="7"/>
      <w:numFmt w:val="bullet"/>
      <w:start w:val="1"/>
    </w:lvl>
  </w:abstractNum>
  <w:abstractNum w:abstractNumId="118">
    <w:nsid w:val="639DEFAC"/>
    <w:multiLevelType w:val="hybridMultilevel"/>
    <w:lvl w:ilvl="0">
      <w:lvlJc w:val="left"/>
      <w:lvlText w:val="2"/>
      <w:numFmt w:val="bullet"/>
      <w:start w:val="1"/>
    </w:lvl>
  </w:abstractNum>
  <w:abstractNum w:abstractNumId="119">
    <w:nsid w:val="501F9786"/>
    <w:multiLevelType w:val="hybridMultilevel"/>
    <w:lvl w:ilvl="0">
      <w:lvlJc w:val="left"/>
      <w:lvlText w:val="3"/>
      <w:numFmt w:val="bullet"/>
      <w:start w:val="1"/>
    </w:lvl>
  </w:abstractNum>
  <w:abstractNum w:abstractNumId="120">
    <w:nsid w:val="6B057295"/>
    <w:multiLevelType w:val="hybridMultilevel"/>
    <w:lvl w:ilvl="0">
      <w:lvlJc w:val="left"/>
      <w:lvlText w:val="3"/>
      <w:numFmt w:val="bullet"/>
      <w:start w:val="1"/>
    </w:lvl>
  </w:abstractNum>
  <w:abstractNum w:abstractNumId="121">
    <w:nsid w:val="2771AC80"/>
    <w:multiLevelType w:val="hybridMultilevel"/>
    <w:lvl w:ilvl="0">
      <w:lvlJc w:val="left"/>
      <w:lvlText w:val="4"/>
      <w:numFmt w:val="bullet"/>
      <w:start w:val="1"/>
    </w:lvl>
  </w:abstractNum>
  <w:abstractNum w:abstractNumId="122">
    <w:nsid w:val="1C4A08EC"/>
    <w:multiLevelType w:val="hybridMultilevel"/>
    <w:lvl w:ilvl="0">
      <w:lvlJc w:val="left"/>
      <w:lvlText w:val="2"/>
      <w:numFmt w:val="bullet"/>
      <w:start w:val="1"/>
    </w:lvl>
  </w:abstractNum>
  <w:abstractNum w:abstractNumId="123">
    <w:nsid w:val="1958BD17"/>
    <w:multiLevelType w:val="hybridMultilevel"/>
    <w:lvl w:ilvl="0">
      <w:lvlJc w:val="left"/>
      <w:lvlText w:val="2"/>
      <w:numFmt w:val="bullet"/>
      <w:start w:val="1"/>
    </w:lvl>
  </w:abstractNum>
  <w:abstractNum w:abstractNumId="124">
    <w:nsid w:val="4E647FE4"/>
    <w:multiLevelType w:val="hybridMultilevel"/>
    <w:lvl w:ilvl="0">
      <w:lvlJc w:val="left"/>
      <w:lvlText w:val="(%1)"/>
      <w:numFmt w:val="lowerLetter"/>
      <w:start w:val="1"/>
    </w:lvl>
  </w:abstractNum>
  <w:abstractNum w:abstractNumId="125">
    <w:nsid w:val="E0BB885"/>
    <w:multiLevelType w:val="hybridMultilevel"/>
    <w:lvl w:ilvl="0">
      <w:lvlJc w:val="left"/>
      <w:lvlText w:val="4"/>
      <w:numFmt w:val="bullet"/>
      <w:start w:val="1"/>
    </w:lvl>
  </w:abstractNum>
  <w:abstractNum w:abstractNumId="126">
    <w:nsid w:val="565976F1"/>
    <w:multiLevelType w:val="hybridMultilevel"/>
    <w:lvl w:ilvl="0">
      <w:lvlJc w:val="left"/>
      <w:lvlText w:val="(%1)"/>
      <w:numFmt w:val="lowerLetter"/>
      <w:start w:val="1"/>
    </w:lvl>
  </w:abstractNum>
  <w:abstractNum w:abstractNumId="127">
    <w:nsid w:val="64212B8C"/>
    <w:multiLevelType w:val="hybridMultilevel"/>
    <w:lvl w:ilvl="0">
      <w:lvlJc w:val="left"/>
      <w:lvlText w:val="4"/>
      <w:numFmt w:val="bullet"/>
      <w:start w:val="1"/>
    </w:lvl>
  </w:abstractNum>
  <w:abstractNum w:abstractNumId="128">
    <w:nsid w:val="5C17530C"/>
    <w:multiLevelType w:val="hybridMultilevel"/>
    <w:lvl w:ilvl="0">
      <w:lvlJc w:val="left"/>
      <w:lvlText w:val="2"/>
      <w:numFmt w:val="bullet"/>
      <w:start w:val="1"/>
    </w:lvl>
  </w:abstractNum>
  <w:abstractNum w:abstractNumId="129">
    <w:nsid w:val="19A52566"/>
    <w:multiLevelType w:val="hybridMultilevel"/>
    <w:lvl w:ilvl="0">
      <w:lvlJc w:val="left"/>
      <w:lvlText w:val="3"/>
      <w:numFmt w:val="bullet"/>
      <w:start w:val="1"/>
    </w:lvl>
  </w:abstractNum>
  <w:abstractNum w:abstractNumId="130">
    <w:nsid w:val="335A1DF1"/>
    <w:multiLevelType w:val="hybridMultilevel"/>
    <w:lvl w:ilvl="0">
      <w:lvlJc w:val="left"/>
      <w:lvlText w:val="5"/>
      <w:numFmt w:val="bullet"/>
      <w:start w:val="1"/>
    </w:lvl>
  </w:abstractNum>
  <w:abstractNum w:abstractNumId="131">
    <w:nsid w:val="28677B7C"/>
    <w:multiLevelType w:val="hybridMultilevel"/>
    <w:lvl w:ilvl="0">
      <w:lvlJc w:val="left"/>
      <w:lvlText w:val="3"/>
      <w:numFmt w:val="bullet"/>
      <w:start w:val="1"/>
    </w:lvl>
  </w:abstractNum>
  <w:abstractNum w:abstractNumId="132">
    <w:nsid w:val="378D97C0"/>
    <w:multiLevelType w:val="hybridMultilevel"/>
    <w:lvl w:ilvl="0">
      <w:lvlJc w:val="left"/>
      <w:lvlText w:val="4"/>
      <w:numFmt w:val="bullet"/>
      <w:start w:val="1"/>
    </w:lvl>
  </w:abstractNum>
  <w:abstractNum w:abstractNumId="133">
    <w:nsid w:val="1D91467C"/>
    <w:multiLevelType w:val="hybridMultilevel"/>
    <w:lvl w:ilvl="0">
      <w:lvlJc w:val="left"/>
      <w:lvlText w:val="5"/>
      <w:numFmt w:val="bullet"/>
      <w:start w:val="1"/>
    </w:lvl>
  </w:abstractNum>
  <w:abstractNum w:abstractNumId="134">
    <w:nsid w:val="316032BB"/>
    <w:multiLevelType w:val="hybridMultilevel"/>
    <w:lvl w:ilvl="0">
      <w:lvlJc w:val="left"/>
      <w:lvlText w:val="(%1)"/>
      <w:numFmt w:val="lowerLetter"/>
      <w:start w:val="1"/>
    </w:lvl>
  </w:abstractNum>
  <w:abstractNum w:abstractNumId="135">
    <w:nsid w:val="44344C22"/>
    <w:multiLevelType w:val="hybridMultilevel"/>
    <w:lvl w:ilvl="0">
      <w:lvlJc w:val="left"/>
      <w:lvlText w:val="(%1)"/>
      <w:numFmt w:val="lowerLetter"/>
      <w:start w:val="1"/>
    </w:lvl>
  </w:abstractNum>
  <w:abstractNum w:abstractNumId="136">
    <w:nsid w:val="13CDFCFC"/>
    <w:multiLevelType w:val="hybridMultilevel"/>
    <w:lvl w:ilvl="0">
      <w:lvlJc w:val="left"/>
      <w:lvlText w:val="(%1)"/>
      <w:numFmt w:val="lowerLetter"/>
      <w:start w:val="1"/>
    </w:lvl>
  </w:abstractNum>
  <w:abstractNum w:abstractNumId="137">
    <w:nsid w:val="471745E4"/>
    <w:multiLevelType w:val="hybridMultilevel"/>
    <w:lvl w:ilvl="0">
      <w:lvlJc w:val="left"/>
      <w:lvlText w:val="2"/>
      <w:numFmt w:val="bullet"/>
      <w:start w:val="1"/>
    </w:lvl>
  </w:abstractNum>
  <w:abstractNum w:abstractNumId="138">
    <w:nsid w:val="1DDBC66"/>
    <w:multiLevelType w:val="hybridMultilevel"/>
    <w:lvl w:ilvl="0">
      <w:lvlJc w:val="left"/>
      <w:lvlText w:val="3"/>
      <w:numFmt w:val="bullet"/>
      <w:start w:val="1"/>
    </w:lvl>
  </w:abstractNum>
  <w:abstractNum w:abstractNumId="139">
    <w:nsid w:val="30AADFDA"/>
    <w:multiLevelType w:val="hybridMultilevel"/>
    <w:lvl w:ilvl="0">
      <w:lvlJc w:val="left"/>
      <w:lvlText w:val="2"/>
      <w:numFmt w:val="bullet"/>
      <w:start w:val="1"/>
    </w:lvl>
  </w:abstractNum>
  <w:abstractNum w:abstractNumId="140">
    <w:nsid w:val="30EADA61"/>
    <w:multiLevelType w:val="hybridMultilevel"/>
    <w:lvl w:ilvl="0">
      <w:lvlJc w:val="left"/>
      <w:lvlText w:val="3"/>
      <w:numFmt w:val="bullet"/>
      <w:start w:val="1"/>
    </w:lvl>
  </w:abstractNum>
  <w:abstractNum w:abstractNumId="141">
    <w:nsid w:val="27179C0B"/>
    <w:multiLevelType w:val="hybridMultilevel"/>
    <w:lvl w:ilvl="0">
      <w:lvlJc w:val="left"/>
      <w:lvlText w:val="4"/>
      <w:numFmt w:val="bullet"/>
      <w:start w:val="1"/>
    </w:lvl>
  </w:abstractNum>
  <w:abstractNum w:abstractNumId="142">
    <w:nsid w:val="5E636063"/>
    <w:multiLevelType w:val="hybridMultilevel"/>
    <w:lvl w:ilvl="0">
      <w:lvlJc w:val="left"/>
      <w:lvlText w:val="3"/>
      <w:numFmt w:val="bullet"/>
      <w:start w:val="1"/>
    </w:lvl>
  </w:abstractNum>
  <w:abstractNum w:abstractNumId="143">
    <w:nsid w:val="215641AF"/>
    <w:multiLevelType w:val="hybridMultilevel"/>
    <w:lvl w:ilvl="0">
      <w:lvlJc w:val="left"/>
      <w:lvlText w:val="4"/>
      <w:numFmt w:val="bullet"/>
      <w:start w:val="1"/>
    </w:lvl>
  </w:abstractNum>
  <w:abstractNum w:abstractNumId="144">
    <w:nsid w:val="53280662"/>
    <w:multiLevelType w:val="hybridMultilevel"/>
    <w:lvl w:ilvl="0">
      <w:lvlJc w:val="left"/>
      <w:lvlText w:val="(%1)"/>
      <w:numFmt w:val="lowerLetter"/>
      <w:start w:val="1"/>
    </w:lvl>
  </w:abstractNum>
  <w:abstractNum w:abstractNumId="145">
    <w:nsid w:val="46B24DBC"/>
    <w:multiLevelType w:val="hybridMultilevel"/>
    <w:lvl w:ilvl="0">
      <w:lvlJc w:val="left"/>
      <w:lvlText w:val="2"/>
      <w:numFmt w:val="bullet"/>
      <w:start w:val="1"/>
    </w:lvl>
    <w:lvl w:ilvl="1">
      <w:lvlJc w:val="left"/>
      <w:lvlText w:val="(%2)"/>
      <w:numFmt w:val="lowerLetter"/>
      <w:start w:val="1"/>
    </w:lvl>
  </w:abstractNum>
  <w:abstractNum w:abstractNumId="146">
    <w:nsid w:val="75B52783"/>
    <w:multiLevelType w:val="hybridMultilevel"/>
    <w:lvl w:ilvl="0">
      <w:lvlJc w:val="left"/>
      <w:lvlText w:val="3"/>
      <w:numFmt w:val="bullet"/>
      <w:start w:val="1"/>
    </w:lvl>
  </w:abstractNum>
  <w:abstractNum w:abstractNumId="147">
    <w:nsid w:val="57CE66B4"/>
    <w:multiLevelType w:val="hybridMultilevel"/>
    <w:lvl w:ilvl="0">
      <w:lvlJc w:val="left"/>
      <w:lvlText w:val="3"/>
      <w:numFmt w:val="bullet"/>
      <w:start w:val="1"/>
    </w:lvl>
  </w:abstractNum>
  <w:abstractNum w:abstractNumId="148">
    <w:nsid w:val="67A70B69"/>
    <w:multiLevelType w:val="hybridMultilevel"/>
    <w:lvl w:ilvl="0">
      <w:lvlJc w:val="left"/>
      <w:lvlText w:val="2"/>
      <w:numFmt w:val="bullet"/>
      <w:start w:val="1"/>
    </w:lvl>
  </w:abstractNum>
  <w:abstractNum w:abstractNumId="149">
    <w:nsid w:val="5953172F"/>
    <w:multiLevelType w:val="hybridMultilevel"/>
    <w:lvl w:ilvl="0">
      <w:lvlJc w:val="left"/>
      <w:lvlText w:val="2"/>
      <w:numFmt w:val="bullet"/>
      <w:start w:val="1"/>
    </w:lvl>
  </w:abstractNum>
  <w:abstractNum w:abstractNumId="150">
    <w:nsid w:val="27EDFE3A"/>
    <w:multiLevelType w:val="hybridMultilevel"/>
    <w:lvl w:ilvl="0">
      <w:lvlJc w:val="left"/>
      <w:lvlText w:val="3"/>
      <w:numFmt w:val="bullet"/>
      <w:start w:val="1"/>
    </w:lvl>
  </w:abstractNum>
  <w:abstractNum w:abstractNumId="151">
    <w:nsid w:val="52AC7DFF"/>
    <w:multiLevelType w:val="hybridMultilevel"/>
    <w:lvl w:ilvl="0">
      <w:lvlJc w:val="left"/>
      <w:lvlText w:val="2"/>
      <w:numFmt w:val="bullet"/>
      <w:start w:val="1"/>
    </w:lvl>
  </w:abstractNum>
  <w:abstractNum w:abstractNumId="152">
    <w:nsid w:val="C4C3AF"/>
    <w:multiLevelType w:val="hybridMultilevel"/>
    <w:lvl w:ilvl="0">
      <w:lvlJc w:val="left"/>
      <w:lvlText w:val="3"/>
      <w:numFmt w:val="bullet"/>
      <w:start w:val="1"/>
    </w:lvl>
  </w:abstractNum>
  <w:abstractNum w:abstractNumId="153">
    <w:nsid w:val="44380727"/>
    <w:multiLevelType w:val="hybridMultilevel"/>
    <w:lvl w:ilvl="0">
      <w:lvlJc w:val="left"/>
      <w:lvlText w:val="2"/>
      <w:numFmt w:val="bullet"/>
      <w:start w:val="1"/>
    </w:lvl>
  </w:abstractNum>
  <w:abstractNum w:abstractNumId="154">
    <w:nsid w:val="6C053B16"/>
    <w:multiLevelType w:val="hybridMultilevel"/>
    <w:lvl w:ilvl="0">
      <w:lvlJc w:val="left"/>
      <w:lvlText w:val="3"/>
      <w:numFmt w:val="bullet"/>
      <w:start w:val="1"/>
    </w:lvl>
  </w:abstractNum>
  <w:abstractNum w:abstractNumId="155">
    <w:nsid w:val="4F294393"/>
    <w:multiLevelType w:val="hybridMultilevel"/>
    <w:lvl w:ilvl="0">
      <w:lvlJc w:val="left"/>
      <w:lvlText w:val="1"/>
      <w:numFmt w:val="bullet"/>
      <w:start w:val="1"/>
    </w:lvl>
  </w:abstractNum>
  <w:abstractNum w:abstractNumId="156">
    <w:nsid w:val="5243BFAC"/>
    <w:multiLevelType w:val="hybridMultilevel"/>
    <w:lvl w:ilvl="0">
      <w:lvlJc w:val="left"/>
      <w:lvlText w:val="2"/>
      <w:numFmt w:val="bullet"/>
      <w:start w:val="1"/>
    </w:lvl>
  </w:abstractNum>
  <w:abstractNum w:abstractNumId="157">
    <w:nsid w:val="425EB207"/>
    <w:multiLevelType w:val="hybridMultilevel"/>
    <w:lvl w:ilvl="0">
      <w:lvlJc w:val="left"/>
      <w:lvlText w:val="3"/>
      <w:numFmt w:val="bullet"/>
      <w:start w:val="1"/>
    </w:lvl>
  </w:abstractNum>
  <w:abstractNum w:abstractNumId="158">
    <w:nsid w:val="334A6F1F"/>
    <w:multiLevelType w:val="hybridMultilevel"/>
    <w:lvl w:ilvl="0">
      <w:lvlJc w:val="left"/>
      <w:lvlText w:val="2"/>
      <w:numFmt w:val="bullet"/>
      <w:start w:val="1"/>
    </w:lvl>
  </w:abstractNum>
  <w:abstractNum w:abstractNumId="159">
    <w:nsid w:val="2E5B12B8"/>
    <w:multiLevelType w:val="hybridMultilevel"/>
    <w:lvl w:ilvl="0">
      <w:lvlJc w:val="left"/>
      <w:lvlText w:val="3"/>
      <w:numFmt w:val="bullet"/>
      <w:start w:val="1"/>
    </w:lvl>
  </w:abstractNum>
  <w:abstractNum w:abstractNumId="160">
    <w:nsid w:val="5C03D76D"/>
    <w:multiLevelType w:val="hybridMultilevel"/>
    <w:lvl w:ilvl="0">
      <w:lvlJc w:val="left"/>
      <w:lvlText w:val="4"/>
      <w:numFmt w:val="bullet"/>
      <w:start w:val="1"/>
    </w:lvl>
  </w:abstractNum>
  <w:abstractNum w:abstractNumId="161">
    <w:nsid w:val="66A48D11"/>
    <w:multiLevelType w:val="hybridMultilevel"/>
    <w:lvl w:ilvl="0">
      <w:lvlJc w:val="left"/>
      <w:lvlText w:val="5"/>
      <w:numFmt w:val="bullet"/>
      <w:start w:val="1"/>
    </w:lvl>
  </w:abstractNum>
  <w:abstractNum w:abstractNumId="162">
    <w:nsid w:val="56C28E34"/>
    <w:multiLevelType w:val="hybridMultilevel"/>
    <w:lvl w:ilvl="0">
      <w:lvlJc w:val="left"/>
      <w:lvlText w:val="5"/>
      <w:numFmt w:val="bullet"/>
      <w:start w:val="1"/>
    </w:lvl>
  </w:abstractNum>
  <w:abstractNum w:abstractNumId="163">
    <w:nsid w:val="13916F2D"/>
    <w:multiLevelType w:val="hybridMultilevel"/>
    <w:lvl w:ilvl="0">
      <w:lvlJc w:val="left"/>
      <w:lvlText w:val="2"/>
      <w:numFmt w:val="bullet"/>
      <w:start w:val="1"/>
    </w:lvl>
    <w:lvl w:ilvl="1">
      <w:lvlJc w:val="left"/>
      <w:lvlText w:val="(%2)"/>
      <w:numFmt w:val="lowerLetter"/>
      <w:start w:val="1"/>
    </w:lvl>
  </w:abstractNum>
  <w:abstractNum w:abstractNumId="164">
    <w:nsid w:val="435D38D"/>
    <w:multiLevelType w:val="hybridMultilevel"/>
    <w:lvl w:ilvl="0">
      <w:lvlJc w:val="left"/>
      <w:lvlText w:val="(%1)"/>
      <w:numFmt w:val="lowerLetter"/>
      <w:start w:val="1"/>
    </w:lvl>
  </w:abstractNum>
  <w:abstractNum w:abstractNumId="165">
    <w:nsid w:val="822C0EF"/>
    <w:multiLevelType w:val="hybridMultilevel"/>
    <w:lvl w:ilvl="0">
      <w:lvlJc w:val="left"/>
      <w:lvlText w:val="3"/>
      <w:numFmt w:val="bullet"/>
      <w:start w:val="1"/>
    </w:lvl>
  </w:abstractNum>
  <w:abstractNum w:abstractNumId="166">
    <w:nsid w:val="57C5BB4F"/>
    <w:multiLevelType w:val="hybridMultilevel"/>
    <w:lvl w:ilvl="0">
      <w:lvlJc w:val="left"/>
      <w:lvlText w:val="2"/>
      <w:numFmt w:val="bullet"/>
      <w:start w:val="1"/>
    </w:lvl>
  </w:abstractNum>
  <w:abstractNum w:abstractNumId="167">
    <w:nsid w:val="1803D089"/>
    <w:multiLevelType w:val="hybridMultilevel"/>
    <w:lvl w:ilvl="0">
      <w:lvlJc w:val="left"/>
      <w:lvlText w:val="2"/>
      <w:numFmt w:val="bullet"/>
      <w:start w:val="1"/>
    </w:lvl>
  </w:abstractNum>
  <w:abstractNum w:abstractNumId="168">
    <w:nsid w:val="4F3A06D4"/>
    <w:multiLevelType w:val="hybridMultilevel"/>
    <w:lvl w:ilvl="0">
      <w:lvlJc w:val="left"/>
      <w:lvlText w:val="2"/>
      <w:numFmt w:val="bullet"/>
      <w:start w:val="1"/>
    </w:lvl>
  </w:abstractNum>
  <w:abstractNum w:abstractNumId="169">
    <w:nsid w:val="59A377B6"/>
    <w:multiLevelType w:val="hybridMultilevel"/>
    <w:lvl w:ilvl="0">
      <w:lvlJc w:val="left"/>
      <w:lvlText w:val="2"/>
      <w:numFmt w:val="bullet"/>
      <w:start w:val="1"/>
    </w:lvl>
  </w:abstractNum>
  <w:abstractNum w:abstractNumId="170">
    <w:nsid w:val="48AEB063"/>
    <w:multiLevelType w:val="hybridMultilevel"/>
    <w:lvl w:ilvl="0">
      <w:lvlJc w:val="left"/>
      <w:lvlText w:val="3"/>
      <w:numFmt w:val="bullet"/>
      <w:start w:val="1"/>
    </w:lvl>
  </w:abstractNum>
  <w:abstractNum w:abstractNumId="171">
    <w:nsid w:val="24E135"/>
    <w:multiLevelType w:val="hybridMultilevel"/>
    <w:lvl w:ilvl="0">
      <w:lvlJc w:val="left"/>
      <w:lvlText w:val="4"/>
      <w:numFmt w:val="bullet"/>
      <w:start w:val="1"/>
    </w:lvl>
  </w:abstractNum>
  <w:abstractNum w:abstractNumId="172">
    <w:nsid w:val="BB13C1"/>
    <w:multiLevelType w:val="hybridMultilevel"/>
    <w:lvl w:ilvl="0">
      <w:lvlJc w:val="left"/>
      <w:lvlText w:val="5"/>
      <w:numFmt w:val="bullet"/>
      <w:start w:val="1"/>
    </w:lvl>
  </w:abstractNum>
  <w:abstractNum w:abstractNumId="173">
    <w:nsid w:val="271210C7"/>
    <w:multiLevelType w:val="hybridMultilevel"/>
    <w:lvl w:ilvl="0">
      <w:lvlJc w:val="left"/>
      <w:lvlText w:val="6"/>
      <w:numFmt w:val="bullet"/>
      <w:start w:val="1"/>
    </w:lvl>
  </w:abstractNum>
  <w:abstractNum w:abstractNumId="174">
    <w:nsid w:val="217B22E4"/>
    <w:multiLevelType w:val="hybridMultilevel"/>
    <w:lvl w:ilvl="0">
      <w:lvlJc w:val="left"/>
      <w:lvlText w:val="7"/>
      <w:numFmt w:val="bullet"/>
      <w:start w:val="1"/>
    </w:lvl>
  </w:abstractNum>
  <w:abstractNum w:abstractNumId="175">
    <w:nsid w:val="53E31A24"/>
    <w:multiLevelType w:val="hybridMultilevel"/>
    <w:lvl w:ilvl="0">
      <w:lvlJc w:val="left"/>
      <w:lvlText w:val="5"/>
      <w:numFmt w:val="bullet"/>
      <w:start w:val="1"/>
    </w:lvl>
  </w:abstractNum>
  <w:abstractNum w:abstractNumId="176">
    <w:nsid w:val="6DC45E83"/>
    <w:multiLevelType w:val="hybridMultilevel"/>
    <w:lvl w:ilvl="0">
      <w:lvlJc w:val="left"/>
      <w:lvlText w:val="6"/>
      <w:numFmt w:val="bullet"/>
      <w:start w:val="1"/>
    </w:lvl>
  </w:abstractNum>
  <w:abstractNum w:abstractNumId="177">
    <w:nsid w:val="17304A67"/>
    <w:multiLevelType w:val="hybridMultilevel"/>
    <w:lvl w:ilvl="0">
      <w:lvlJc w:val="left"/>
      <w:lvlText w:val="7"/>
      <w:numFmt w:val="bullet"/>
      <w:start w:val="1"/>
    </w:lvl>
  </w:abstractNum>
  <w:abstractNum w:abstractNumId="178">
    <w:nsid w:val="2BB180D8"/>
    <w:multiLevelType w:val="hybridMultilevel"/>
    <w:lvl w:ilvl="0">
      <w:lvlJc w:val="left"/>
      <w:lvlText w:val="2"/>
      <w:numFmt w:val="bullet"/>
      <w:start w:val="1"/>
    </w:lvl>
  </w:abstractNum>
  <w:abstractNum w:abstractNumId="179">
    <w:nsid w:val="556B69ED"/>
    <w:multiLevelType w:val="hybridMultilevel"/>
    <w:lvl w:ilvl="0">
      <w:lvlJc w:val="left"/>
      <w:lvlText w:val="3"/>
      <w:numFmt w:val="bullet"/>
      <w:start w:val="1"/>
    </w:lvl>
  </w:abstractNum>
  <w:abstractNum w:abstractNumId="180">
    <w:nsid w:val="70836196"/>
    <w:multiLevelType w:val="hybridMultilevel"/>
    <w:lvl w:ilvl="0">
      <w:lvlJc w:val="left"/>
      <w:lvlText w:val="4"/>
      <w:numFmt w:val="bullet"/>
      <w:start w:val="1"/>
    </w:lvl>
  </w:abstractNum>
  <w:abstractNum w:abstractNumId="181">
    <w:nsid w:val="539F7F12"/>
    <w:multiLevelType w:val="hybridMultilevel"/>
    <w:lvl w:ilvl="0">
      <w:lvlJc w:val="left"/>
      <w:lvlText w:val="5"/>
      <w:numFmt w:val="bullet"/>
      <w:start w:val="1"/>
    </w:lvl>
  </w:abstractNum>
  <w:abstractNum w:abstractNumId="182">
    <w:nsid w:val="2817E7EC"/>
    <w:multiLevelType w:val="hybridMultilevel"/>
    <w:lvl w:ilvl="0">
      <w:lvlJc w:val="left"/>
      <w:lvlText w:val="2"/>
      <w:numFmt w:val="bullet"/>
      <w:start w:val="1"/>
    </w:lvl>
  </w:abstractNum>
  <w:abstractNum w:abstractNumId="183">
    <w:nsid w:val="71482545"/>
    <w:multiLevelType w:val="hybridMultilevel"/>
    <w:lvl w:ilvl="0">
      <w:lvlJc w:val="left"/>
      <w:lvlText w:val="3"/>
      <w:numFmt w:val="bullet"/>
      <w:start w:val="1"/>
    </w:lvl>
  </w:abstractNum>
  <w:abstractNum w:abstractNumId="184">
    <w:nsid w:val="17D78639"/>
    <w:multiLevelType w:val="hybridMultilevel"/>
    <w:lvl w:ilvl="0">
      <w:lvlJc w:val="left"/>
      <w:lvlText w:val="4"/>
      <w:numFmt w:val="bullet"/>
      <w:start w:val="1"/>
    </w:lvl>
  </w:abstractNum>
  <w:abstractNum w:abstractNumId="185">
    <w:nsid w:val="141D2302"/>
    <w:multiLevelType w:val="hybridMultilevel"/>
    <w:lvl w:ilvl="0">
      <w:lvlJc w:val="left"/>
      <w:lvlText w:val="5"/>
      <w:numFmt w:val="bullet"/>
      <w:start w:val="1"/>
    </w:lvl>
  </w:abstractNum>
  <w:abstractNum w:abstractNumId="186">
    <w:nsid w:val="407168D8"/>
    <w:multiLevelType w:val="hybridMultilevel"/>
    <w:lvl w:ilvl="0">
      <w:lvlJc w:val="left"/>
      <w:lvlText w:val="3"/>
      <w:numFmt w:val="bullet"/>
      <w:start w:val="1"/>
    </w:lvl>
  </w:abstractNum>
  <w:abstractNum w:abstractNumId="187">
    <w:nsid w:val="6A1B45E5"/>
    <w:multiLevelType w:val="hybridMultilevel"/>
    <w:lvl w:ilvl="0">
      <w:lvlJc w:val="left"/>
      <w:lvlText w:val="2"/>
      <w:numFmt w:val="bullet"/>
      <w:start w:val="1"/>
    </w:lvl>
  </w:abstractNum>
  <w:abstractNum w:abstractNumId="188">
    <w:nsid w:val="567BD50A"/>
    <w:multiLevelType w:val="hybridMultilevel"/>
    <w:lvl w:ilvl="0">
      <w:lvlJc w:val="left"/>
      <w:lvlText w:val="(%1)"/>
      <w:numFmt w:val="lowerLetter"/>
      <w:start w:val="1"/>
    </w:lvl>
  </w:abstractNum>
  <w:abstractNum w:abstractNumId="189">
    <w:nsid w:val="73BBD7F8"/>
    <w:multiLevelType w:val="hybridMultilevel"/>
    <w:lvl w:ilvl="0">
      <w:lvlJc w:val="left"/>
      <w:lvlText w:val="2"/>
      <w:numFmt w:val="bullet"/>
      <w:start w:val="1"/>
    </w:lvl>
  </w:abstractNum>
  <w:abstractNum w:abstractNumId="190">
    <w:nsid w:val="1876589D"/>
    <w:multiLevelType w:val="hybridMultilevel"/>
    <w:lvl w:ilvl="0">
      <w:lvlJc w:val="left"/>
      <w:lvlText w:val="3"/>
      <w:numFmt w:val="bullet"/>
      <w:start w:val="1"/>
    </w:lvl>
    <w:lvl w:ilvl="1">
      <w:lvlJc w:val="left"/>
      <w:lvlText w:val="(%2)"/>
      <w:numFmt w:val="lowerLetter"/>
      <w:start w:val="1"/>
    </w:lvl>
  </w:abstractNum>
  <w:abstractNum w:abstractNumId="191">
    <w:nsid w:val="327FAC77"/>
    <w:multiLevelType w:val="hybridMultilevel"/>
    <w:lvl w:ilvl="0">
      <w:lvlJc w:val="left"/>
      <w:lvlText w:val="(%1)"/>
      <w:numFmt w:val="lowerLetter"/>
      <w:start w:val="3"/>
    </w:lvl>
  </w:abstractNum>
  <w:abstractNum w:abstractNumId="192">
    <w:nsid w:val="5A606509"/>
    <w:multiLevelType w:val="hybridMultilevel"/>
    <w:lvl w:ilvl="0">
      <w:lvlJc w:val="left"/>
      <w:lvlText w:val="(%1)"/>
      <w:numFmt w:val="lowerLetter"/>
      <w:start w:val="3"/>
    </w:lvl>
  </w:abstractNum>
  <w:abstractNum w:abstractNumId="193">
    <w:nsid w:val="6F38E6D1"/>
    <w:multiLevelType w:val="hybridMultilevel"/>
    <w:lvl w:ilvl="0">
      <w:lvlJc w:val="left"/>
      <w:lvlText w:val="3"/>
      <w:numFmt w:val="bullet"/>
      <w:start w:val="1"/>
    </w:lvl>
  </w:abstractNum>
  <w:abstractNum w:abstractNumId="194">
    <w:nsid w:val="46111BA5"/>
    <w:multiLevelType w:val="hybridMultilevel"/>
    <w:lvl w:ilvl="0">
      <w:lvlJc w:val="left"/>
      <w:lvlText w:val="2"/>
      <w:numFmt w:val="bullet"/>
      <w:start w:val="1"/>
    </w:lvl>
  </w:abstractNum>
  <w:abstractNum w:abstractNumId="195">
    <w:nsid w:val="5E963896"/>
    <w:multiLevelType w:val="hybridMultilevel"/>
    <w:lvl w:ilvl="0">
      <w:lvlJc w:val="left"/>
      <w:lvlText w:val="3"/>
      <w:numFmt w:val="bullet"/>
      <w:start w:val="1"/>
    </w:lvl>
  </w:abstractNum>
  <w:abstractNum w:abstractNumId="196">
    <w:nsid w:val="775BA7C1"/>
    <w:multiLevelType w:val="hybridMultilevel"/>
    <w:lvl w:ilvl="0">
      <w:lvlJc w:val="left"/>
      <w:lvlText w:val="2"/>
      <w:numFmt w:val="bullet"/>
      <w:start w:val="1"/>
    </w:lvl>
  </w:abstractNum>
  <w:abstractNum w:abstractNumId="197">
    <w:nsid w:val="1DD6D6F4"/>
    <w:multiLevelType w:val="hybridMultilevel"/>
    <w:lvl w:ilvl="0">
      <w:lvlJc w:val="left"/>
      <w:lvlText w:val="3"/>
      <w:numFmt w:val="bullet"/>
      <w:start w:val="1"/>
    </w:lvl>
  </w:abstractNum>
  <w:abstractNum w:abstractNumId="198">
    <w:nsid w:val="769A091F"/>
    <w:multiLevelType w:val="hybridMultilevel"/>
    <w:lvl w:ilvl="0">
      <w:lvlJc w:val="left"/>
      <w:lvlText w:val="4"/>
      <w:numFmt w:val="bullet"/>
      <w:start w:val="1"/>
    </w:lvl>
  </w:abstractNum>
  <w:abstractNum w:abstractNumId="199">
    <w:nsid w:val="4695AE95"/>
    <w:multiLevelType w:val="hybridMultilevel"/>
    <w:lvl w:ilvl="0">
      <w:lvlJc w:val="left"/>
      <w:lvlText w:val="2"/>
      <w:numFmt w:val="bullet"/>
      <w:start w:val="1"/>
    </w:lvl>
  </w:abstractNum>
  <w:abstractNum w:abstractNumId="200">
    <w:nsid w:val="777A4EAA"/>
    <w:multiLevelType w:val="hybridMultilevel"/>
    <w:lvl w:ilvl="0">
      <w:lvlJc w:val="left"/>
      <w:lvlText w:val="["/>
      <w:numFmt w:val="bullet"/>
      <w:start w:val="1"/>
    </w:lvl>
  </w:abstractNum>
  <w:abstractNum w:abstractNumId="201">
    <w:nsid w:val="3F48B982"/>
    <w:multiLevelType w:val="hybridMultilevel"/>
    <w:lvl w:ilvl="0">
      <w:lvlJc w:val="left"/>
      <w:lvlText w:val="%1."/>
      <w:numFmt w:val="decimal"/>
      <w:start w:val="1"/>
    </w:lvl>
  </w:abstractNum>
  <w:abstractNum w:abstractNumId="202">
    <w:nsid w:val="46BA8FCA"/>
    <w:multiLevelType w:val="hybridMultilevel"/>
    <w:lvl w:ilvl="0">
      <w:lvlJc w:val="left"/>
      <w:lvlText w:val="(%1)"/>
      <w:numFmt w:val="lowerLetter"/>
      <w:start w:val="1"/>
    </w:lvl>
  </w:abstractNum>
  <w:abstractNum w:abstractNumId="203">
    <w:nsid w:val="7835626C"/>
    <w:multiLevelType w:val="hybridMultilevel"/>
    <w:lvl w:ilvl="0">
      <w:lvlJc w:val="left"/>
      <w:lvlText w:val="-"/>
      <w:numFmt w:val="bullet"/>
      <w:start w:val="1"/>
    </w:lvl>
  </w:abstractNum>
  <w:abstractNum w:abstractNumId="204">
    <w:nsid w:val="665ACA49"/>
    <w:multiLevelType w:val="hybridMultilevel"/>
    <w:lvl w:ilvl="0">
      <w:lvlJc w:val="left"/>
      <w:lvlText w:val="(%1)"/>
      <w:numFmt w:val="lowerLetter"/>
      <w:start w:val="3"/>
    </w:lvl>
  </w:abstractNum>
  <w:abstractNum w:abstractNumId="205">
    <w:nsid w:val="6835B2AE"/>
    <w:multiLevelType w:val="hybridMultilevel"/>
    <w:lvl w:ilvl="0">
      <w:lvlJc w:val="left"/>
      <w:lvlText w:val="(%1)"/>
      <w:numFmt w:val="lowerLetter"/>
      <w:start w:val="1"/>
    </w:lvl>
    <w:lvl w:ilvl="1">
      <w:lvlJc w:val="left"/>
      <w:lvlText w:val="-"/>
      <w:numFmt w:val="bullet"/>
      <w:start w:val="1"/>
    </w:lvl>
  </w:abstractNum>
  <w:abstractNum w:abstractNumId="206">
    <w:nsid w:val="4C187C90"/>
    <w:multiLevelType w:val="hybridMultilevel"/>
    <w:lvl w:ilvl="0">
      <w:lvlJc w:val="left"/>
      <w:lvlText w:val="(%1)"/>
      <w:numFmt w:val="lowerLetter"/>
      <w:start w:val="6"/>
    </w:lvl>
  </w:abstractNum>
  <w:abstractNum w:abstractNumId="207">
    <w:nsid w:val="541F28CD"/>
    <w:multiLevelType w:val="hybridMultilevel"/>
    <w:lvl w:ilvl="0">
      <w:lvlJc w:val="left"/>
      <w:lvlText w:val="%1."/>
      <w:numFmt w:val="decimal"/>
      <w:start w:val="2"/>
    </w:lvl>
    <w:lvl w:ilvl="1">
      <w:lvlJc w:val="left"/>
      <w:lvlText w:val="(%2)"/>
      <w:numFmt w:val="lowerLetter"/>
      <w:start w:val="1"/>
    </w:lvl>
  </w:abstractNum>
  <w:abstractNum w:abstractNumId="208">
    <w:nsid w:val="7F65FD16"/>
    <w:multiLevelType w:val="hybridMultilevel"/>
    <w:lvl w:ilvl="0">
      <w:lvlJc w:val="left"/>
      <w:lvlText w:val="•"/>
      <w:numFmt w:val="bullet"/>
      <w:start w:val="1"/>
    </w:lvl>
  </w:abstractNum>
  <w:abstractNum w:abstractNumId="209">
    <w:nsid w:val="77C9FD68"/>
    <w:multiLevelType w:val="hybridMultilevel"/>
    <w:lvl w:ilvl="0">
      <w:lvlJc w:val="left"/>
      <w:lvlText w:val="%1."/>
      <w:numFmt w:val="decimal"/>
      <w:start w:val="2"/>
    </w:lvl>
    <w:lvl w:ilvl="1">
      <w:lvlJc w:val="left"/>
      <w:lvlText w:val="•"/>
      <w:numFmt w:val="bullet"/>
      <w:start w:val="1"/>
    </w:lvl>
  </w:abstractNum>
  <w:abstractNum w:abstractNumId="210">
    <w:nsid w:val="298A92BA"/>
    <w:multiLevelType w:val="hybridMultilevel"/>
    <w:lvl w:ilvl="0">
      <w:lvlJc w:val="left"/>
      <w:lvlText w:val="["/>
      <w:numFmt w:val="bullet"/>
      <w:start w:val="1"/>
    </w:lvl>
  </w:abstractNum>
  <w:abstractNum w:abstractNumId="211">
    <w:nsid w:val="6FE95EAC"/>
    <w:multiLevelType w:val="hybridMultilevel"/>
    <w:lvl w:ilvl="0">
      <w:lvlJc w:val="left"/>
      <w:lvlText w:val="%1."/>
      <w:numFmt w:val="decimal"/>
      <w:start w:val="1"/>
    </w:lvl>
  </w:abstractNum>
  <w:abstractNum w:abstractNumId="212">
    <w:nsid w:val="4B697C7A"/>
    <w:multiLevelType w:val="hybridMultilevel"/>
    <w:lvl w:ilvl="0">
      <w:lvlJc w:val="left"/>
      <w:lvlText w:val="(%1)"/>
      <w:numFmt w:val="lowerLetter"/>
      <w:start w:val="4"/>
    </w:lvl>
  </w:abstractNum>
  <w:abstractNum w:abstractNumId="213">
    <w:nsid w:val="51A27AA6"/>
    <w:multiLevelType w:val="hybridMultilevel"/>
    <w:lvl w:ilvl="0">
      <w:lvlJc w:val="left"/>
      <w:lvlText w:val="%1."/>
      <w:numFmt w:val="decimal"/>
      <w:start w:val="2"/>
    </w:lvl>
  </w:abstractNum>
  <w:abstractNum w:abstractNumId="214">
    <w:nsid w:val="613183F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5">
    <w:nsid w:val="634102B4"/>
    <w:multiLevelType w:val="hybridMultilevel"/>
    <w:lvl w:ilvl="0">
      <w:lvlJc w:val="left"/>
      <w:lvlText w:val="(%1)"/>
      <w:numFmt w:val="lowerRoman"/>
      <w:start w:val="2"/>
    </w:lvl>
    <w:lvl w:ilvl="1">
      <w:lvlJc w:val="left"/>
      <w:lvlText w:val="(%2)"/>
      <w:numFmt w:val="decimal"/>
      <w:start w:val="1"/>
    </w:lvl>
  </w:abstractNum>
  <w:abstractNum w:abstractNumId="216">
    <w:nsid w:val="65BF9DA8"/>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2"/>
    </w:lvl>
  </w:abstractNum>
  <w:abstractNum w:abstractNumId="217">
    <w:nsid w:val="21A2ECCA"/>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218">
    <w:nsid w:val="4D5C4899"/>
    <w:multiLevelType w:val="hybridMultilevel"/>
    <w:lvl w:ilvl="0">
      <w:lvlJc w:val="left"/>
      <w:lvlText w:val="(%1)"/>
      <w:numFmt w:val="lowerRoman"/>
      <w:start w:val="4"/>
    </w:lvl>
    <w:lvl w:ilvl="1">
      <w:lvlJc w:val="left"/>
      <w:lvlText w:val="%2"/>
      <w:numFmt w:val="lowerRoman"/>
      <w:start w:val="1"/>
    </w:lvl>
    <w:lvl w:ilvl="2">
      <w:lvlJc w:val="left"/>
      <w:lvlText w:val="%3"/>
      <w:numFmt w:val="decimal"/>
      <w:start w:val="1"/>
    </w:lvl>
  </w:abstractNum>
  <w:abstractNum w:abstractNumId="219">
    <w:nsid w:val="3C3B72B2"/>
    <w:multiLevelType w:val="hybridMultilevel"/>
    <w:lvl w:ilvl="0">
      <w:lvlJc w:val="left"/>
      <w:lvlText w:val="(%1)"/>
      <w:numFmt w:val="lowerLetter"/>
      <w:start w:val="3"/>
    </w:lvl>
  </w:abstractNum>
  <w:abstractNum w:abstractNumId="220">
    <w:nsid w:val="155EC4C2"/>
    <w:multiLevelType w:val="hybridMultilevel"/>
    <w:lvl w:ilvl="0">
      <w:lvlJc w:val="left"/>
      <w:lvlText w:val="(%1)"/>
      <w:numFmt w:val="lowerLetter"/>
      <w:start w:val="6"/>
    </w:lvl>
    <w:lvl w:ilvl="1">
      <w:lvlJc w:val="left"/>
      <w:lvlText w:val="(%2)"/>
      <w:numFmt w:val="lowerRoman"/>
      <w:start w:val="1"/>
    </w:lvl>
  </w:abstractNum>
  <w:abstractNum w:abstractNumId="221">
    <w:nsid w:val="65D2A13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22">
    <w:nsid w:val="6EBB1F2A"/>
    <w:multiLevelType w:val="hybridMultilevel"/>
    <w:lvl w:ilvl="0">
      <w:lvlJc w:val="left"/>
      <w:lvlText w:val="%1"/>
      <w:numFmt w:val="lowerLetter"/>
      <w:start w:val="1"/>
    </w:lvl>
    <w:lvl w:ilvl="1">
      <w:lvlJc w:val="left"/>
      <w:lvlText w:val="(%2)"/>
      <w:numFmt w:val="lowerRoman"/>
      <w:start w:val="2"/>
    </w:lvl>
  </w:abstractNum>
  <w:abstractNum w:abstractNumId="223">
    <w:nsid w:val="6FBF29CB"/>
    <w:multiLevelType w:val="hybridMultilevel"/>
    <w:lvl w:ilvl="0">
      <w:lvlJc w:val="left"/>
      <w:lvlText w:val="(%1)"/>
      <w:numFmt w:val="lowerLetter"/>
      <w:start w:val="2"/>
    </w:lvl>
    <w:lvl w:ilvl="1">
      <w:lvlJc w:val="left"/>
      <w:lvlText w:val="%2"/>
      <w:numFmt w:val="lowerRoman"/>
      <w:start w:val="1"/>
    </w:lvl>
  </w:abstractNum>
  <w:abstractNum w:abstractNumId="224">
    <w:nsid w:val="550B8808"/>
    <w:multiLevelType w:val="hybridMultilevel"/>
    <w:lvl w:ilvl="0">
      <w:lvlJc w:val="left"/>
      <w:lvlText w:val="(%1)"/>
      <w:numFmt w:val="lowerLetter"/>
      <w:start w:val="1"/>
    </w:lvl>
  </w:abstractNum>
  <w:abstractNum w:abstractNumId="225">
    <w:nsid w:val="34CC3ACF"/>
    <w:multiLevelType w:val="hybridMultilevel"/>
    <w:lvl w:ilvl="0">
      <w:lvlJc w:val="left"/>
      <w:lvlText w:val="(%1)"/>
      <w:numFmt w:val="lowerLetter"/>
      <w:start w:val="2"/>
    </w:lvl>
  </w:abstractNum>
  <w:abstractNum w:abstractNumId="226">
    <w:nsid w:val="4E556261"/>
    <w:multiLevelType w:val="hybridMultilevel"/>
    <w:lvl w:ilvl="0">
      <w:lvlJc w:val="left"/>
      <w:lvlText w:val="(%1)"/>
      <w:numFmt w:val="lowerLetter"/>
      <w:start w:val="1"/>
    </w:lvl>
    <w:lvl w:ilvl="1">
      <w:lvlJc w:val="left"/>
      <w:lvlText w:val="[***]"/>
      <w:numFmt w:val="bullet"/>
      <w:start w:val="1"/>
    </w:lvl>
  </w:abstractNum>
  <w:abstractNum w:abstractNumId="227">
    <w:nsid w:val="4C672F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8">
    <w:nsid w:val="52A311C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29">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0">
    <w:nsid w:val="12FCDE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1">
    <w:nsid w:val="4A1D606E"/>
    <w:multiLevelType w:val="hybridMultilevel"/>
    <w:lvl w:ilvl="0">
      <w:lvlJc w:val="left"/>
      <w:lvlText w:val="(%1)"/>
      <w:numFmt w:val="lowerLetter"/>
      <w:start w:val="1"/>
    </w:lvl>
  </w:abstractNum>
  <w:abstractNum w:abstractNumId="232">
    <w:nsid w:val="4382503"/>
    <w:multiLevelType w:val="hybridMultilevel"/>
    <w:lvl w:ilvl="0">
      <w:lvlJc w:val="left"/>
      <w:lvlText w:val="(%1)"/>
      <w:numFmt w:val="lowerLetter"/>
      <w:start w:val="1"/>
    </w:lvl>
    <w:lvl w:ilvl="1">
      <w:lvlJc w:val="left"/>
      <w:lvlText w:val="(%2)"/>
      <w:numFmt w:val="lowerRoman"/>
      <w:start w:val="1"/>
    </w:lvl>
  </w:abstractNum>
  <w:abstractNum w:abstractNumId="233">
    <w:nsid w:val="59B76E28"/>
    <w:multiLevelType w:val="hybridMultilevel"/>
    <w:lvl w:ilvl="0">
      <w:lvlJc w:val="left"/>
      <w:lvlText w:val="(%1)"/>
      <w:numFmt w:val="lowerRoman"/>
      <w:start w:val="2"/>
    </w:lvl>
  </w:abstractNum>
  <w:abstractNum w:abstractNumId="234">
    <w:nsid w:val="4252C2DA"/>
    <w:multiLevelType w:val="hybridMultilevel"/>
    <w:lvl w:ilvl="0">
      <w:lvlJc w:val="left"/>
      <w:lvlText w:val="(%1)"/>
      <w:numFmt w:val="lowerLetter"/>
      <w:start w:val="2"/>
    </w:lvl>
  </w:abstractNum>
  <w:abstractNum w:abstractNumId="235">
    <w:nsid w:val="6A92EF4C"/>
    <w:multiLevelType w:val="hybridMultilevel"/>
    <w:lvl w:ilvl="0">
      <w:lvlJc w:val="left"/>
      <w:lvlText w:val="(%1)"/>
      <w:numFmt w:val="lowerLetter"/>
      <w:start w:val="1"/>
    </w:lvl>
    <w:lvl w:ilvl="1">
      <w:lvlJc w:val="left"/>
      <w:lvlText w:val="(%2)"/>
      <w:numFmt w:val="lowerRoman"/>
      <w:start w:val="1"/>
    </w:lvl>
  </w:abstractNum>
  <w:abstractNum w:abstractNumId="236">
    <w:nsid w:val="41ED20D7"/>
    <w:multiLevelType w:val="hybridMultilevel"/>
    <w:lvl w:ilvl="0">
      <w:lvlJc w:val="left"/>
      <w:lvlText w:val="%1"/>
      <w:numFmt w:val="lowerLetter"/>
      <w:start w:val="1"/>
    </w:lvl>
    <w:lvl w:ilvl="1">
      <w:lvlJc w:val="left"/>
      <w:lvlText w:val="(%2)"/>
      <w:numFmt w:val="lowerRoman"/>
      <w:start w:val="5"/>
    </w:lvl>
  </w:abstractNum>
  <w:abstractNum w:abstractNumId="237">
    <w:nsid w:val="E6B3F6A"/>
    <w:multiLevelType w:val="hybridMultilevel"/>
    <w:lvl w:ilvl="0">
      <w:lvlJc w:val="left"/>
      <w:lvlText w:val="(%1)"/>
      <w:numFmt w:val="lowerLetter"/>
      <w:start w:val="2"/>
    </w:lvl>
    <w:lvl w:ilvl="1">
      <w:lvlJc w:val="left"/>
      <w:lvlText w:val="%2"/>
      <w:numFmt w:val="lowerRoman"/>
      <w:start w:val="1"/>
    </w:lvl>
  </w:abstractNum>
  <w:abstractNum w:abstractNumId="238">
    <w:nsid w:val="3EB21819"/>
    <w:multiLevelType w:val="hybridMultilevel"/>
    <w:lvl w:ilvl="0">
      <w:lvlJc w:val="left"/>
      <w:lvlText w:val="%1."/>
      <w:numFmt w:val="decimal"/>
      <w:start w:val="4"/>
    </w:lvl>
  </w:abstractNum>
  <w:abstractNum w:abstractNumId="239">
    <w:nsid w:val="41531DED"/>
    <w:multiLevelType w:val="hybridMultilevel"/>
    <w:lvl w:ilvl="0">
      <w:lvlJc w:val="left"/>
      <w:lvlText w:val="(%1)"/>
      <w:numFmt w:val="lowerLetter"/>
      <w:start w:val="1"/>
    </w:lvl>
  </w:abstractNum>
  <w:abstractNum w:abstractNumId="240">
    <w:nsid w:val="6353CD2"/>
    <w:multiLevelType w:val="hybridMultilevel"/>
    <w:lvl w:ilvl="0">
      <w:lvlJc w:val="left"/>
      <w:lvlText w:val="(%1)"/>
      <w:numFmt w:val="lowerLetter"/>
      <w:start w:val="2"/>
    </w:lvl>
    <w:lvl w:ilvl="1">
      <w:lvlJc w:val="left"/>
      <w:lvlText w:val="(%2)"/>
      <w:numFmt w:val="lowerRoman"/>
      <w:start w:val="1"/>
    </w:lvl>
  </w:abstractNum>
  <w:abstractNum w:abstractNumId="241">
    <w:nsid w:val="683CAAD3"/>
    <w:multiLevelType w:val="hybridMultilevel"/>
    <w:lvl w:ilvl="0">
      <w:lvlJc w:val="left"/>
      <w:lvlText w:val="(%1)"/>
      <w:numFmt w:val="lowerLetter"/>
      <w:start w:val="1"/>
    </w:lvl>
    <w:lvl w:ilvl="1">
      <w:lvlJc w:val="left"/>
      <w:lvlText w:val="(%2)"/>
      <w:numFmt w:val="lowerRoman"/>
      <w:start w:val="1"/>
    </w:lvl>
  </w:abstractNum>
  <w:abstractNum w:abstractNumId="242">
    <w:nsid w:val="313C7C99"/>
    <w:multiLevelType w:val="hybridMultilevel"/>
    <w:lvl w:ilvl="0">
      <w:lvlJc w:val="left"/>
      <w:lvlText w:val="(%1)"/>
      <w:numFmt w:val="lowerRoman"/>
      <w:start w:val="2"/>
    </w:lvl>
  </w:abstractNum>
  <w:abstractNum w:abstractNumId="243">
    <w:nsid w:val="519EB94C"/>
    <w:multiLevelType w:val="hybridMultilevel"/>
    <w:lvl w:ilvl="0">
      <w:lvlJc w:val="left"/>
      <w:lvlText w:val="(%1)"/>
      <w:numFmt w:val="lowerLetter"/>
      <w:start w:val="3"/>
    </w:lvl>
  </w:abstractNum>
  <w:abstractNum w:abstractNumId="244">
    <w:nsid w:val="39DF2579"/>
    <w:multiLevelType w:val="hybridMultilevel"/>
    <w:lvl w:ilvl="0">
      <w:lvlJc w:val="left"/>
      <w:lvlText w:val="(%1)"/>
      <w:numFmt w:val="lowerLetter"/>
      <w:start w:val="1"/>
    </w:lvl>
  </w:abstractNum>
  <w:abstractNum w:abstractNumId="245">
    <w:nsid w:val="126E008B"/>
    <w:multiLevelType w:val="hybridMultilevel"/>
    <w:lvl w:ilvl="0">
      <w:lvlJc w:val="left"/>
      <w:lvlText w:val="%1."/>
      <w:numFmt w:val="decimal"/>
      <w:start w:val="5"/>
    </w:lvl>
  </w:abstractNum>
  <w:abstractNum w:abstractNumId="246">
    <w:nsid w:val="34DFBC00"/>
    <w:multiLevelType w:val="hybridMultilevel"/>
    <w:lvl w:ilvl="0">
      <w:lvlJc w:val="left"/>
      <w:lvlText w:val="(%1)"/>
      <w:numFmt w:val="lowerLetter"/>
      <w:start w:val="1"/>
    </w:lvl>
  </w:abstractNum>
  <w:abstractNum w:abstractNumId="247">
    <w:nsid w:val="1F9EC322"/>
    <w:multiLevelType w:val="hybridMultilevel"/>
    <w:lvl w:ilvl="0">
      <w:lvlJc w:val="left"/>
      <w:lvlText w:val="%1."/>
      <w:numFmt w:val="decimal"/>
      <w:start w:val="6"/>
    </w:lvl>
  </w:abstractNum>
  <w:abstractNum w:abstractNumId="248">
    <w:nsid w:val="3410ED56"/>
    <w:multiLevelType w:val="hybridMultilevel"/>
    <w:lvl w:ilvl="0">
      <w:lvlJc w:val="left"/>
      <w:lvlText w:val="%1."/>
      <w:numFmt w:val="decimal"/>
      <w:start w:val="7"/>
    </w:lvl>
  </w:abstractNum>
  <w:abstractNum w:abstractNumId="249">
    <w:nsid w:val="23C049A"/>
    <w:multiLevelType w:val="hybridMultilevel"/>
    <w:lvl w:ilvl="0">
      <w:lvlJc w:val="left"/>
      <w:lvlText w:val="(%1)"/>
      <w:numFmt w:val="lowerLetter"/>
      <w:start w:val="1"/>
    </w:lvl>
  </w:abstractNum>
  <w:abstractNum w:abstractNumId="250">
    <w:nsid w:val="5BDA35D4"/>
    <w:multiLevelType w:val="hybridMultilevel"/>
    <w:lvl w:ilvl="0">
      <w:lvlJc w:val="left"/>
      <w:lvlText w:val="%1."/>
      <w:numFmt w:val="decimal"/>
      <w:start w:val="9"/>
    </w:lvl>
  </w:abstractNum>
  <w:abstractNum w:abstractNumId="251">
    <w:nsid w:val="496FB218"/>
    <w:multiLevelType w:val="hybridMultilevel"/>
    <w:lvl w:ilvl="0">
      <w:lvlJc w:val="left"/>
      <w:lvlText w:val="(%1)"/>
      <w:numFmt w:val="lowerLetter"/>
      <w:start w:val="1"/>
    </w:lvl>
  </w:abstractNum>
  <w:abstractNum w:abstractNumId="252">
    <w:nsid w:val="680EA5D1"/>
    <w:multiLevelType w:val="hybridMultilevel"/>
    <w:lvl w:ilvl="0">
      <w:lvlJc w:val="left"/>
      <w:lvlText w:val="(%1)"/>
      <w:numFmt w:val="lowerLetter"/>
      <w:start w:val="4"/>
    </w:lvl>
  </w:abstractNum>
  <w:abstractNum w:abstractNumId="253">
    <w:nsid w:val="4A9554FE"/>
    <w:multiLevelType w:val="hybridMultilevel"/>
    <w:lvl w:ilvl="0">
      <w:lvlJc w:val="left"/>
      <w:lvlText w:val="(%1)"/>
      <w:numFmt w:val="lowerLetter"/>
      <w:start w:val="6"/>
    </w:lvl>
  </w:abstractNum>
  <w:abstractNum w:abstractNumId="254">
    <w:nsid w:val="392EDBE4"/>
    <w:multiLevelType w:val="hybridMultilevel"/>
    <w:lvl w:ilvl="0">
      <w:lvlJc w:val="left"/>
      <w:lvlText w:val="(%1)"/>
      <w:numFmt w:val="lowerLetter"/>
      <w:start w:val="8"/>
    </w:lvl>
  </w:abstractNum>
  <w:abstractNum w:abstractNumId="255">
    <w:nsid w:val="3D1A2DD9"/>
    <w:multiLevelType w:val="hybridMultilevel"/>
    <w:lvl w:ilvl="0">
      <w:lvlJc w:val="left"/>
      <w:lvlText w:val="(%1)"/>
      <w:numFmt w:val="lowerLetter"/>
      <w:start w:val="11"/>
    </w:lvl>
  </w:abstractNum>
  <w:abstractNum w:abstractNumId="256">
    <w:nsid w:val="7F618FCD"/>
    <w:multiLevelType w:val="hybridMultilevel"/>
    <w:lvl w:ilvl="0">
      <w:lvlJc w:val="left"/>
      <w:lvlText w:val="(%1)"/>
      <w:numFmt w:val="lowerLetter"/>
      <w:start w:val="1"/>
    </w:lvl>
  </w:abstractNum>
  <w:abstractNum w:abstractNumId="257">
    <w:nsid w:val="7843E45"/>
    <w:multiLevelType w:val="hybridMultilevel"/>
    <w:lvl w:ilvl="0">
      <w:lvlJc w:val="left"/>
      <w:lvlText w:val="(%1)"/>
      <w:numFmt w:val="lowerLetter"/>
      <w:start w:val="1"/>
    </w:lvl>
  </w:abstractNum>
  <w:abstractNum w:abstractNumId="258">
    <w:nsid w:val="9815DA3"/>
    <w:multiLevelType w:val="hybridMultilevel"/>
    <w:lvl w:ilvl="0">
      <w:lvlJc w:val="left"/>
      <w:lvlText w:val="(%1)"/>
      <w:numFmt w:val="lowerLetter"/>
      <w:start w:val="2"/>
    </w:lvl>
  </w:abstractNum>
  <w:abstractNum w:abstractNumId="259">
    <w:nsid w:val="5204A191"/>
    <w:multiLevelType w:val="hybridMultilevel"/>
    <w:lvl w:ilvl="0">
      <w:lvlJc w:val="left"/>
      <w:lvlText w:val="(%1)"/>
      <w:numFmt w:val="lowerRoman"/>
      <w:start w:val="1"/>
    </w:lvl>
    <w:lvl w:ilvl="1">
      <w:lvlJc w:val="left"/>
      <w:lvlText w:val="(%2)"/>
      <w:numFmt w:val="lowerRoman"/>
      <w:start w:val="1"/>
    </w:lvl>
  </w:abstractNum>
  <w:abstractNum w:abstractNumId="260">
    <w:nsid w:val="4C73A9C6"/>
    <w:multiLevelType w:val="hybridMultilevel"/>
    <w:lvl w:ilvl="0">
      <w:lvlJc w:val="left"/>
      <w:lvlText w:val="(%1)"/>
      <w:numFmt w:val="lowerLetter"/>
      <w:start w:val="1"/>
    </w:lvl>
  </w:abstractNum>
  <w:abstractNum w:abstractNumId="261">
    <w:nsid w:val="1C7E3C01"/>
    <w:multiLevelType w:val="hybridMultilevel"/>
    <w:lvl w:ilvl="0">
      <w:lvlJc w:val="left"/>
      <w:lvlText w:val="(%1)"/>
      <w:numFmt w:val="lowerLetter"/>
      <w:start w:val="1"/>
    </w:lvl>
  </w:abstractNum>
  <w:abstractNum w:abstractNumId="262">
    <w:nsid w:val="1C2201FF"/>
    <w:multiLevelType w:val="hybridMultilevel"/>
    <w:lvl w:ilvl="0">
      <w:lvlJc w:val="left"/>
      <w:lvlText w:val="(%1)"/>
      <w:numFmt w:val="lowerLetter"/>
      <w:start w:val="1"/>
    </w:lvl>
  </w:abstractNum>
  <w:abstractNum w:abstractNumId="263">
    <w:nsid w:val="50ABCEC9"/>
    <w:multiLevelType w:val="hybridMultilevel"/>
    <w:lvl w:ilvl="0">
      <w:lvlJc w:val="left"/>
      <w:lvlText w:val="(%1)"/>
      <w:numFmt w:val="lowerLetter"/>
      <w:start w:val="5"/>
    </w:lvl>
  </w:abstractNum>
  <w:abstractNum w:abstractNumId="264">
    <w:nsid w:val="7635AA2A"/>
    <w:multiLevelType w:val="hybridMultilevel"/>
    <w:lvl w:ilvl="0">
      <w:lvlJc w:val="left"/>
      <w:lvlText w:val="(%1)"/>
      <w:numFmt w:val="lowerLetter"/>
      <w:start w:val="2"/>
    </w:lvl>
  </w:abstractNum>
  <w:abstractNum w:abstractNumId="265">
    <w:nsid w:val="5E74C4D9"/>
    <w:multiLevelType w:val="hybridMultilevel"/>
    <w:lvl w:ilvl="0">
      <w:lvlJc w:val="left"/>
      <w:lvlText w:val="(%1)"/>
      <w:numFmt w:val="lowerLetter"/>
      <w:start w:val="1"/>
    </w:lvl>
  </w:abstractNum>
  <w:abstractNum w:abstractNumId="266">
    <w:nsid w:val="3B3EBE15"/>
    <w:multiLevelType w:val="hybridMultilevel"/>
    <w:lvl w:ilvl="0">
      <w:lvlJc w:val="left"/>
      <w:lvlText w:val="(%1)"/>
      <w:numFmt w:val="lowerLetter"/>
      <w:start w:val="2"/>
    </w:lvl>
    <w:lvl w:ilvl="1">
      <w:lvlJc w:val="left"/>
      <w:lvlText w:val="(%2)"/>
      <w:numFmt w:val="lowerLetter"/>
      <w:start w:val="9"/>
    </w:lvl>
  </w:abstractNum>
  <w:abstractNum w:abstractNumId="267">
    <w:nsid w:val="3822CB01"/>
    <w:multiLevelType w:val="hybridMultilevel"/>
    <w:lvl w:ilvl="0">
      <w:lvlJc w:val="left"/>
      <w:lvlText w:val="(%1)"/>
      <w:numFmt w:val="lowerLetter"/>
      <w:start w:val="1"/>
    </w:lvl>
    <w:lvl w:ilvl="1">
      <w:lvlJc w:val="left"/>
      <w:lvlText w:val="(%2)"/>
      <w:numFmt w:val="lowerRoman"/>
      <w:start w:val="1"/>
    </w:lvl>
  </w:abstractNum>
  <w:abstractNum w:abstractNumId="268">
    <w:nsid w:val="6CE00443"/>
    <w:multiLevelType w:val="hybridMultilevel"/>
    <w:lvl w:ilvl="0">
      <w:lvlJc w:val="left"/>
      <w:lvlText w:val="%1."/>
      <w:numFmt w:val="decimal"/>
      <w:start w:val="10"/>
    </w:lvl>
  </w:abstractNum>
  <w:abstractNum w:abstractNumId="269">
    <w:nsid w:val="79F0D62F"/>
    <w:multiLevelType w:val="hybridMultilevel"/>
    <w:lvl w:ilvl="0">
      <w:lvlJc w:val="left"/>
      <w:lvlText w:val="%1."/>
      <w:numFmt w:val="decimal"/>
      <w:start w:val="11"/>
    </w:lvl>
  </w:abstractNum>
  <w:abstractNum w:abstractNumId="270">
    <w:nsid w:val="7975E8EE"/>
    <w:multiLevelType w:val="hybridMultilevel"/>
    <w:lvl w:ilvl="0">
      <w:lvlJc w:val="left"/>
      <w:lvlText w:val="(%1)"/>
      <w:numFmt w:val="lowerLetter"/>
      <w:start w:val="1"/>
    </w:lvl>
    <w:lvl w:ilvl="1">
      <w:lvlJc w:val="left"/>
      <w:lvlText w:val="[***]"/>
      <w:numFmt w:val="bullet"/>
      <w:start w:val="1"/>
    </w:lvl>
  </w:abstractNum>
  <w:abstractNum w:abstractNumId="271">
    <w:nsid w:val="73154115"/>
    <w:multiLevelType w:val="hybridMultilevel"/>
    <w:lvl w:ilvl="0">
      <w:lvlJc w:val="left"/>
      <w:lvlText w:val="(%1)"/>
      <w:numFmt w:val="lowerLetter"/>
      <w:start w:val="1"/>
    </w:lvl>
  </w:abstractNum>
  <w:abstractNum w:abstractNumId="272">
    <w:nsid w:val="622D8102"/>
    <w:multiLevelType w:val="hybridMultilevel"/>
    <w:lvl w:ilvl="0">
      <w:lvlJc w:val="left"/>
      <w:lvlText w:val="(%1)"/>
      <w:numFmt w:val="lowerLetter"/>
      <w:start w:val="2"/>
    </w:lvl>
  </w:abstractNum>
  <w:abstractNum w:abstractNumId="273">
    <w:nsid w:val="2AB26587"/>
    <w:multiLevelType w:val="hybridMultilevel"/>
    <w:lvl w:ilvl="0">
      <w:lvlJc w:val="left"/>
      <w:lvlText w:val="%1"/>
      <w:numFmt w:val="decimal"/>
      <w:start w:val="1"/>
    </w:lvl>
    <w:lvl w:ilvl="1">
      <w:lvlJc w:val="left"/>
      <w:lvlText w:val="(%2)"/>
      <w:numFmt w:val="lowerLetter"/>
      <w:start w:val="1"/>
    </w:lvl>
  </w:abstractNum>
  <w:abstractNum w:abstractNumId="274">
    <w:nsid w:val="44B3FA61"/>
    <w:multiLevelType w:val="hybridMultilevel"/>
    <w:lvl w:ilvl="0">
      <w:lvlJc w:val="left"/>
      <w:lvlText w:val="%1."/>
      <w:numFmt w:val="decimal"/>
      <w:start w:val="12"/>
    </w:lvl>
    <w:lvl w:ilvl="1">
      <w:lvlJc w:val="left"/>
      <w:lvlText w:val="%2"/>
      <w:numFmt w:val="lowerLetter"/>
      <w:start w:val="1"/>
    </w:lvl>
  </w:abstractNum>
  <w:abstractNum w:abstractNumId="275">
    <w:nsid w:val="1C0CA67C"/>
    <w:multiLevelType w:val="hybridMultilevel"/>
    <w:lvl w:ilvl="0">
      <w:lvlJc w:val="left"/>
      <w:lvlText w:val="(%1)"/>
      <w:numFmt w:val="lowerLetter"/>
      <w:start w:val="1"/>
    </w:lvl>
  </w:abstractNum>
  <w:abstractNum w:abstractNumId="276">
    <w:nsid w:val="3D206613"/>
    <w:multiLevelType w:val="hybridMultilevel"/>
    <w:lvl w:ilvl="0">
      <w:lvlJc w:val="left"/>
      <w:lvlText w:val="(%1)"/>
      <w:numFmt w:val="lowerLetter"/>
      <w:start w:val="1"/>
    </w:lvl>
    <w:lvl w:ilvl="1">
      <w:lvlJc w:val="left"/>
      <w:lvlText w:val="(%2)"/>
      <w:numFmt w:val="lowerLetter"/>
      <w:start w:val="9"/>
    </w:lvl>
  </w:abstractNum>
  <w:abstractNum w:abstractNumId="277">
    <w:nsid w:val="7993B662"/>
    <w:multiLevelType w:val="hybridMultilevel"/>
    <w:lvl w:ilvl="0">
      <w:lvlJc w:val="left"/>
      <w:lvlText w:val="(%1)"/>
      <w:numFmt w:val="lowerRoman"/>
      <w:start w:val="2"/>
    </w:lvl>
  </w:abstractNum>
  <w:abstractNum w:abstractNumId="278">
    <w:nsid w:val="3BAB699E"/>
    <w:multiLevelType w:val="hybridMultilevel"/>
    <w:lvl w:ilvl="0">
      <w:lvlJc w:val="left"/>
      <w:lvlText w:val="%1"/>
      <w:numFmt w:val="decimal"/>
      <w:start w:val="1"/>
    </w:lvl>
    <w:lvl w:ilvl="1">
      <w:lvlJc w:val="left"/>
      <w:lvlText w:val="(%2)"/>
      <w:numFmt w:val="lowerLetter"/>
      <w:start w:val="1"/>
    </w:lvl>
  </w:abstractNum>
  <w:abstractNum w:abstractNumId="279">
    <w:nsid w:val="71315369"/>
    <w:multiLevelType w:val="hybridMultilevel"/>
    <w:lvl w:ilvl="0">
      <w:lvlJc w:val="left"/>
      <w:lvlText w:val="%1."/>
      <w:numFmt w:val="decimal"/>
      <w:start w:val="13"/>
    </w:lvl>
    <w:lvl w:ilvl="1">
      <w:lvlJc w:val="left"/>
      <w:lvlText w:val="%2"/>
      <w:numFmt w:val="lowerLetter"/>
      <w:start w:val="1"/>
    </w:lvl>
  </w:abstractNum>
  <w:abstractNum w:abstractNumId="280">
    <w:nsid w:val="7BCFBAFC"/>
    <w:multiLevelType w:val="hybridMultilevel"/>
    <w:lvl w:ilvl="0">
      <w:lvlJc w:val="left"/>
      <w:lvlText w:val="(%1)"/>
      <w:numFmt w:val="lowerLetter"/>
      <w:start w:val="1"/>
    </w:lvl>
    <w:lvl w:ilvl="1">
      <w:lvlJc w:val="left"/>
      <w:lvlText w:val="(%2)"/>
      <w:numFmt w:val="lowerLetter"/>
      <w:start w:val="4"/>
    </w:lvl>
  </w:abstractNum>
  <w:abstractNum w:abstractNumId="281">
    <w:nsid w:val="17859F72"/>
    <w:multiLevelType w:val="hybridMultilevel"/>
    <w:lvl w:ilvl="0">
      <w:lvlJc w:val="left"/>
      <w:lvlText w:val="%1)"/>
      <w:numFmt w:val="lowerRoman"/>
      <w:start w:val="1"/>
    </w:lvl>
  </w:abstractNum>
  <w:abstractNum w:abstractNumId="282">
    <w:nsid w:val="3AA10581"/>
    <w:multiLevelType w:val="hybridMultilevel"/>
    <w:lvl w:ilvl="0">
      <w:lvlJc w:val="left"/>
      <w:lvlText w:val="%1."/>
      <w:numFmt w:val="decimal"/>
      <w:start w:val="1"/>
    </w:lvl>
  </w:abstractNum>
  <w:abstractNum w:abstractNumId="283">
    <w:nsid w:val="63DE60CD"/>
    <w:multiLevelType w:val="hybridMultilevel"/>
    <w:lvl w:ilvl="0">
      <w:lvlJc w:val="left"/>
      <w:lvlText w:val="(%1)"/>
      <w:numFmt w:val="lowerLetter"/>
      <w:start w:val="4"/>
    </w:lvl>
  </w:abstractNum>
  <w:abstractNum w:abstractNumId="284">
    <w:nsid w:val="621AF471"/>
    <w:multiLevelType w:val="hybridMultilevel"/>
    <w:lvl w:ilvl="0">
      <w:lvlJc w:val="left"/>
      <w:lvlText w:val="(%1)"/>
      <w:numFmt w:val="lowerRoman"/>
      <w:start w:val="1"/>
    </w:lvl>
  </w:abstractNum>
  <w:abstractNum w:abstractNumId="285">
    <w:nsid w:val="73CFE165"/>
    <w:multiLevelType w:val="hybridMultilevel"/>
    <w:lvl w:ilvl="0">
      <w:lvlJc w:val="left"/>
      <w:lvlText w:val="(%1)"/>
      <w:numFmt w:val="lowerRoman"/>
      <w:start w:val="1"/>
    </w:lvl>
  </w:abstractNum>
  <w:abstractNum w:abstractNumId="286">
    <w:nsid w:val="20F88EA6"/>
    <w:multiLevelType w:val="hybridMultilevel"/>
    <w:lvl w:ilvl="0">
      <w:lvlJc w:val="left"/>
      <w:lvlText w:val="%1."/>
      <w:numFmt w:val="decimal"/>
      <w:start w:val="1"/>
    </w:lvl>
  </w:abstractNum>
  <w:abstractNum w:abstractNumId="287">
    <w:nsid w:val="617C843E"/>
    <w:multiLevelType w:val="hybridMultilevel"/>
    <w:lvl w:ilvl="0">
      <w:lvlJc w:val="left"/>
      <w:lvlText w:val="%1."/>
      <w:numFmt w:val="decimal"/>
      <w:start w:val="1"/>
    </w:lvl>
  </w:abstractNum>
  <w:abstractNum w:abstractNumId="288">
    <w:nsid w:val="7B541FAB"/>
    <w:multiLevelType w:val="hybridMultilevel"/>
    <w:lvl w:ilvl="0">
      <w:lvlJc w:val="left"/>
      <w:lvlText w:val="(%1)"/>
      <w:numFmt w:val="lowerLetter"/>
      <w:start w:val="4"/>
    </w:lvl>
  </w:abstractNum>
  <w:abstractNum w:abstractNumId="289">
    <w:nsid w:val="2A79EC49"/>
    <w:multiLevelType w:val="hybridMultilevel"/>
    <w:lvl w:ilvl="0">
      <w:lvlJc w:val="left"/>
      <w:lvlText w:val="%1."/>
      <w:numFmt w:val="decimal"/>
      <w:start w:val="1"/>
    </w:lvl>
  </w:abstractNum>
  <w:abstractNum w:abstractNumId="290">
    <w:nsid w:val="338125CF"/>
    <w:multiLevelType w:val="hybridMultilevel"/>
    <w:lvl w:ilvl="0">
      <w:lvlJc w:val="left"/>
      <w:lvlText w:val="(%1)"/>
      <w:numFmt w:val="lowerRoman"/>
      <w:start w:val="1"/>
    </w:lvl>
  </w:abstractNum>
  <w:abstractNum w:abstractNumId="291">
    <w:nsid w:val="47C7C971"/>
    <w:multiLevelType w:val="hybridMultilevel"/>
    <w:lvl w:ilvl="0">
      <w:lvlJc w:val="left"/>
      <w:lvlText w:val="(%1)"/>
      <w:numFmt w:val="lowerRoman"/>
      <w:start w:val="1"/>
    </w:lvl>
  </w:abstractNum>
  <w:abstractNum w:abstractNumId="292">
    <w:nsid w:val="46F8284B"/>
    <w:multiLevelType w:val="hybridMultilevel"/>
    <w:lvl w:ilvl="0">
      <w:lvlJc w:val="left"/>
      <w:lvlText w:val="1"/>
      <w:numFmt w:val="bullet"/>
      <w:start w:val="1"/>
    </w:lvl>
  </w:abstractNum>
  <w:abstractNum w:abstractNumId="293">
    <w:nsid w:val="4FA327CE"/>
    <w:multiLevelType w:val="hybridMultilevel"/>
    <w:lvl w:ilvl="0">
      <w:lvlJc w:val="left"/>
      <w:lvlText w:val="%1)"/>
      <w:numFmt w:val="lowerLetter"/>
      <w:start w:val="1"/>
    </w:lvl>
  </w:abstractNum>
  <w:abstractNum w:abstractNumId="294">
    <w:nsid w:val="1873983A"/>
    <w:multiLevelType w:val="hybridMultilevel"/>
    <w:lvl w:ilvl="0">
      <w:lvlJc w:val="left"/>
      <w:lvlText w:val="%1)"/>
      <w:numFmt w:val="lowerLetter"/>
      <w:start w:val="3"/>
    </w:lvl>
  </w:abstractNum>
  <w:abstractNum w:abstractNumId="295">
    <w:nsid w:val="3D2DD275"/>
    <w:multiLevelType w:val="hybridMultilevel"/>
    <w:lvl w:ilvl="0">
      <w:lvlJc w:val="left"/>
      <w:lvlText w:val="2"/>
      <w:numFmt w:val="bullet"/>
      <w:start w:val="1"/>
    </w:lvl>
  </w:abstractNum>
  <w:abstractNum w:abstractNumId="296">
    <w:nsid w:val="2E17ECA7"/>
    <w:multiLevelType w:val="hybridMultilevel"/>
    <w:lvl w:ilvl="0">
      <w:lvlJc w:val="left"/>
      <w:lvlText w:val="3"/>
      <w:numFmt w:val="bullet"/>
      <w:start w:val="1"/>
    </w:lvl>
  </w:abstractNum>
  <w:abstractNum w:abstractNumId="297">
    <w:nsid w:val="53B2564F"/>
    <w:multiLevelType w:val="hybridMultilevel"/>
    <w:lvl w:ilvl="0">
      <w:lvlJc w:val="left"/>
      <w:lvlText w:val="4"/>
      <w:numFmt w:val="bullet"/>
      <w:start w:val="1"/>
    </w:lvl>
  </w:abstractNum>
  <w:abstractNum w:abstractNumId="298">
    <w:nsid w:val="75509D76"/>
    <w:multiLevelType w:val="hybridMultilevel"/>
    <w:lvl w:ilvl="0">
      <w:lvlJc w:val="left"/>
      <w:lvlText w:val="5"/>
      <w:numFmt w:val="bullet"/>
      <w:start w:val="1"/>
    </w:lvl>
  </w:abstractNum>
  <w:abstractNum w:abstractNumId="299">
    <w:nsid w:val="1AF7F0EA"/>
    <w:multiLevelType w:val="hybridMultilevel"/>
    <w:lvl w:ilvl="0">
      <w:lvlJc w:val="left"/>
      <w:lvlText w:val="%1)"/>
      <w:numFmt w:val="lowerLetter"/>
      <w:start w:val="1"/>
    </w:lvl>
  </w:abstractNum>
  <w:abstractNum w:abstractNumId="300">
    <w:nsid w:val="4DA32C7E"/>
    <w:multiLevelType w:val="hybridMultilevel"/>
    <w:lvl w:ilvl="0">
      <w:lvlJc w:val="left"/>
      <w:lvlText w:val="%1)"/>
      <w:numFmt w:val="lowerLetter"/>
      <w:start w:val="1"/>
    </w:lvl>
  </w:abstractNum>
  <w:abstractNum w:abstractNumId="301">
    <w:nsid w:val="6EC68664"/>
    <w:multiLevelType w:val="hybridMultilevel"/>
    <w:lvl w:ilvl="0">
      <w:lvlJc w:val="left"/>
      <w:lvlText w:val="%1)"/>
      <w:numFmt w:val="lowerLetter"/>
      <w:start w:val="2"/>
    </w:lvl>
  </w:abstractNum>
  <w:abstractNum w:abstractNumId="302">
    <w:nsid w:val="E0D31FF"/>
    <w:multiLevelType w:val="hybridMultilevel"/>
    <w:lvl w:ilvl="0">
      <w:lvlJc w:val="left"/>
      <w:lvlText w:val="%1)"/>
      <w:numFmt w:val="lowerLetter"/>
      <w:start w:val="1"/>
    </w:lvl>
  </w:abstractNum>
  <w:abstractNum w:abstractNumId="303">
    <w:nsid w:val="2FD0AD81"/>
    <w:multiLevelType w:val="hybridMultilevel"/>
    <w:lvl w:ilvl="0">
      <w:lvlJc w:val="left"/>
      <w:lvlText w:val="%1)"/>
      <w:numFmt w:val="lowerLetter"/>
      <w:start w:val="1"/>
    </w:lvl>
  </w:abstractNum>
  <w:abstractNum w:abstractNumId="304">
    <w:nsid w:val="1978EBEB"/>
    <w:multiLevelType w:val="hybridMultilevel"/>
    <w:lvl w:ilvl="0">
      <w:lvlJc w:val="left"/>
      <w:lvlText w:val="%1."/>
      <w:numFmt w:val="lowerRoman"/>
      <w:start w:val="1"/>
    </w:lvl>
  </w:abstractNum>
  <w:abstractNum w:abstractNumId="305">
    <w:nsid w:val="52C12C61"/>
    <w:multiLevelType w:val="hybridMultilevel"/>
    <w:lvl w:ilvl="0">
      <w:lvlJc w:val="left"/>
      <w:lvlText w:val="%1)"/>
      <w:numFmt w:val="lowerLetter"/>
      <w:start w:val="1"/>
    </w:lvl>
  </w:abstractNum>
  <w:abstractNum w:abstractNumId="306">
    <w:nsid w:val="4BDD53FD"/>
    <w:multiLevelType w:val="hybridMultilevel"/>
    <w:lvl w:ilvl="0">
      <w:lvlJc w:val="left"/>
      <w:lvlText w:val="%1)"/>
      <w:numFmt w:val="lowerLetter"/>
      <w:start w:val="2"/>
    </w:lvl>
  </w:abstractNum>
  <w:abstractNum w:abstractNumId="307">
    <w:nsid w:val="569951FE"/>
    <w:multiLevelType w:val="hybridMultilevel"/>
    <w:lvl w:ilvl="0">
      <w:lvlJc w:val="left"/>
      <w:lvlText w:val="%1)"/>
      <w:numFmt w:val="lowerLetter"/>
      <w:start w:val="1"/>
    </w:lvl>
  </w:abstractNum>
  <w:abstractNum w:abstractNumId="308">
    <w:nsid w:val="4C54E2C3"/>
    <w:multiLevelType w:val="hybridMultilevel"/>
    <w:lvl w:ilvl="0">
      <w:lvlJc w:val="left"/>
      <w:lvlText w:val="6"/>
      <w:numFmt w:val="bullet"/>
      <w:start w:val="1"/>
    </w:lvl>
  </w:abstractNum>
  <w:abstractNum w:abstractNumId="309">
    <w:nsid w:val="788BD9B"/>
    <w:multiLevelType w:val="hybridMultilevel"/>
    <w:lvl w:ilvl="0">
      <w:lvlJc w:val="left"/>
      <w:lvlText w:val="8"/>
      <w:numFmt w:val="bullet"/>
      <w:start w:val="1"/>
    </w:lvl>
  </w:abstractNum>
  <w:abstractNum w:abstractNumId="310">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1">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2">
    <w:nsid w:val="1F0E5D0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9"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jpe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207" Type="http://schemas.openxmlformats.org/officeDocument/2006/relationships/hyperlink" Target="https://www.sec.gov/Archives/edgar/data/1745114/000174511423000003/a12organizationalrulesofth.htm" TargetMode="External"/><Relationship Id="rId208" Type="http://schemas.openxmlformats.org/officeDocument/2006/relationships/hyperlink" Target="https://www.sec.gov/Archives/edgar/data/1745114/000174511422000004/a21-depositagreement.htm" TargetMode="External"/><Relationship Id="rId209" Type="http://schemas.openxmlformats.org/officeDocument/2006/relationships/hyperlink" Target="https://www.sec.gov/Archives/edgar/data/1745114/000174511422000004/a21-depositagreement.htm#iea4678c1698c48738b4aadb74199c3f0_79" TargetMode="External"/><Relationship Id="rId210" Type="http://schemas.openxmlformats.org/officeDocument/2006/relationships/hyperlink" Target="https://www.sec.gov/Archives/edgar/data/1745114/000174511422000004/a23-descriptionofsecurities.htm" TargetMode="External"/><Relationship Id="rId211" Type="http://schemas.openxmlformats.org/officeDocument/2006/relationships/hyperlink" Target="https://www.sec.gov/Archives/edgar/data/1745114/000162828021007388/exhibit101-fx1.htm" TargetMode="External"/><Relationship Id="rId212" Type="http://schemas.openxmlformats.org/officeDocument/2006/relationships/hyperlink" Target="https://www.sec.gov/Archives/edgar/data/1745114/000162828021007388/exhibit103-fx1.htm" TargetMode="External"/><Relationship Id="rId213" Type="http://schemas.openxmlformats.org/officeDocument/2006/relationships/hyperlink" Target="https://www.sec.gov/Archives/edgar/data/1745114/000162828021007388/exhibit106-fx1.htm" TargetMode="External"/><Relationship Id="rId214" Type="http://schemas.openxmlformats.org/officeDocument/2006/relationships/hyperlink" Target="https://www.sec.gov/Archives/edgar/data/1745114/000174511422000004/a45licenseagreementdatedas.htm" TargetMode="External"/><Relationship Id="rId215" Type="http://schemas.openxmlformats.org/officeDocument/2006/relationships/hyperlink" Target="https://www.sec.gov/Archives/edgar/data/1745114/000174511424000003/a46molecularpartners-resea.htm" TargetMode="External"/><Relationship Id="rId216" Type="http://schemas.openxmlformats.org/officeDocument/2006/relationships/hyperlink" Target="https://www.sec.gov/Archives/edgar/data/1745114/000162828021007388/exhibit108-fx1.htm" TargetMode="External"/><Relationship Id="rId217" Type="http://schemas.openxmlformats.org/officeDocument/2006/relationships/hyperlink" Target="https://www.sec.gov/Archives/edgar/data/1745114/000162828021007388/exhbit109-fx1.htm" TargetMode="External"/><Relationship Id="rId218" Type="http://schemas.openxmlformats.org/officeDocument/2006/relationships/hyperlink" Target="https://www.sec.gov/Archives/edgar/data/1745114/000162828021007388/exhibit1010-fx1.htm" TargetMode="External"/><Relationship Id="rId220" Type="http://schemas.openxmlformats.org/officeDocument/2006/relationships/hyperlink" Target="https://www.sec.gov/Archives/edgar/data/1745114/000162828021007388/exhibit1011-fx1.htm" TargetMode="External"/><Relationship Id="rId221" Type="http://schemas.openxmlformats.org/officeDocument/2006/relationships/hyperlink" Target="https://www.sec.gov/Archives/edgar/data/1745114/000174511423000003/a410psuplan2021formanageme.htm" TargetMode="External"/><Relationship Id="rId222" Type="http://schemas.openxmlformats.org/officeDocument/2006/relationships/hyperlink" Target="https://www.sec.gov/Archives/edgar/data/1745114/000174511423000003/a411psuplan2022foremployee.htm" TargetMode="External"/><Relationship Id="rId223" Type="http://schemas.openxmlformats.org/officeDocument/2006/relationships/hyperlink" Target="https://www.sec.gov/Archives/edgar/data/1745114/000174511423000003/a412psuplan2022_formanagem.htm" TargetMode="External"/><Relationship Id="rId224" Type="http://schemas.openxmlformats.org/officeDocument/2006/relationships/hyperlink" Target="https://www.sec.gov/Archives/edgar/data/1745114/000174511423000003/a413psuplan2023_foremploye.htm" TargetMode="External"/><Relationship Id="rId225" Type="http://schemas.openxmlformats.org/officeDocument/2006/relationships/hyperlink" Target="https://www.sec.gov/Archives/edgar/data/1745114/000174511423000003/a414psuplan2023_formanagem.htm" TargetMode="External"/><Relationship Id="rId226" Type="http://schemas.openxmlformats.org/officeDocument/2006/relationships/hyperlink" Target="https://www.sec.gov/Archives/edgar/data/1745114/000174511424000003/a416psuplan2024_employeeso.htm" TargetMode="External"/><Relationship Id="rId227" Type="http://schemas.openxmlformats.org/officeDocument/2006/relationships/hyperlink" Target="https://www.sec.gov/Archives/edgar/data/1745114/000174511424000003/a417psuplan2024_formanagem.htm" TargetMode="External"/><Relationship Id="rId228" Type="http://schemas.openxmlformats.org/officeDocument/2006/relationships/hyperlink" Target="https://www.sec.gov/Archives/edgar/data/1745114/000162828021007388/exhibit1014-fx1.htm" TargetMode="External"/><Relationship Id="rId229" Type="http://schemas.openxmlformats.org/officeDocument/2006/relationships/hyperlink" Target="https://www.sec.gov/Archives/edgar/data/1745114/000162828021007388/exhibit1015-fx1.htm" TargetMode="External"/><Relationship Id="rId230" Type="http://schemas.openxmlformats.org/officeDocument/2006/relationships/hyperlink" Target="https://www.sec.gov/Archives/edgar/data/1745114/000162828021007388/exhibit1016-fx1.htm" TargetMode="External"/><Relationship Id="rId231" Type="http://schemas.openxmlformats.org/officeDocument/2006/relationships/hyperlink" Target="https://www.sec.gov/Archives/edgar/data/1745114/000162828021007388/exhibit1017-fx1.htm" TargetMode="External"/><Relationship Id="rId232" Type="http://schemas.openxmlformats.org/officeDocument/2006/relationships/hyperlink" Target="https://www.sec.gov/Archives/edgar/data/1745114/000174511423000003/a419restrictedshareplan2022.htm" TargetMode="External"/><Relationship Id="rId233" Type="http://schemas.openxmlformats.org/officeDocument/2006/relationships/hyperlink" Target="https://www.sec.gov/Archives/edgar/data/1745114/000174511423000003/a420restrictedshareplan2023.htm" TargetMode="External"/><Relationship Id="rId234" Type="http://schemas.openxmlformats.org/officeDocument/2006/relationships/hyperlink" Target="https://www.sec.gov/Archives/edgar/data/1745114/000174511424000003/a424rsuplan2024.htm" TargetMode="External"/><Relationship Id="rId235" Type="http://schemas.openxmlformats.org/officeDocument/2006/relationships/hyperlink" Target="https://www.sec.gov/Archives/edgar/data/1745114/000162828021007388/exhibit211-fx1.htm" TargetMode="External"/><Relationship Id="rId236" Type="http://schemas.openxmlformats.org/officeDocument/2006/relationships/hyperlink" Target="https://www.sec.gov/Archives/edgar/data/1745114/000174511424000003/a971molecularpartners-dod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2025-03-06T15:17:28Z</dcterms:created>
  <dcterms:modified xsi:type="dcterms:W3CDTF">2025-03-06T15:17:28Z</dcterms:modified>
</cp:coreProperties>
</file>